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</w:pPr>
      <w:r>
        <w:rPr>
          <w:b/>
          <w:color w:val="6B7280"/>
          <w:sz w:val="19"/>
        </w:rPr>
        <w:t>AEGIS TECHNOLOGIES • QUANTITATIVE FINANCE &amp; ML RESEARCH</w:t>
      </w:r>
    </w:p>
    <w:p>
      <w:pPr>
        <w:spacing w:before="80" w:after="120"/>
        <w:ind w:firstLine="0"/>
      </w:pPr>
      <w:r>
        <w:rPr>
          <w:b/>
          <w:color w:val="0F172A"/>
          <w:sz w:val="31"/>
        </w:rPr>
        <w:t>TECHNICAL SPECIFICATION &amp; RESEARCH ROADMAP</w:t>
        <w:br/>
        <w:t>QUANTITATIVE RISK ANALYTICS &amp; SMART INGESTION ML ENGINE</w:t>
      </w:r>
    </w:p>
    <w:p>
      <w:pPr>
        <w:spacing w:after="200"/>
        <w:ind w:firstLine="0"/>
      </w:pPr>
      <w:r>
        <w:rPr>
          <w:b/>
          <w:color w:val="2563EB"/>
          <w:sz w:val="20"/>
        </w:rPr>
        <w:t>Target Role: Quantitative Financial Analyst / ML Engineer (MSc Dotun) • Format: Memo + Jupyter Notebook</w:t>
      </w:r>
    </w:p>
    <w:p>
      <w:pPr>
        <w:spacing w:after="240"/>
        <w:ind w:firstLine="0"/>
        <w:pBdr>
          <w:bottom w:val="single" w:sz="12" w:space="1" w:color="2563EB"/>
        </w:pBdr>
      </w:pP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Executive Summary</w:t>
      </w:r>
    </w:p>
    <w:p>
      <w:pPr>
        <w:ind w:firstLine="706"/>
        <w:jc w:val="both"/>
      </w:pPr>
      <w:r>
        <w:t>Aegis Wealth Terminal is an institutional-grade B2B multi-asset portfolio risk and stress-testing platform. The platform operates on a strict Zero-Calculation LLM Architecture: financial formulas and risk metrics are computed deterministically, while machine learning is dedicated to unstructured tabular document understanding and data normalization.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Phase 1: Financial Model Audit &amp; Domain Discovery (Priority #1)</w:t>
      </w:r>
    </w:p>
    <w:p>
      <w:pPr>
        <w:ind w:firstLine="706"/>
        <w:jc w:val="both"/>
      </w:pPr>
      <w:r>
        <w:t>The objective of this phase is to evaluate, validate, and mathematically expand our existing core calculation algorithms.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color w:val="1E40AF"/>
          <w:sz w:val="26"/>
        </w:rPr>
        <w:t>1.1. Current Deterministic Calculation Core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Herfindahl-Hirschman Index: </w:t>
      </w:r>
      <w:r>
        <w:t>HHI = sum(w_i^2) where w_i in [0, 100]. Risk thresholds: Low (&lt;1500), Moderate (1500-2500), High concentration (&gt;2500).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Sharpe Ratio: </w:t>
      </w:r>
      <w:r>
        <w:t>Sharpe = (R_p - R_f) / sigma_p, where R_f is pegged to Central Bank key rate (19% annual).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Volatility &amp; Max Drawdown: </w:t>
      </w:r>
      <w:r>
        <w:t>sigma_ann = sigma_daily * sqrt(252); MDD = max((Peak - Trough) / Peak).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Stress-Testing Scenario: </w:t>
      </w:r>
      <w:r>
        <w:t>Simulates -15% equity shock with protective capital preservation and reallocation into sovereign floating-rate bonds (OFZ-PK).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color w:val="1E40AF"/>
          <w:sz w:val="26"/>
        </w:rPr>
        <w:t>1.2. Required Deliverables for Phase 1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1. Gap Analysis &amp; Metric Expansion: </w:t>
      </w:r>
      <w:r>
        <w:t>Parametric &amp; Historical Value-at-Risk (VaR 95%, 99%), Conditional VaR (Expected Shortfall), Sortino Ratio (downside deviation), Portfolio Beta vs. MOEX benchmark index (MCFTR), and Bond Duration/YTM metrics.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2. Edge Cases Identification: </w:t>
      </w:r>
      <w:r>
        <w:t>Guidelines for handling illiquid OTC securities, stale pricing, asynchronous trading calendars, margin debit balances, and stock splits.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3. Executive PDF Report Blueprint: </w:t>
      </w:r>
      <w:r>
        <w:t>Institutional layout proposal for a 2-page executive portfolio audit report suitable for C-level bank clients.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Phase 2: Smart Ingestion AI (Data Normalization Pipeline) (Priority #2)</w:t>
      </w:r>
    </w:p>
    <w:p>
      <w:pPr>
        <w:ind w:firstLine="706"/>
        <w:jc w:val="both"/>
      </w:pPr>
      <w:r>
        <w:t>The business objective is eliminating manual data re-entry by transforming heterogeneous, chaotic brokerage statements into our canonical data model.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color w:val="1E40AF"/>
          <w:sz w:val="26"/>
        </w:rPr>
        <w:t>2.1. Target Data Schema (PositionDTO)</w:t>
      </w:r>
    </w:p>
    <w:p>
      <w:pPr>
        <w:ind w:firstLine="706"/>
        <w:jc w:val="both"/>
      </w:pPr>
      <w:r>
        <w:t>All raw tables must be parsed into clean JSON matching our canonical schema:</w:t>
      </w:r>
    </w:p>
    <w:p>
      <w:pPr>
        <w:spacing w:before="120" w:after="120" w:line="240" w:lineRule="auto"/>
        <w:ind w:firstLine="0" w:left="576" w:right="576"/>
        <w:shd w:fill="F3F4F6"/>
      </w:pPr>
      <w:r>
        <w:rPr>
          <w:rFonts w:ascii="Consolas" w:hAnsi="Consolas"/>
          <w:color w:val="1F2937"/>
          <w:sz w:val="19"/>
        </w:rPr>
        <w:t>{</w:t>
        <w:br/>
        <w:t xml:space="preserve">  "ticker": "SBER",</w:t>
        <w:br/>
        <w:t xml:space="preserve">  "name": "Sberbank PJSC",</w:t>
        <w:br/>
        <w:t xml:space="preserve">  "asset_class": "share", // enum: share, bond, etf, currency, other</w:t>
        <w:br/>
        <w:t xml:space="preserve">  "quantity": 1500.0,</w:t>
        <w:br/>
        <w:t xml:space="preserve">  "current_price": 280.5,</w:t>
        <w:br/>
        <w:t xml:space="preserve">  "total_value": 420750.0,</w:t>
        <w:br/>
        <w:t xml:space="preserve">  "weight": 28.5,</w:t>
        <w:br/>
        <w:t xml:space="preserve">  "currency": "RUB"</w:t>
        <w:br/>
        <w:t>}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color w:val="1E40AF"/>
          <w:sz w:val="26"/>
        </w:rPr>
        <w:t>2.2. ML Engineering Roadmap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1. Synthetic Tabular Dataset: </w:t>
      </w:r>
      <w:r>
        <w:t>Synthesize a diverse corpus of 100+ realistic, messy financial statements (CSV/XLSX) incorporating multi-currency sections, merged cells, and varied column naming conventions.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2. SLM Benchmarking: </w:t>
      </w:r>
      <w:r>
        <w:t>Evaluate lightweight local models for fast on-premise CPU execution (e.g., Qwen-2.5-Coder-1.5B, Llama-3.2-1B, LayoutLM).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3. Fine-Tuning Pipeline: </w:t>
      </w:r>
      <w:r>
        <w:t>Design a fine-tuning pipeline using PyTorch, Hugging Face transformers, and LoRA/QLoRA, targeting &gt;98% field extraction precision and 100% schema adherence.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/>
      <w:color w:val="111827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