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</w:pPr>
      <w:r>
        <w:rPr>
          <w:b/>
          <w:color w:val="6B7280"/>
          <w:sz w:val="20"/>
        </w:rPr>
        <w:t>AEGIS TECHNOLOGIES • B2B WEALTH TERMINAL</w:t>
      </w:r>
    </w:p>
    <w:p>
      <w:pPr>
        <w:spacing w:before="80" w:after="120"/>
        <w:ind w:firstLine="0"/>
      </w:pPr>
      <w:r>
        <w:rPr>
          <w:b/>
          <w:color w:val="0F172A"/>
          <w:sz w:val="31"/>
        </w:rPr>
        <w:t>ТЕХНИЧЕСКОЕ ЗАДАНИЕ И РОАДМАП</w:t>
        <w:br/>
        <w:t>РАЗРАБОТКА FRONTEND-ТЕРМИНАЛА (СВЕТЛАЯ ТЕМА / T-BANK LIGHT)</w:t>
      </w:r>
    </w:p>
    <w:p>
      <w:pPr>
        <w:spacing w:after="200"/>
        <w:ind w:firstLine="0"/>
      </w:pPr>
      <w:r>
        <w:rPr>
          <w:b/>
          <w:color w:val="2563EB"/>
          <w:sz w:val="21"/>
        </w:rPr>
        <w:t>Исполнитель: Никита (Frontend Lead) • Стиль: T-Bank Light / Apple Finance • Стек: React + Vite + TS</w:t>
      </w:r>
    </w:p>
    <w:p>
      <w:pPr>
        <w:spacing w:after="240"/>
        <w:ind w:firstLine="0"/>
        <w:pBdr>
          <w:bottom w:val="single" w:sz="12" w:space="1" w:color="2563EB"/>
        </w:pBdr>
      </w:pP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1. Дизайн-система и цветовая палитра (T-Bank Light Style)</w:t>
      </w:r>
    </w:p>
    <w:p>
      <w:pPr>
        <w:ind w:firstLine="706"/>
        <w:jc w:val="both"/>
      </w:pPr>
      <w:r>
        <w:t>Интерфейс терминала строится строго в светлой эстетике передовых российских финтех-сервисов (Т-Банк Инвестиции, Т-Бизнес): белоснежные поверхности, мягкие светлые тени, высокая контрастность цифр и аккуратные бейджи.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Фон страницы (Page Background): </w:t>
      </w:r>
      <w:r>
        <w:t>Мягкий молочно-серый #F5F6F8 (комфорт для глаз, без слепящей белизны).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Карточки и блоки (Card Surface): </w:t>
      </w:r>
      <w:r>
        <w:t>Чистый белый #FFFFFF с тонкой аккуратной границей 1px #E5E7EB и легкой тенью (shadow-sm).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Основной текст: </w:t>
      </w:r>
      <w:r>
        <w:t>Глубокий графитовый / темно-серый #111827.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Второстепенный текст и подписи: </w:t>
      </w:r>
      <w:r>
        <w:t>Нейтральный серый #6B7280.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Фирменный акцент (Brand Blue): </w:t>
      </w:r>
      <w:r>
        <w:t>Классический банковский синий #2563EB для активных кнопок и табов.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Статусные цвета рисков: </w:t>
      </w:r>
      <w:r>
        <w:t>Пастельные плашки с ярким текстом: Изумрудный #059669 (фон #ECFDF5) — консервативный/ОФЗ; Янтарный #D97706 (фон #FFFBEB) — умеренный риск; Карминный #DC2626 (фон #FEF2F2) — агрессивный риск.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Типографика: </w:t>
      </w:r>
      <w:r>
        <w:t>Интерфейсный текст — Inter / SF Pro; моноширинный для тикеров и цифр — JetBrains Mono.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2. Сплит 1: Каркас приложения и Авторизация (Auth &amp; Shell)</w:t>
      </w:r>
    </w:p>
    <w:p>
      <w:pPr>
        <w:ind w:firstLine="706"/>
        <w:jc w:val="both"/>
      </w:pPr>
      <w:r>
        <w:t>Цель сплита: Развернуть скелет приложения в светлой теме, настроить маршрутизацию и закрыть двухфакторную банковскую авторизацию.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Инициализация: </w:t>
      </w:r>
      <w:r>
        <w:t>Инициализация проекта через Vite (React + TypeScript), настройка путей (@/components) и конфигурации светлой темы T-Bank Light.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Экран входа (/login): </w:t>
      </w:r>
      <w:r>
        <w:t>Аккуратная белая карточка по центру экрана, поля Email и Пароль. Отправка POST-запроса на /api/v1/auth/login/.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Экран 2FA (/login/2fa): </w:t>
      </w:r>
      <w:r>
        <w:t>Если бэкенд возвращает статус 200 и флаг two_factor_required: true, отображается форма ввода 6 цифр из приложения-аутентификатора (Яндекс Ключ, 2FAS, Google Authenticator). Отправка на POST /api/v1/auth/2fa/verify/.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4. Токен-менеджер: </w:t>
      </w:r>
      <w:r>
        <w:t>Сохранение токена access_token и интерцептор для автоматического добавления заголовка Authorization: Bearer &lt;token&gt; ко всем последующим запросам.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5. ProtectedRoute: </w:t>
      </w:r>
      <w:r>
        <w:t>Перенаправление всех неавторизованных запросов на страницу /login.</w:t>
      </w:r>
    </w:p>
    <w:p>
      <w:pPr>
        <w:ind w:firstLine="706"/>
        <w:jc w:val="both"/>
      </w:pPr>
      <w:r>
        <w:t>Результат сплита: Пользователь успешно проходит двухфакторный вход и попадает в пустую светлую рабочую зону.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3. Сплит 2: База инвесторов (Advisor Dashboard)</w:t>
      </w:r>
    </w:p>
    <w:p>
      <w:pPr>
        <w:ind w:firstLine="706"/>
        <w:jc w:val="both"/>
      </w:pPr>
      <w:r>
        <w:t>Цель сплита: Создание рабочего места советника — реестра клиентов в стиле современного онлайн-банкинга.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Хедер терминала: </w:t>
      </w:r>
      <w:r>
        <w:t>Светлый фон #FFFFFF, логотип Aegis Wealth, имя советника, индикатор сессии и кнопка безопасного выхода.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Реестр инвесторов (/clients): </w:t>
      </w:r>
      <w:r>
        <w:t>Контрастная белая таблица клиентов по запросу GET /api/v1/clients/. Колонки: ФИО, совокупный AUM (активы под управлением), бейдж риск-профиля (консервативный / умеренный / агрессивный), количество счетов.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Модальное окно добавления: </w:t>
      </w:r>
      <w:r>
        <w:t>Модальная форма с полями ФИО, телефон, email, заметки и переключатель риск-профиля. Отправка на POST /api/v1/clients/.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4. Навигация: </w:t>
      </w:r>
      <w:r>
        <w:t>Переход в терминал конкретного клиента (/clients/:id/terminal) с фильтрацией счетов.</w:t>
      </w:r>
    </w:p>
    <w:p>
      <w:pPr>
        <w:ind w:firstLine="706"/>
        <w:jc w:val="both"/>
      </w:pPr>
      <w:r>
        <w:t>Результат сплита: Советник может вести клиентскую базу, добавлять новых инвесторов и переходить к анализу их портфелей.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4. Сплит 3: Аналитический терминал портфеля (Portfolio X-Ray)</w:t>
      </w:r>
    </w:p>
    <w:p>
      <w:pPr>
        <w:ind w:firstLine="706"/>
        <w:jc w:val="both"/>
      </w:pPr>
      <w:r>
        <w:t>Цель сплита: Флагманский двухколоночный дашборд углубленного анализа структуры активов и сценариев.</w:t>
      </w:r>
    </w:p>
    <w:p>
      <w:pPr>
        <w:ind w:firstLine="706"/>
        <w:jc w:val="both"/>
      </w:pPr>
      <w:r>
        <w:t>Левая колонка (Portfolio X-Ray):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Загрузчик отчетов: </w:t>
      </w:r>
      <w:r>
        <w:t>Drag-and-Drop зона для файлов брокера (.xlsx, .csv). Отправка multipart/form-data на POST /api/v1/portfolio/upload/ (поле формы file).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Карточки ключевых метрик: </w:t>
      </w:r>
      <w:r>
        <w:t>Белые карточки с мягкой тенью: Общая стоимость (AUM), индекс концентрации HHI с цветовой шкалой риска (low, moderate, high), топ-актив портфеля.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Круговая диаграмма: </w:t>
      </w:r>
      <w:r>
        <w:t>Donut Chart (Recharts) на светлом фоне: четкое распределение долей (акции, облигации, фонды, валютная ликвидность).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Таблица позиций: </w:t>
      </w:r>
      <w:r>
        <w:t>Интерактивная таблица активов с чередующимися строками (тикер, наименование, текущая цена, доля в процентах).</w:t>
      </w:r>
    </w:p>
    <w:p>
      <w:pPr>
        <w:ind w:firstLine="706"/>
        <w:jc w:val="both"/>
      </w:pPr>
      <w:r>
        <w:t>Правая колонка (Моделирование сценариев):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Рыночный шок: </w:t>
      </w:r>
      <w:r>
        <w:t>Кнопка 'Стресс-тест (-15%)' отправляет запрос на POST /api/v1/portfolio/simulate/ с параметрами scenario: 'stress'. Мгновенный пересчет просадки рисковых активов при сохранении защитного капитала.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Ребалансировка: </w:t>
      </w:r>
      <w:r>
        <w:t>Кнопка 'Ребалансировка в ОФЗ' отправляет запрос на POST /api/v1/portfolio/simulate/ с параметрами scenario: 'rebalance'. Моделирование перевода части средств в флоатеры под ключевую ставку ЦБ РФ с расчетом годового пассивного дохода.</w:t>
      </w:r>
    </w:p>
    <w:p>
      <w:pPr>
        <w:ind w:firstLine="706"/>
        <w:jc w:val="both"/>
      </w:pPr>
      <w:r>
        <w:t>Результат сплита: Полностью функционирующий светлый расчетный дашборд с интерактивным пересчетом метрик на лету.</w:t>
      </w:r>
    </w:p>
    <w:p>
      <w:pPr>
        <w:keepNext/>
        <w:spacing w:before="280" w:after="120"/>
        <w:ind w:firstLine="0"/>
        <w:jc w:val="left"/>
      </w:pPr>
      <w:r>
        <w:rPr>
          <w:rFonts w:ascii="Times New Roman" w:hAnsi="Times New Roman"/>
          <w:b/>
          <w:color w:val="0F294A"/>
          <w:sz w:val="30"/>
        </w:rPr>
        <w:t>5. Сплит 4: Экспорт PDF-отчетов и Финализация UI</w:t>
      </w:r>
    </w:p>
    <w:p>
      <w:pPr>
        <w:ind w:firstLine="706"/>
        <w:jc w:val="both"/>
      </w:pPr>
      <w:r>
        <w:t>Цель сплита: Финализация готового коммерческого B2B продукта под презентации и эксплуатацию.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1. Генерация отчета: </w:t>
      </w:r>
      <w:r>
        <w:t>Запрос POST /api/v1/portfolio/export_pdf/ с массивом positions в теле запроса. Отображение спиннера загрузки и автоматическое скачивание готового файла aegis_portfolio_report.pdf.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2. Система уведомлений (Toast): </w:t>
      </w:r>
      <w:r>
        <w:t>Уведомления через библиотеку sonner / react-hot-toast: сообщения об истекшей сессии, неверном коде 2FA или неподдерживаемом формате брокерского отчета.</w:t>
      </w:r>
    </w:p>
    <w:p>
      <w:pPr>
        <w:pStyle w:val="ListBullet"/>
        <w:spacing w:after="60"/>
        <w:ind w:firstLine="0" w:left="706"/>
        <w:jc w:val="left"/>
      </w:pPr>
      <w:r>
        <w:rPr>
          <w:b/>
        </w:rPr>
        <w:t xml:space="preserve">3. Полировка интерфейса: </w:t>
      </w:r>
      <w:r>
        <w:t>Экраны пустых состояний (Empty States) с дружелюбными векторными иллюстрациями, микроанимации пересчета метрик, полировка отступов под мониторы советников.</w:t>
      </w:r>
    </w:p>
    <w:p>
      <w:pPr>
        <w:ind w:firstLine="706"/>
        <w:jc w:val="both"/>
      </w:pPr>
      <w:r>
        <w:t>Результат сплита: 100% готовый интерфейс Wealth-терминала в чистом светлом стиле Т-Банка.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/>
      <w:color w:val="111827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