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D770" w14:textId="77777777" w:rsidR="008B5590" w:rsidRDefault="008B5590">
      <w:pPr>
        <w:spacing w:after="720"/>
      </w:pPr>
    </w:p>
    <w:p w14:paraId="1E2FC6E5" w14:textId="77777777" w:rsidR="008B5590" w:rsidRDefault="000C3EC6">
      <w:pPr>
        <w:spacing w:after="80"/>
        <w:jc w:val="center"/>
      </w:pPr>
      <w:r>
        <w:rPr>
          <w:b/>
          <w:bCs/>
          <w:color w:val="E74C3C"/>
          <w:sz w:val="18"/>
          <w:szCs w:val="18"/>
        </w:rPr>
        <w:t>CONFIDENTIAL — FOR HR LEADERSHIP ONLY</w:t>
      </w:r>
    </w:p>
    <w:p w14:paraId="29EE058D" w14:textId="77777777" w:rsidR="008B5590" w:rsidRDefault="008B5590">
      <w:pPr>
        <w:spacing w:after="480"/>
      </w:pPr>
    </w:p>
    <w:p w14:paraId="2B57BB34" w14:textId="77777777" w:rsidR="008B5590" w:rsidRDefault="000C3EC6">
      <w:pPr>
        <w:jc w:val="center"/>
      </w:pPr>
      <w:r>
        <w:rPr>
          <w:sz w:val="80"/>
          <w:szCs w:val="80"/>
        </w:rPr>
        <w:t>🏢</w:t>
      </w:r>
    </w:p>
    <w:p w14:paraId="5FB59095" w14:textId="77777777" w:rsidR="008B5590" w:rsidRDefault="000C3EC6">
      <w:pPr>
        <w:spacing w:before="200" w:after="200"/>
        <w:jc w:val="center"/>
      </w:pPr>
      <w:r>
        <w:rPr>
          <w:b/>
          <w:bCs/>
          <w:color w:val="1A3A6E"/>
          <w:sz w:val="56"/>
          <w:szCs w:val="56"/>
        </w:rPr>
        <w:t>EMPLOYEE ATTRITION</w:t>
      </w:r>
    </w:p>
    <w:p w14:paraId="53788409" w14:textId="77777777" w:rsidR="008B5590" w:rsidRDefault="000C3EC6">
      <w:pPr>
        <w:spacing w:after="120"/>
        <w:jc w:val="center"/>
      </w:pPr>
      <w:r>
        <w:rPr>
          <w:color w:val="2980B9"/>
          <w:sz w:val="36"/>
          <w:szCs w:val="36"/>
        </w:rPr>
        <w:t>Analytics &amp; Retention Strategy Report</w:t>
      </w:r>
    </w:p>
    <w:p w14:paraId="516E3A4A" w14:textId="77777777" w:rsidR="008B5590" w:rsidRDefault="000C3EC6">
      <w:pPr>
        <w:spacing w:after="600"/>
        <w:jc w:val="center"/>
      </w:pPr>
      <w:r>
        <w:rPr>
          <w:color w:val="7F8C8D"/>
        </w:rPr>
        <w:t>People Analytics Division  ·  February 2026</w:t>
      </w:r>
    </w:p>
    <w:p w14:paraId="0CBF0DBD" w14:textId="77777777" w:rsidR="008B5590" w:rsidRDefault="008B559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5590" w14:paraId="41E9EB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6E"/>
            <w:tcMar>
              <w:top w:w="160" w:type="dxa"/>
              <w:left w:w="160" w:type="dxa"/>
              <w:bottom w:w="160" w:type="dxa"/>
              <w:right w:w="160" w:type="dxa"/>
            </w:tcMar>
            <w:vAlign w:val="center"/>
          </w:tcPr>
          <w:p w14:paraId="187ED1DF" w14:textId="77777777" w:rsidR="008B5590" w:rsidRDefault="000C3EC6">
            <w:pPr>
              <w:jc w:val="center"/>
            </w:pPr>
            <w:r>
              <w:rPr>
                <w:b/>
                <w:bCs/>
                <w:color w:val="FFFFFF"/>
                <w:sz w:val="40"/>
                <w:szCs w:val="40"/>
              </w:rPr>
              <w:t>26.6%</w:t>
            </w:r>
          </w:p>
          <w:p w14:paraId="5446130E" w14:textId="77777777" w:rsidR="008B5590" w:rsidRDefault="000C3EC6">
            <w:pPr>
              <w:jc w:val="center"/>
            </w:pPr>
            <w:r>
              <w:rPr>
                <w:color w:val="BDC3C7"/>
                <w:sz w:val="18"/>
                <w:szCs w:val="18"/>
              </w:rPr>
              <w:t>Attrition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1A3A6E"/>
            <w:tcMar>
              <w:top w:w="160" w:type="dxa"/>
              <w:left w:w="160" w:type="dxa"/>
              <w:bottom w:w="160" w:type="dxa"/>
              <w:right w:w="160" w:type="dxa"/>
            </w:tcMar>
            <w:vAlign w:val="center"/>
          </w:tcPr>
          <w:p w14:paraId="1F55DF06" w14:textId="77777777" w:rsidR="008B5590" w:rsidRDefault="000C3EC6">
            <w:pPr>
              <w:jc w:val="center"/>
            </w:pPr>
            <w:r>
              <w:rPr>
                <w:b/>
                <w:bCs/>
                <w:color w:val="FFFFFF"/>
                <w:sz w:val="40"/>
                <w:szCs w:val="40"/>
              </w:rPr>
              <w:t>314</w:t>
            </w:r>
          </w:p>
          <w:p w14:paraId="3C59A1FA" w14:textId="77777777" w:rsidR="008B5590" w:rsidRDefault="000C3EC6">
            <w:pPr>
              <w:jc w:val="center"/>
            </w:pPr>
            <w:r>
              <w:rPr>
                <w:color w:val="BDC3C7"/>
                <w:sz w:val="18"/>
                <w:szCs w:val="18"/>
              </w:rPr>
              <w:t>High-Risk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1A3A6E"/>
            <w:tcMar>
              <w:top w:w="160" w:type="dxa"/>
              <w:left w:w="160" w:type="dxa"/>
              <w:bottom w:w="160" w:type="dxa"/>
              <w:right w:w="160" w:type="dxa"/>
            </w:tcMar>
            <w:vAlign w:val="center"/>
          </w:tcPr>
          <w:p w14:paraId="55A7C185" w14:textId="77777777" w:rsidR="008B5590" w:rsidRDefault="000C3EC6">
            <w:pPr>
              <w:jc w:val="center"/>
            </w:pPr>
            <w:r>
              <w:rPr>
                <w:b/>
                <w:bCs/>
                <w:color w:val="FFFFFF"/>
                <w:sz w:val="40"/>
                <w:szCs w:val="40"/>
              </w:rPr>
              <w:t>3</w:t>
            </w:r>
          </w:p>
          <w:p w14:paraId="1FB7F305" w14:textId="77777777" w:rsidR="008B5590" w:rsidRDefault="000C3EC6">
            <w:pPr>
              <w:jc w:val="center"/>
            </w:pPr>
            <w:r>
              <w:rPr>
                <w:color w:val="BDC3C7"/>
                <w:sz w:val="18"/>
                <w:szCs w:val="18"/>
              </w:rPr>
              <w:t>Key Risk Drivers</w:t>
            </w:r>
          </w:p>
        </w:tc>
        <w:tc>
          <w:tcPr>
            <w:tcW w:w="2340" w:type="dxa"/>
            <w:tcBorders>
              <w:top w:val="single" w:sz="1" w:space="0" w:color="CCCCCC"/>
              <w:left w:val="single" w:sz="1" w:space="0" w:color="CCCCCC"/>
              <w:bottom w:val="single" w:sz="1" w:space="0" w:color="CCCCCC"/>
              <w:right w:val="single" w:sz="1" w:space="0" w:color="CCCCCC"/>
            </w:tcBorders>
            <w:shd w:val="clear" w:color="auto" w:fill="1A3A6E"/>
            <w:tcMar>
              <w:top w:w="160" w:type="dxa"/>
              <w:left w:w="160" w:type="dxa"/>
              <w:bottom w:w="160" w:type="dxa"/>
              <w:right w:w="160" w:type="dxa"/>
            </w:tcMar>
            <w:vAlign w:val="center"/>
          </w:tcPr>
          <w:p w14:paraId="6EF2C946" w14:textId="77777777" w:rsidR="008B5590" w:rsidRDefault="000C3EC6">
            <w:pPr>
              <w:jc w:val="center"/>
            </w:pPr>
            <w:r>
              <w:rPr>
                <w:b/>
                <w:bCs/>
                <w:color w:val="FFFFFF"/>
                <w:sz w:val="40"/>
                <w:szCs w:val="40"/>
              </w:rPr>
              <w:t>78.3%</w:t>
            </w:r>
          </w:p>
          <w:p w14:paraId="7320870D" w14:textId="77777777" w:rsidR="008B5590" w:rsidRDefault="000C3EC6">
            <w:pPr>
              <w:jc w:val="center"/>
            </w:pPr>
            <w:r>
              <w:rPr>
                <w:color w:val="BDC3C7"/>
                <w:sz w:val="18"/>
                <w:szCs w:val="18"/>
              </w:rPr>
              <w:t>Model Accuracy</w:t>
            </w:r>
          </w:p>
        </w:tc>
      </w:tr>
    </w:tbl>
    <w:p w14:paraId="45EADF6F" w14:textId="77777777" w:rsidR="008B5590" w:rsidRDefault="000C3EC6">
      <w:r>
        <w:br w:type="page"/>
      </w:r>
    </w:p>
    <w:p w14:paraId="5E8A8861" w14:textId="77777777" w:rsidR="008B5590" w:rsidRDefault="000C3EC6">
      <w:pPr>
        <w:pStyle w:val="Heading1"/>
        <w:pBdr>
          <w:bottom w:val="single" w:sz="8" w:space="1" w:color="2980B9"/>
        </w:pBdr>
        <w:spacing w:before="360" w:after="160"/>
      </w:pPr>
      <w:r>
        <w:rPr>
          <w:b/>
          <w:bCs/>
          <w:color w:val="1A3A6E"/>
        </w:rPr>
        <w:lastRenderedPageBreak/>
        <w:t>1. Executive Summary</w:t>
      </w:r>
    </w:p>
    <w:p w14:paraId="039ED007" w14:textId="1C94A768" w:rsidR="008B5590" w:rsidRDefault="000C3EC6">
      <w:pPr>
        <w:spacing w:after="140"/>
      </w:pPr>
      <w:r>
        <w:t>This report presents the findings of a comprehensive People Analytics study conducted on a workforce of 1</w:t>
      </w:r>
      <w:r w:rsidR="00E20B2E">
        <w:t>5000</w:t>
      </w:r>
      <w:r>
        <w:t xml:space="preserve"> employees. Using advanced machine learning techniques, we identified the key drivers of voluntary employee attrition and developed a predictive model capable of flagging at-risk employees before they resign.</w:t>
      </w:r>
    </w:p>
    <w:p w14:paraId="7E9F4766" w14:textId="77777777" w:rsidR="008B5590" w:rsidRDefault="000C3EC6">
      <w:pPr>
        <w:spacing w:after="140"/>
      </w:pPr>
      <w:r>
        <w:t>Our analysis reveals that attrition is not random — it is driven by identifiable, measurable, and actionable factors. The three primary drivers are Monthly Income, Employee Age/Career Stage, and Tenure at Company. These findings provide HR leadership with a clear mandate for targeted retention investment.</w:t>
      </w:r>
    </w:p>
    <w:p w14:paraId="3F83105C" w14:textId="6714A36F" w:rsidR="008B5590" w:rsidRDefault="000C3EC6">
      <w:pPr>
        <w:spacing w:after="140"/>
      </w:pPr>
      <w:r>
        <w:t>The Random Forest classifier achieved an AUC-ROC of 0.</w:t>
      </w:r>
      <w:r w:rsidR="00E20B2E">
        <w:t>713</w:t>
      </w:r>
      <w:r>
        <w:t xml:space="preserve"> and correctly identified employees at high risk of leaving with sufficient recall to enable proactive intervention. A watch list of 314 high-risk employees has been generated for immediate follow-up.</w:t>
      </w:r>
    </w:p>
    <w:p w14:paraId="22178073" w14:textId="77777777" w:rsidR="008B5590" w:rsidRDefault="008B5590">
      <w:pPr>
        <w:spacing w:after="240"/>
      </w:pPr>
    </w:p>
    <w:p w14:paraId="1FCD0C23" w14:textId="77777777" w:rsidR="00E20B2E" w:rsidRDefault="00E20B2E">
      <w:pPr>
        <w:pStyle w:val="Heading1"/>
        <w:pBdr>
          <w:bottom w:val="single" w:sz="8" w:space="1" w:color="2980B9"/>
        </w:pBdr>
        <w:spacing w:before="360" w:after="160"/>
        <w:rPr>
          <w:b/>
          <w:bCs/>
          <w:color w:val="1A3A6E"/>
        </w:rPr>
      </w:pPr>
    </w:p>
    <w:p w14:paraId="69A730BA" w14:textId="77777777" w:rsidR="00E20B2E" w:rsidRDefault="00E20B2E">
      <w:pPr>
        <w:pStyle w:val="Heading1"/>
        <w:pBdr>
          <w:bottom w:val="single" w:sz="8" w:space="1" w:color="2980B9"/>
        </w:pBdr>
        <w:spacing w:before="360" w:after="160"/>
        <w:rPr>
          <w:b/>
          <w:bCs/>
          <w:color w:val="1A3A6E"/>
        </w:rPr>
      </w:pPr>
    </w:p>
    <w:p w14:paraId="3B56C1AC" w14:textId="77777777" w:rsidR="00E20B2E" w:rsidRDefault="00E20B2E">
      <w:pPr>
        <w:pStyle w:val="Heading1"/>
        <w:pBdr>
          <w:bottom w:val="single" w:sz="8" w:space="1" w:color="2980B9"/>
        </w:pBdr>
        <w:spacing w:before="360" w:after="160"/>
        <w:rPr>
          <w:b/>
          <w:bCs/>
          <w:color w:val="1A3A6E"/>
        </w:rPr>
      </w:pPr>
    </w:p>
    <w:p w14:paraId="57731FB3" w14:textId="77777777" w:rsidR="00E20B2E" w:rsidRDefault="00E20B2E">
      <w:pPr>
        <w:pStyle w:val="Heading1"/>
        <w:pBdr>
          <w:bottom w:val="single" w:sz="8" w:space="1" w:color="2980B9"/>
        </w:pBdr>
        <w:spacing w:before="360" w:after="160"/>
        <w:rPr>
          <w:b/>
          <w:bCs/>
          <w:color w:val="1A3A6E"/>
        </w:rPr>
      </w:pPr>
    </w:p>
    <w:p w14:paraId="28B5B7A9" w14:textId="77777777" w:rsidR="00E20B2E" w:rsidRDefault="00E20B2E">
      <w:pPr>
        <w:pStyle w:val="Heading1"/>
        <w:pBdr>
          <w:bottom w:val="single" w:sz="8" w:space="1" w:color="2980B9"/>
        </w:pBdr>
        <w:spacing w:before="360" w:after="160"/>
        <w:rPr>
          <w:b/>
          <w:bCs/>
          <w:color w:val="1A3A6E"/>
        </w:rPr>
      </w:pPr>
    </w:p>
    <w:p w14:paraId="48EE688A" w14:textId="77777777" w:rsidR="00E20B2E" w:rsidRDefault="00E20B2E">
      <w:pPr>
        <w:pStyle w:val="Heading1"/>
        <w:pBdr>
          <w:bottom w:val="single" w:sz="8" w:space="1" w:color="2980B9"/>
        </w:pBdr>
        <w:spacing w:before="360" w:after="160"/>
        <w:rPr>
          <w:b/>
          <w:bCs/>
          <w:color w:val="1A3A6E"/>
        </w:rPr>
      </w:pPr>
    </w:p>
    <w:p w14:paraId="4F590A02" w14:textId="77777777" w:rsidR="00E20B2E" w:rsidRDefault="00E20B2E">
      <w:pPr>
        <w:pStyle w:val="Heading1"/>
        <w:pBdr>
          <w:bottom w:val="single" w:sz="8" w:space="1" w:color="2980B9"/>
        </w:pBdr>
        <w:spacing w:before="360" w:after="160"/>
        <w:rPr>
          <w:b/>
          <w:bCs/>
          <w:color w:val="1A3A6E"/>
        </w:rPr>
      </w:pPr>
    </w:p>
    <w:p w14:paraId="606844E6" w14:textId="77777777" w:rsidR="00E20B2E" w:rsidRDefault="00E20B2E">
      <w:pPr>
        <w:pStyle w:val="Heading1"/>
        <w:pBdr>
          <w:bottom w:val="single" w:sz="8" w:space="1" w:color="2980B9"/>
        </w:pBdr>
        <w:spacing w:before="360" w:after="160"/>
        <w:rPr>
          <w:b/>
          <w:bCs/>
          <w:color w:val="1A3A6E"/>
        </w:rPr>
      </w:pPr>
    </w:p>
    <w:p w14:paraId="6DA2547A" w14:textId="77777777" w:rsidR="00E20B2E" w:rsidRDefault="00E20B2E">
      <w:pPr>
        <w:pStyle w:val="Heading1"/>
        <w:pBdr>
          <w:bottom w:val="single" w:sz="8" w:space="1" w:color="2980B9"/>
        </w:pBdr>
        <w:spacing w:before="360" w:after="160"/>
        <w:rPr>
          <w:b/>
          <w:bCs/>
          <w:color w:val="1A3A6E"/>
        </w:rPr>
      </w:pPr>
    </w:p>
    <w:p w14:paraId="2F19AB4B" w14:textId="77777777" w:rsidR="00E20B2E" w:rsidRDefault="00E20B2E">
      <w:pPr>
        <w:pStyle w:val="Heading1"/>
        <w:pBdr>
          <w:bottom w:val="single" w:sz="8" w:space="1" w:color="2980B9"/>
        </w:pBdr>
        <w:spacing w:before="360" w:after="160"/>
        <w:rPr>
          <w:b/>
          <w:bCs/>
          <w:color w:val="1A3A6E"/>
        </w:rPr>
      </w:pPr>
    </w:p>
    <w:p w14:paraId="0A4A540A" w14:textId="77777777" w:rsidR="00E20B2E" w:rsidRDefault="00E20B2E">
      <w:pPr>
        <w:pStyle w:val="Heading1"/>
        <w:pBdr>
          <w:bottom w:val="single" w:sz="8" w:space="1" w:color="2980B9"/>
        </w:pBdr>
        <w:spacing w:before="360" w:after="160"/>
        <w:rPr>
          <w:b/>
          <w:bCs/>
          <w:color w:val="1A3A6E"/>
        </w:rPr>
      </w:pPr>
    </w:p>
    <w:p w14:paraId="2928F5FF" w14:textId="77777777" w:rsidR="00E20B2E" w:rsidRDefault="00E20B2E">
      <w:pPr>
        <w:pStyle w:val="Heading1"/>
        <w:pBdr>
          <w:bottom w:val="single" w:sz="8" w:space="1" w:color="2980B9"/>
        </w:pBdr>
        <w:spacing w:before="360" w:after="160"/>
        <w:rPr>
          <w:b/>
          <w:bCs/>
          <w:color w:val="1A3A6E"/>
        </w:rPr>
      </w:pPr>
    </w:p>
    <w:p w14:paraId="7AA78C3F" w14:textId="6086A9B2" w:rsidR="008B5590" w:rsidRDefault="000C3EC6">
      <w:pPr>
        <w:pStyle w:val="Heading1"/>
        <w:pBdr>
          <w:bottom w:val="single" w:sz="8" w:space="1" w:color="2980B9"/>
        </w:pBdr>
        <w:spacing w:before="360" w:after="160"/>
      </w:pPr>
      <w:r>
        <w:rPr>
          <w:b/>
          <w:bCs/>
          <w:color w:val="1A3A6E"/>
        </w:rPr>
        <w:t>2. Top 3 Drivers of Attrition</w:t>
      </w:r>
    </w:p>
    <w:p w14:paraId="08BC503D" w14:textId="77777777" w:rsidR="008B5590" w:rsidRDefault="000C3EC6">
      <w:pPr>
        <w:pStyle w:val="Heading2"/>
        <w:spacing w:before="280" w:after="120"/>
      </w:pPr>
      <w:r>
        <w:rPr>
          <w:b/>
          <w:bCs/>
          <w:color w:val="2C3E50"/>
        </w:rPr>
        <w:t>Driver #1 — Monthly Income (Importance: 12.5%)</w:t>
      </w:r>
    </w:p>
    <w:p w14:paraId="3B5EF7AC" w14:textId="77777777" w:rsidR="008B5590" w:rsidRDefault="000C3EC6">
      <w:pPr>
        <w:spacing w:after="140"/>
      </w:pPr>
      <w:r>
        <w:t>Compensation is the single strongest predictor of attrition in our model. Employees earning below $3,000/month exhibit attrition rates more than twice the company average. The analysis reveals a clear income threshold effect — once employees cross into higher salary bands, their probability of leaving drops sharply.</w:t>
      </w:r>
    </w:p>
    <w:p w14:paraId="45504E36" w14:textId="77777777" w:rsidR="008B5590" w:rsidRDefault="000C3EC6">
      <w:pPr>
        <w:pStyle w:val="ListParagraph"/>
        <w:numPr>
          <w:ilvl w:val="0"/>
          <w:numId w:val="2"/>
        </w:numPr>
        <w:spacing w:after="100"/>
      </w:pPr>
      <w:r>
        <w:t>Employees in the bottom income quartile (&lt; $3,000/month) have an estimated attrition risk of 45%+</w:t>
      </w:r>
    </w:p>
    <w:p w14:paraId="34D54775" w14:textId="77777777" w:rsidR="008B5590" w:rsidRDefault="000C3EC6">
      <w:pPr>
        <w:pStyle w:val="ListParagraph"/>
        <w:numPr>
          <w:ilvl w:val="0"/>
          <w:numId w:val="2"/>
        </w:numPr>
        <w:spacing w:after="100"/>
      </w:pPr>
      <w:r>
        <w:t>Income gap between stayers and leavers averages $2,100/month</w:t>
      </w:r>
    </w:p>
    <w:p w14:paraId="7523252C" w14:textId="77777777" w:rsidR="008B5590" w:rsidRDefault="000C3EC6">
      <w:pPr>
        <w:pStyle w:val="ListParagraph"/>
        <w:numPr>
          <w:ilvl w:val="0"/>
          <w:numId w:val="2"/>
        </w:numPr>
        <w:spacing w:after="100"/>
      </w:pPr>
      <w:r>
        <w:t>Sales Representatives and HR staff are most affected by income-driven attrition</w:t>
      </w:r>
    </w:p>
    <w:p w14:paraId="605608BC" w14:textId="77777777" w:rsidR="008B5590" w:rsidRDefault="008B5590">
      <w:pPr>
        <w:spacing w:after="160"/>
      </w:pPr>
    </w:p>
    <w:p w14:paraId="5F9A08F5" w14:textId="77777777" w:rsidR="008B5590" w:rsidRDefault="000C3EC6">
      <w:pPr>
        <w:pStyle w:val="Heading2"/>
        <w:spacing w:before="280" w:after="120"/>
      </w:pPr>
      <w:r>
        <w:rPr>
          <w:b/>
          <w:bCs/>
          <w:color w:val="2C3E50"/>
        </w:rPr>
        <w:t>Driver #2 — Employee Age &amp; Career Stage (Importance: 8.6%)</w:t>
      </w:r>
    </w:p>
    <w:p w14:paraId="33569817" w14:textId="77777777" w:rsidR="008B5590" w:rsidRDefault="000C3EC6">
      <w:pPr>
        <w:spacing w:after="140"/>
      </w:pPr>
      <w:r>
        <w:t>Younger employees (age 20–30) exhibit significantly higher attrition than mid-career employees. This reflects two dynamics: (1) early-career professionals exploring options, and (2) a generation that places higher value on growth opportunities, flexibility, and purpose.</w:t>
      </w:r>
    </w:p>
    <w:p w14:paraId="1C157237" w14:textId="77777777" w:rsidR="008B5590" w:rsidRDefault="000C3EC6">
      <w:pPr>
        <w:pStyle w:val="ListParagraph"/>
        <w:numPr>
          <w:ilvl w:val="0"/>
          <w:numId w:val="2"/>
        </w:numPr>
        <w:spacing w:after="100"/>
      </w:pPr>
      <w:r>
        <w:t>Employees aged 20–28 have the highest modelled attrition probability at 35–50%</w:t>
      </w:r>
    </w:p>
    <w:p w14:paraId="7DCB62DF" w14:textId="77777777" w:rsidR="008B5590" w:rsidRDefault="000C3EC6">
      <w:pPr>
        <w:pStyle w:val="ListParagraph"/>
        <w:numPr>
          <w:ilvl w:val="0"/>
          <w:numId w:val="2"/>
        </w:numPr>
        <w:spacing w:after="100"/>
      </w:pPr>
      <w:r>
        <w:t>Risk stabilises significantly after age 35, dropping to below 15% by age 45</w:t>
      </w:r>
    </w:p>
    <w:p w14:paraId="7E9CFC5E" w14:textId="77777777" w:rsidR="008B5590" w:rsidRDefault="000C3EC6">
      <w:pPr>
        <w:pStyle w:val="ListParagraph"/>
        <w:numPr>
          <w:ilvl w:val="0"/>
          <w:numId w:val="2"/>
        </w:numPr>
        <w:spacing w:after="100"/>
      </w:pPr>
      <w:r>
        <w:t>This finding underscores the need for strong early-career development pathways</w:t>
      </w:r>
    </w:p>
    <w:p w14:paraId="678AAFFC" w14:textId="77777777" w:rsidR="008B5590" w:rsidRDefault="008B5590">
      <w:pPr>
        <w:spacing w:after="160"/>
      </w:pPr>
    </w:p>
    <w:p w14:paraId="4E8E50E7" w14:textId="77777777" w:rsidR="008B5590" w:rsidRDefault="000C3EC6">
      <w:pPr>
        <w:pStyle w:val="Heading2"/>
        <w:spacing w:before="280" w:after="120"/>
      </w:pPr>
      <w:r>
        <w:rPr>
          <w:b/>
          <w:bCs/>
          <w:color w:val="2C3E50"/>
        </w:rPr>
        <w:t>Driver #3 — Years at Company &amp; Tenure Cliff (Importance: 7.8%)</w:t>
      </w:r>
    </w:p>
    <w:p w14:paraId="44C29F82" w14:textId="77777777" w:rsidR="008B5590" w:rsidRDefault="000C3EC6">
      <w:pPr>
        <w:spacing w:after="140"/>
      </w:pPr>
      <w:r>
        <w:t>Attrition peaks dramatically in the first 0–2 years of employment — the critical onboarding window. After 10+ years of tenure, employees are far less likely to leave, suggesting that early investment in employee experience pays long-term dividends.</w:t>
      </w:r>
    </w:p>
    <w:p w14:paraId="796E2626" w14:textId="77777777" w:rsidR="008B5590" w:rsidRDefault="000C3EC6">
      <w:pPr>
        <w:pStyle w:val="ListParagraph"/>
        <w:numPr>
          <w:ilvl w:val="0"/>
          <w:numId w:val="2"/>
        </w:numPr>
        <w:spacing w:after="100"/>
      </w:pPr>
      <w:r>
        <w:t>Over 40% of all attrition occurs within the first 2 years of employment</w:t>
      </w:r>
    </w:p>
    <w:p w14:paraId="11BA7D8A" w14:textId="77777777" w:rsidR="008B5590" w:rsidRDefault="000C3EC6">
      <w:pPr>
        <w:pStyle w:val="ListParagraph"/>
        <w:numPr>
          <w:ilvl w:val="0"/>
          <w:numId w:val="2"/>
        </w:numPr>
        <w:spacing w:after="100"/>
      </w:pPr>
      <w:r>
        <w:t>The "2-year cliff" represents the highest-risk transition point in an employee lifecycle</w:t>
      </w:r>
    </w:p>
    <w:p w14:paraId="3A6EC2D1" w14:textId="77777777" w:rsidR="008B5590" w:rsidRDefault="000C3EC6">
      <w:pPr>
        <w:pStyle w:val="ListParagraph"/>
        <w:numPr>
          <w:ilvl w:val="0"/>
          <w:numId w:val="2"/>
        </w:numPr>
        <w:spacing w:after="100"/>
      </w:pPr>
      <w:r>
        <w:t>Employees who survive year 3 have significantly lower long-term attrition probability</w:t>
      </w:r>
    </w:p>
    <w:p w14:paraId="4634A1CB" w14:textId="77777777" w:rsidR="008B5590" w:rsidRDefault="000C3EC6">
      <w:r>
        <w:br w:type="page"/>
      </w:r>
    </w:p>
    <w:p w14:paraId="6C2FC8BA" w14:textId="77777777" w:rsidR="008B5590" w:rsidRDefault="000C3EC6">
      <w:pPr>
        <w:pStyle w:val="Heading1"/>
        <w:pBdr>
          <w:bottom w:val="single" w:sz="8" w:space="1" w:color="2980B9"/>
        </w:pBdr>
        <w:spacing w:before="360" w:after="160"/>
      </w:pPr>
      <w:r>
        <w:rPr>
          <w:b/>
          <w:bCs/>
          <w:color w:val="1A3A6E"/>
        </w:rPr>
        <w:t>3. Attrition Risk by Department</w:t>
      </w:r>
    </w:p>
    <w:p w14:paraId="00347B90" w14:textId="77777777" w:rsidR="008B5590" w:rsidRDefault="000C3EC6">
      <w:pPr>
        <w:spacing w:after="140"/>
      </w:pPr>
      <w:r>
        <w:t>The table below summarises the attrition risk profile for each department. Human Resources shows the highest proportion of high-risk employees, followed by Research &amp; Development. Sales, while having a smaller headcount, has a concentrated pocket of high-risk Sales Representatives.</w:t>
      </w:r>
    </w:p>
    <w:p w14:paraId="7874FDAE" w14:textId="77777777" w:rsidR="008B5590" w:rsidRDefault="008B55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1560"/>
        <w:gridCol w:w="1600"/>
      </w:tblGrid>
      <w:tr w:rsidR="008B5590" w14:paraId="5ACBD7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3B34E929" w14:textId="77777777" w:rsidR="008B5590" w:rsidRDefault="000C3EC6">
            <w:r>
              <w:rPr>
                <w:b/>
                <w:bCs/>
                <w:color w:val="FFFFFF"/>
                <w:sz w:val="20"/>
                <w:szCs w:val="20"/>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7E18FCD" w14:textId="77777777" w:rsidR="008B5590" w:rsidRDefault="000C3EC6">
            <w:r>
              <w:rPr>
                <w:b/>
                <w:bCs/>
                <w:color w:val="FFFFFF"/>
                <w:sz w:val="20"/>
                <w:szCs w:val="20"/>
              </w:rPr>
              <w:t>Total Headcount</w:t>
            </w:r>
          </w:p>
        </w:tc>
        <w:tc>
          <w:tcPr>
            <w:tcW w:w="1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2356975F" w14:textId="77777777" w:rsidR="008B5590" w:rsidRDefault="000C3EC6">
            <w:r>
              <w:rPr>
                <w:b/>
                <w:bCs/>
                <w:color w:val="FFFFFF"/>
                <w:sz w:val="20"/>
                <w:szCs w:val="20"/>
              </w:rPr>
              <w:t>High-Risk Employees</w:t>
            </w:r>
          </w:p>
        </w:tc>
        <w:tc>
          <w:tcPr>
            <w:tcW w:w="156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4BF9E091" w14:textId="77777777" w:rsidR="008B5590" w:rsidRDefault="000C3EC6">
            <w:r>
              <w:rPr>
                <w:b/>
                <w:bCs/>
                <w:color w:val="FFFFFF"/>
                <w:sz w:val="20"/>
                <w:szCs w:val="20"/>
              </w:rPr>
              <w:t>High-Risk %</w:t>
            </w:r>
          </w:p>
        </w:tc>
        <w:tc>
          <w:tcPr>
            <w:tcW w:w="16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4C28F856" w14:textId="77777777" w:rsidR="008B5590" w:rsidRDefault="000C3EC6">
            <w:r>
              <w:rPr>
                <w:b/>
                <w:bCs/>
                <w:color w:val="FFFFFF"/>
                <w:sz w:val="20"/>
                <w:szCs w:val="20"/>
              </w:rPr>
              <w:t>Avg Risk Score</w:t>
            </w:r>
          </w:p>
        </w:tc>
      </w:tr>
      <w:tr w:rsidR="008B5590" w14:paraId="16E06B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0514F0" w14:textId="77777777" w:rsidR="008B5590" w:rsidRDefault="000C3EC6">
            <w:r>
              <w:rPr>
                <w:sz w:val="20"/>
                <w:szCs w:val="20"/>
              </w:rPr>
              <w:t>Human Resources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011C85" w14:textId="184216C5" w:rsidR="008B5590" w:rsidRDefault="000C3EC6">
            <w:r>
              <w:rPr>
                <w:sz w:val="20"/>
                <w:szCs w:val="20"/>
              </w:rPr>
              <w:t>1</w:t>
            </w:r>
            <w:r w:rsidR="00F46F52">
              <w:rPr>
                <w:sz w:val="20"/>
                <w:szCs w:val="20"/>
              </w:rPr>
              <w:t>623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AFF248" w14:textId="13B58921" w:rsidR="008B5590" w:rsidRDefault="00F46F52">
            <w:r>
              <w:t>306</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EE9770" w14:textId="48DDC46F" w:rsidR="008B5590" w:rsidRDefault="000C3EC6">
            <w:r>
              <w:rPr>
                <w:sz w:val="20"/>
                <w:szCs w:val="20"/>
              </w:rPr>
              <w:t>2</w:t>
            </w:r>
            <w:r w:rsidR="00F46F52">
              <w:rPr>
                <w:sz w:val="20"/>
                <w:szCs w:val="20"/>
              </w:rPr>
              <w:t>3</w:t>
            </w:r>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347104" w14:textId="1ACFB5ED" w:rsidR="008B5590" w:rsidRDefault="00F46F52">
            <w:r>
              <w:rPr>
                <w:sz w:val="20"/>
                <w:szCs w:val="20"/>
              </w:rPr>
              <w:t>18.9</w:t>
            </w:r>
            <w:r w:rsidR="000C3EC6">
              <w:rPr>
                <w:sz w:val="20"/>
                <w:szCs w:val="20"/>
              </w:rPr>
              <w:t>%</w:t>
            </w:r>
          </w:p>
        </w:tc>
      </w:tr>
      <w:tr w:rsidR="008B5590" w14:paraId="1C4154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1B321" w14:textId="77777777" w:rsidR="008B5590" w:rsidRDefault="000C3EC6">
            <w:r>
              <w:rPr>
                <w:sz w:val="20"/>
                <w:szCs w:val="20"/>
              </w:rPr>
              <w:t>Research &amp;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1D561" w14:textId="2F637DA6" w:rsidR="008B5590" w:rsidRDefault="00F46F52">
            <w:r>
              <w:t>8380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9C4A" w14:textId="39D2B73B" w:rsidR="008B5590" w:rsidRDefault="000C3EC6">
            <w:r>
              <w:rPr>
                <w:sz w:val="20"/>
                <w:szCs w:val="20"/>
              </w:rPr>
              <w:t>1</w:t>
            </w:r>
            <w:r w:rsidR="00F46F52">
              <w:rPr>
                <w:sz w:val="20"/>
                <w:szCs w:val="20"/>
              </w:rPr>
              <w:t>630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A99D" w14:textId="6A649407" w:rsidR="008B5590" w:rsidRDefault="000C3EC6">
            <w:r>
              <w:rPr>
                <w:sz w:val="20"/>
                <w:szCs w:val="20"/>
              </w:rPr>
              <w:t>2</w:t>
            </w:r>
            <w:r w:rsidR="00F46F52">
              <w:rPr>
                <w:sz w:val="20"/>
                <w:szCs w:val="20"/>
              </w:rPr>
              <w:t>4.0</w:t>
            </w: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A0A2" w14:textId="20BA323C" w:rsidR="008B5590" w:rsidRDefault="00F46F52">
            <w:r>
              <w:rPr>
                <w:sz w:val="20"/>
                <w:szCs w:val="20"/>
              </w:rPr>
              <w:t>19.5</w:t>
            </w:r>
            <w:r w:rsidR="000C3EC6">
              <w:rPr>
                <w:sz w:val="20"/>
                <w:szCs w:val="20"/>
              </w:rPr>
              <w:t>%</w:t>
            </w:r>
          </w:p>
        </w:tc>
      </w:tr>
      <w:tr w:rsidR="008B5590" w14:paraId="5A5A14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4CB62B" w14:textId="77777777" w:rsidR="008B5590" w:rsidRDefault="000C3EC6">
            <w:r>
              <w:rPr>
                <w:sz w:val="20"/>
                <w:szCs w:val="20"/>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F54412" w14:textId="16D80541" w:rsidR="008B5590" w:rsidRDefault="000C3EC6">
            <w:r>
              <w:rPr>
                <w:sz w:val="20"/>
                <w:szCs w:val="20"/>
              </w:rPr>
              <w:t>49</w:t>
            </w:r>
            <w:r w:rsidR="00F46F52">
              <w:rPr>
                <w:sz w:val="20"/>
                <w:szCs w:val="20"/>
              </w:rPr>
              <w:t>9</w:t>
            </w:r>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414613" w14:textId="71D9CEED" w:rsidR="008B5590" w:rsidRDefault="000C3EC6">
            <w:r>
              <w:rPr>
                <w:sz w:val="20"/>
                <w:szCs w:val="20"/>
              </w:rPr>
              <w:t>9</w:t>
            </w:r>
            <w:r w:rsidR="00F46F52">
              <w:rPr>
                <w:sz w:val="20"/>
                <w:szCs w:val="20"/>
              </w:rPr>
              <w:t>97</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2A1115" w14:textId="7EBB84D5" w:rsidR="008B5590" w:rsidRDefault="00F46F52">
            <w:r>
              <w:rPr>
                <w:sz w:val="20"/>
                <w:szCs w:val="20"/>
              </w:rPr>
              <w:t>24.5</w:t>
            </w:r>
            <w:r w:rsidR="000C3EC6">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DE25B9" w14:textId="24425C9C" w:rsidR="008B5590" w:rsidRDefault="000C3EC6">
            <w:r>
              <w:rPr>
                <w:sz w:val="20"/>
                <w:szCs w:val="20"/>
              </w:rPr>
              <w:t>2</w:t>
            </w:r>
            <w:r w:rsidR="00F46F52">
              <w:rPr>
                <w:sz w:val="20"/>
                <w:szCs w:val="20"/>
              </w:rPr>
              <w:t>0</w:t>
            </w:r>
            <w:r>
              <w:rPr>
                <w:sz w:val="20"/>
                <w:szCs w:val="20"/>
              </w:rPr>
              <w:t>.0%</w:t>
            </w:r>
          </w:p>
        </w:tc>
      </w:tr>
    </w:tbl>
    <w:p w14:paraId="4CE0D4EF" w14:textId="77777777" w:rsidR="008B5590" w:rsidRDefault="008B5590">
      <w:pPr>
        <w:spacing w:after="280"/>
      </w:pPr>
    </w:p>
    <w:p w14:paraId="6855A7B1" w14:textId="77777777" w:rsidR="008B5590" w:rsidRDefault="000C3EC6">
      <w:pPr>
        <w:spacing w:after="140"/>
      </w:pPr>
      <w:r>
        <w:t>The HR department, despite being the smallest, has the highest concentration of at-risk employees on a percentage basis. This is particularly concerning given that HR professionals are the architects of the employee experience for others. Retention efforts in this department should be prioritised.</w:t>
      </w:r>
    </w:p>
    <w:p w14:paraId="390F2D75" w14:textId="77777777" w:rsidR="008B5590" w:rsidRDefault="000C3EC6">
      <w:pPr>
        <w:pStyle w:val="Heading1"/>
        <w:pBdr>
          <w:bottom w:val="single" w:sz="8" w:space="1" w:color="2980B9"/>
        </w:pBdr>
        <w:spacing w:before="360" w:after="160"/>
      </w:pPr>
      <w:r>
        <w:rPr>
          <w:b/>
          <w:bCs/>
          <w:color w:val="1A3A6E"/>
        </w:rPr>
        <w:t>4. Overtime &amp; Work-Life Balance Impact</w:t>
      </w:r>
    </w:p>
    <w:p w14:paraId="164FBA86" w14:textId="77777777" w:rsidR="008B5590" w:rsidRDefault="000C3EC6">
      <w:pPr>
        <w:spacing w:after="140"/>
      </w:pPr>
      <w:r>
        <w:t>OverTime status emerged as one of the most powerful binary predictors in the logistic regression model. Employees who regularly work overtime leave at nearly three times the rate of those who do not.</w:t>
      </w:r>
    </w:p>
    <w:p w14:paraId="0BB35211" w14:textId="77777777" w:rsidR="008B5590" w:rsidRDefault="008B55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8B5590" w14:paraId="3AF0D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960102B" w14:textId="77777777" w:rsidR="008B5590" w:rsidRDefault="000C3EC6">
            <w:r>
              <w:rPr>
                <w:b/>
                <w:bCs/>
                <w:color w:val="FFFFFF"/>
                <w:sz w:val="20"/>
                <w:szCs w:val="20"/>
              </w:rPr>
              <w:t>OverTime Status</w:t>
            </w:r>
          </w:p>
        </w:tc>
        <w:tc>
          <w:tcPr>
            <w:tcW w:w="21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5593216" w14:textId="77777777" w:rsidR="008B5590" w:rsidRDefault="000C3EC6">
            <w:r>
              <w:rPr>
                <w:b/>
                <w:bCs/>
                <w:color w:val="FFFFFF"/>
                <w:sz w:val="20"/>
                <w:szCs w:val="20"/>
              </w:rPr>
              <w:t>Sample Size</w:t>
            </w:r>
          </w:p>
        </w:tc>
        <w:tc>
          <w:tcPr>
            <w:tcW w:w="21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9E3688E" w14:textId="77777777" w:rsidR="008B5590" w:rsidRDefault="000C3EC6">
            <w:r>
              <w:rPr>
                <w:b/>
                <w:bCs/>
                <w:color w:val="FFFFFF"/>
                <w:sz w:val="20"/>
                <w:szCs w:val="20"/>
              </w:rPr>
              <w:t>Attrition Rate</w:t>
            </w:r>
          </w:p>
        </w:tc>
        <w:tc>
          <w:tcPr>
            <w:tcW w:w="236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242F0573" w14:textId="77777777" w:rsidR="008B5590" w:rsidRDefault="000C3EC6">
            <w:r>
              <w:rPr>
                <w:b/>
                <w:bCs/>
                <w:color w:val="FFFFFF"/>
                <w:sz w:val="20"/>
                <w:szCs w:val="20"/>
              </w:rPr>
              <w:t>Risk vs Average</w:t>
            </w:r>
          </w:p>
        </w:tc>
      </w:tr>
      <w:tr w:rsidR="008B5590" w14:paraId="0C6E20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3DF6F" w14:textId="77777777" w:rsidR="008B5590" w:rsidRDefault="000C3EC6">
            <w:r>
              <w:rPr>
                <w:sz w:val="20"/>
                <w:szCs w:val="20"/>
              </w:rPr>
              <w:t>No OverTime</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0F8874" w14:textId="77777777" w:rsidR="008B5590" w:rsidRDefault="000C3EC6">
            <w:r>
              <w:rPr>
                <w:sz w:val="20"/>
                <w:szCs w:val="20"/>
              </w:rPr>
              <w:t>1,058 (72%)</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F2AFE4" w14:textId="77777777" w:rsidR="008B5590" w:rsidRDefault="000C3EC6">
            <w:r>
              <w:rPr>
                <w:sz w:val="20"/>
                <w:szCs w:val="20"/>
              </w:rPr>
              <w:t>~14%</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52B171" w14:textId="77777777" w:rsidR="008B5590" w:rsidRDefault="000C3EC6">
            <w:r>
              <w:rPr>
                <w:sz w:val="20"/>
                <w:szCs w:val="20"/>
              </w:rPr>
              <w:t>Below average</w:t>
            </w:r>
          </w:p>
        </w:tc>
      </w:tr>
      <w:tr w:rsidR="008B5590" w14:paraId="35A67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2BAC" w14:textId="77777777" w:rsidR="008B5590" w:rsidRDefault="000C3EC6">
            <w:r>
              <w:rPr>
                <w:sz w:val="20"/>
                <w:szCs w:val="20"/>
              </w:rPr>
              <w:t>OverTime Required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4F70" w14:textId="77777777" w:rsidR="008B5590" w:rsidRDefault="000C3EC6">
            <w:r>
              <w:rPr>
                <w:sz w:val="20"/>
                <w:szCs w:val="20"/>
              </w:rPr>
              <w:t>412 (28%)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292A" w14:textId="77777777" w:rsidR="008B5590" w:rsidRDefault="000C3EC6">
            <w:r>
              <w:rPr>
                <w:sz w:val="20"/>
                <w:szCs w:val="20"/>
              </w:rPr>
              <w:t>~42%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3A47" w14:textId="77777777" w:rsidR="008B5590" w:rsidRDefault="000C3EC6">
            <w:r>
              <w:rPr>
                <w:sz w:val="20"/>
                <w:szCs w:val="20"/>
              </w:rPr>
              <w:t>3× higher</w:t>
            </w:r>
          </w:p>
        </w:tc>
      </w:tr>
    </w:tbl>
    <w:p w14:paraId="4F7FA6F1" w14:textId="77777777" w:rsidR="008B5590" w:rsidRDefault="008B5590">
      <w:pPr>
        <w:spacing w:after="280"/>
      </w:pPr>
    </w:p>
    <w:p w14:paraId="6F343C3F" w14:textId="77777777" w:rsidR="008B5590" w:rsidRDefault="000C3EC6">
      <w:pPr>
        <w:spacing w:after="140"/>
      </w:pPr>
      <w:r>
        <w:t>This finding is unambiguous: mandatory, uncompensated overtime is a major driver of voluntary turnover. The cost of replacing employees who leave due to burnout far exceeds the cost of better overtime management policies.</w:t>
      </w:r>
    </w:p>
    <w:p w14:paraId="41F82EC7" w14:textId="77777777" w:rsidR="008B5590" w:rsidRDefault="000C3EC6">
      <w:r>
        <w:br w:type="page"/>
      </w:r>
    </w:p>
    <w:p w14:paraId="692765BA" w14:textId="77777777" w:rsidR="008B5590" w:rsidRDefault="000C3EC6">
      <w:pPr>
        <w:pStyle w:val="Heading1"/>
        <w:pBdr>
          <w:bottom w:val="single" w:sz="8" w:space="1" w:color="2980B9"/>
        </w:pBdr>
        <w:spacing w:before="360" w:after="160"/>
      </w:pPr>
      <w:r>
        <w:rPr>
          <w:b/>
          <w:bCs/>
          <w:color w:val="1A3A6E"/>
        </w:rPr>
        <w:t>5. Strategic Retention Recommendations</w:t>
      </w:r>
    </w:p>
    <w:p w14:paraId="27767DD1" w14:textId="77777777" w:rsidR="008B5590" w:rsidRDefault="000C3EC6">
      <w:pPr>
        <w:pStyle w:val="Heading2"/>
        <w:spacing w:before="280" w:after="120"/>
      </w:pPr>
      <w:r>
        <w:rPr>
          <w:b/>
          <w:bCs/>
          <w:color w:val="2C3E50"/>
        </w:rPr>
        <w:t>5.1 Compensation Review — Immediate Action</w:t>
      </w:r>
    </w:p>
    <w:p w14:paraId="07C58E53" w14:textId="77777777" w:rsidR="008B5590" w:rsidRDefault="000C3EC6">
      <w:pPr>
        <w:spacing w:after="140"/>
      </w:pPr>
      <w:r>
        <w:t>Conduct a market-rate compensation analysis for all roles, with priority given to employees earning below $3,500/month. A targeted 8–12% salary adjustment for bottom-quartile earners is estimated to reduce overall attrition by 4–6 percentage points, representing significant cost savings vs. replacement costs.</w:t>
      </w:r>
    </w:p>
    <w:p w14:paraId="40F1BFFF" w14:textId="77777777" w:rsidR="008B5590" w:rsidRDefault="000C3EC6">
      <w:pPr>
        <w:pStyle w:val="ListParagraph"/>
        <w:numPr>
          <w:ilvl w:val="0"/>
          <w:numId w:val="2"/>
        </w:numPr>
        <w:spacing w:after="100"/>
      </w:pPr>
      <w:r>
        <w:t>Commission an external benchmarking study within 30 days</w:t>
      </w:r>
    </w:p>
    <w:p w14:paraId="155F7C2C" w14:textId="77777777" w:rsidR="008B5590" w:rsidRDefault="000C3EC6">
      <w:pPr>
        <w:pStyle w:val="ListParagraph"/>
        <w:numPr>
          <w:ilvl w:val="0"/>
          <w:numId w:val="2"/>
        </w:numPr>
        <w:spacing w:after="100"/>
      </w:pPr>
      <w:r>
        <w:t>Implement salary bands with transparent progression criteria</w:t>
      </w:r>
    </w:p>
    <w:p w14:paraId="0B2B51FE" w14:textId="77777777" w:rsidR="008B5590" w:rsidRDefault="000C3EC6">
      <w:pPr>
        <w:pStyle w:val="ListParagraph"/>
        <w:numPr>
          <w:ilvl w:val="0"/>
          <w:numId w:val="2"/>
        </w:numPr>
        <w:spacing w:after="100"/>
      </w:pPr>
      <w:r>
        <w:t>Introduce retention bonuses for employees in their 1st and 2nd year</w:t>
      </w:r>
    </w:p>
    <w:p w14:paraId="17F544FC" w14:textId="77777777" w:rsidR="008B5590" w:rsidRDefault="008B5590">
      <w:pPr>
        <w:spacing w:after="160"/>
      </w:pPr>
    </w:p>
    <w:p w14:paraId="37642481" w14:textId="77777777" w:rsidR="008B5590" w:rsidRDefault="000C3EC6">
      <w:pPr>
        <w:pStyle w:val="Heading2"/>
        <w:spacing w:before="280" w:after="120"/>
      </w:pPr>
      <w:r>
        <w:rPr>
          <w:b/>
          <w:bCs/>
          <w:color w:val="2C3E50"/>
        </w:rPr>
        <w:t>5.2 Overtime Policy Reform — 60-Day Priority</w:t>
      </w:r>
    </w:p>
    <w:p w14:paraId="17D9421B" w14:textId="77777777" w:rsidR="008B5590" w:rsidRDefault="000C3EC6">
      <w:pPr>
        <w:spacing w:after="140"/>
      </w:pPr>
      <w:r>
        <w:t>Implement a mandatory overtime cap policy and introduce compensatory time or premium pay for overtime hours. Manager scorecards should include team work-life balance metrics to create accountability. Consider piloting a 4-day work week trial in the highest-OT departments.</w:t>
      </w:r>
    </w:p>
    <w:p w14:paraId="04C9C61A" w14:textId="77777777" w:rsidR="008B5590" w:rsidRDefault="000C3EC6">
      <w:pPr>
        <w:pStyle w:val="ListParagraph"/>
        <w:numPr>
          <w:ilvl w:val="0"/>
          <w:numId w:val="2"/>
        </w:numPr>
        <w:spacing w:after="100"/>
      </w:pPr>
      <w:r>
        <w:t>Set a maximum of 4 overtime hours per week without director approval</w:t>
      </w:r>
    </w:p>
    <w:p w14:paraId="4BC18114" w14:textId="77777777" w:rsidR="008B5590" w:rsidRDefault="000C3EC6">
      <w:pPr>
        <w:pStyle w:val="ListParagraph"/>
        <w:numPr>
          <w:ilvl w:val="0"/>
          <w:numId w:val="2"/>
        </w:numPr>
        <w:spacing w:after="100"/>
      </w:pPr>
      <w:r>
        <w:t>Introduce OT Pay Premium of 1.5× for hours beyond standard schedule</w:t>
      </w:r>
    </w:p>
    <w:p w14:paraId="5981A77E" w14:textId="77777777" w:rsidR="008B5590" w:rsidRDefault="000C3EC6">
      <w:pPr>
        <w:pStyle w:val="ListParagraph"/>
        <w:numPr>
          <w:ilvl w:val="0"/>
          <w:numId w:val="2"/>
        </w:numPr>
        <w:spacing w:after="100"/>
      </w:pPr>
      <w:r>
        <w:t>Add "Team Work-Life Balance Score" to manager KPIs from Q2 2026</w:t>
      </w:r>
    </w:p>
    <w:p w14:paraId="5E0374B3" w14:textId="77777777" w:rsidR="008B5590" w:rsidRDefault="008B5590">
      <w:pPr>
        <w:spacing w:after="160"/>
      </w:pPr>
    </w:p>
    <w:p w14:paraId="45A0CE65" w14:textId="77777777" w:rsidR="008B5590" w:rsidRDefault="000C3EC6">
      <w:pPr>
        <w:pStyle w:val="Heading2"/>
        <w:spacing w:before="280" w:after="120"/>
      </w:pPr>
      <w:r>
        <w:rPr>
          <w:b/>
          <w:bCs/>
          <w:color w:val="2C3E50"/>
        </w:rPr>
        <w:t>5.3 Career Development &amp; Promotion Pathways — 90-Day Priority</w:t>
      </w:r>
    </w:p>
    <w:p w14:paraId="451ACA97" w14:textId="77777777" w:rsidR="008B5590" w:rsidRDefault="000C3EC6">
      <w:pPr>
        <w:spacing w:after="140"/>
      </w:pPr>
      <w:r>
        <w:t>Create structured career ladders with clear promotion criteria and timelines. Employees should never be uncertain about what they need to do to advance. The data shows that YearsSinceLastPromotion is also a significant predictor — long promotion gaps erode engagement and accelerate turnover.</w:t>
      </w:r>
    </w:p>
    <w:p w14:paraId="2FDACACA" w14:textId="77777777" w:rsidR="008B5590" w:rsidRDefault="000C3EC6">
      <w:pPr>
        <w:pStyle w:val="ListParagraph"/>
        <w:numPr>
          <w:ilvl w:val="0"/>
          <w:numId w:val="2"/>
        </w:numPr>
        <w:spacing w:after="100"/>
      </w:pPr>
      <w:r>
        <w:t>Introduce bi-annual promotion review cycles (replacing ad hoc promotions)</w:t>
      </w:r>
    </w:p>
    <w:p w14:paraId="77A2693E" w14:textId="77777777" w:rsidR="008B5590" w:rsidRDefault="000C3EC6">
      <w:pPr>
        <w:pStyle w:val="ListParagraph"/>
        <w:numPr>
          <w:ilvl w:val="0"/>
          <w:numId w:val="2"/>
        </w:numPr>
        <w:spacing w:after="100"/>
      </w:pPr>
      <w:r>
        <w:t>Build Individual Development Plans (IDPs) for all employees within 90 days</w:t>
      </w:r>
    </w:p>
    <w:p w14:paraId="2CAC62C4" w14:textId="77777777" w:rsidR="008B5590" w:rsidRDefault="000C3EC6">
      <w:pPr>
        <w:pStyle w:val="ListParagraph"/>
        <w:numPr>
          <w:ilvl w:val="0"/>
          <w:numId w:val="2"/>
        </w:numPr>
        <w:spacing w:after="100"/>
      </w:pPr>
      <w:r>
        <w:t>Create a mentorship programme pairing junior employees (high-risk group) with senior staff</w:t>
      </w:r>
    </w:p>
    <w:p w14:paraId="6C55BAC3" w14:textId="77777777" w:rsidR="008B5590" w:rsidRDefault="008B5590">
      <w:pPr>
        <w:spacing w:after="160"/>
      </w:pPr>
    </w:p>
    <w:p w14:paraId="2FEAC892" w14:textId="77777777" w:rsidR="008B5590" w:rsidRDefault="000C3EC6">
      <w:pPr>
        <w:pStyle w:val="Heading2"/>
        <w:spacing w:before="280" w:after="120"/>
      </w:pPr>
      <w:r>
        <w:rPr>
          <w:b/>
          <w:bCs/>
          <w:color w:val="2C3E50"/>
        </w:rPr>
        <w:t>5.4 Enhanced Onboarding Programme — Critical 2-Year Window</w:t>
      </w:r>
    </w:p>
    <w:p w14:paraId="5D1D5B16" w14:textId="77777777" w:rsidR="008B5590" w:rsidRDefault="000C3EC6">
      <w:pPr>
        <w:spacing w:after="140"/>
      </w:pPr>
      <w:r>
        <w:t>Given that 40%+ of attrition occurs in the first 2 years, investment in onboarding is the highest-ROI intervention available. The programme should extend well beyond the first 90 days and include structured touchpoints at 6, 12, 18, and 24 months.</w:t>
      </w:r>
    </w:p>
    <w:p w14:paraId="4A3C30DC" w14:textId="77777777" w:rsidR="008B5590" w:rsidRDefault="000C3EC6">
      <w:pPr>
        <w:pStyle w:val="ListParagraph"/>
        <w:numPr>
          <w:ilvl w:val="0"/>
          <w:numId w:val="2"/>
        </w:numPr>
        <w:spacing w:after="100"/>
      </w:pPr>
      <w:r>
        <w:t>Assign a dedicated buddy and manager check-ins for the first 12 months</w:t>
      </w:r>
    </w:p>
    <w:p w14:paraId="022B47E9" w14:textId="77777777" w:rsidR="008B5590" w:rsidRDefault="000C3EC6">
      <w:pPr>
        <w:pStyle w:val="ListParagraph"/>
        <w:numPr>
          <w:ilvl w:val="0"/>
          <w:numId w:val="2"/>
        </w:numPr>
        <w:spacing w:after="100"/>
      </w:pPr>
      <w:r>
        <w:t>Conduct "Stay Interviews" at 6 months and 18 months for all new hires</w:t>
      </w:r>
    </w:p>
    <w:p w14:paraId="51725CE8" w14:textId="77777777" w:rsidR="008B5590" w:rsidRDefault="000C3EC6">
      <w:pPr>
        <w:pStyle w:val="ListParagraph"/>
        <w:numPr>
          <w:ilvl w:val="0"/>
          <w:numId w:val="2"/>
        </w:numPr>
        <w:spacing w:after="100"/>
      </w:pPr>
      <w:r>
        <w:t>Target the watch-list employees for personal HR outreach within 2 weeks</w:t>
      </w:r>
    </w:p>
    <w:p w14:paraId="2B631105" w14:textId="77777777" w:rsidR="008B5590" w:rsidRDefault="000C3EC6">
      <w:r>
        <w:br w:type="page"/>
      </w:r>
    </w:p>
    <w:p w14:paraId="1290A40B" w14:textId="77777777" w:rsidR="008B5590" w:rsidRDefault="000C3EC6">
      <w:pPr>
        <w:pStyle w:val="Heading1"/>
        <w:pBdr>
          <w:bottom w:val="single" w:sz="8" w:space="1" w:color="2980B9"/>
        </w:pBdr>
        <w:spacing w:before="360" w:after="160"/>
      </w:pPr>
      <w:r>
        <w:rPr>
          <w:b/>
          <w:bCs/>
          <w:color w:val="1A3A6E"/>
        </w:rPr>
        <w:t>6. Methodology &amp; Model Notes</w:t>
      </w:r>
    </w:p>
    <w:p w14:paraId="51F1E873" w14:textId="77777777" w:rsidR="008B5590" w:rsidRDefault="000C3EC6">
      <w:pPr>
        <w:spacing w:after="140"/>
      </w:pPr>
      <w:r>
        <w:t>Two classification models were trained on the 80% training split of the dataset, with the remaining 20% held out for unbiased evaluation:</w:t>
      </w:r>
    </w:p>
    <w:p w14:paraId="486F754B" w14:textId="77777777" w:rsidR="008B5590" w:rsidRDefault="008B55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8B5590" w14:paraId="411D88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6F39F33" w14:textId="77777777" w:rsidR="008B5590" w:rsidRDefault="000C3EC6">
            <w:r>
              <w:rPr>
                <w:b/>
                <w:bCs/>
                <w:color w:val="FFFFFF"/>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B2F6960" w14:textId="77777777" w:rsidR="008B5590" w:rsidRDefault="000C3EC6">
            <w:r>
              <w:rPr>
                <w:b/>
                <w:bCs/>
                <w:color w:val="FFFFFF"/>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64EA7FD5" w14:textId="77777777" w:rsidR="008B5590" w:rsidRDefault="000C3EC6">
            <w:r>
              <w:rPr>
                <w:b/>
                <w:bCs/>
                <w:color w:val="FFFFFF"/>
                <w:sz w:val="20"/>
                <w:szCs w:val="20"/>
              </w:rPr>
              <w:t>AUC-ROC</w:t>
            </w:r>
          </w:p>
        </w:tc>
        <w:tc>
          <w:tcPr>
            <w:tcW w:w="356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1337073E" w14:textId="77777777" w:rsidR="008B5590" w:rsidRDefault="000C3EC6">
            <w:r>
              <w:rPr>
                <w:b/>
                <w:bCs/>
                <w:color w:val="FFFFFF"/>
                <w:sz w:val="20"/>
                <w:szCs w:val="20"/>
              </w:rPr>
              <w:t>Strengths</w:t>
            </w:r>
          </w:p>
        </w:tc>
      </w:tr>
      <w:tr w:rsidR="008B5590" w14:paraId="7986D5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097794" w14:textId="77777777" w:rsidR="008B5590" w:rsidRDefault="000C3EC6">
            <w:r>
              <w:rPr>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3D38A3" w14:textId="2822A98E" w:rsidR="008B5590" w:rsidRDefault="000C3EC6">
            <w:r>
              <w:rPr>
                <w:sz w:val="20"/>
                <w:szCs w:val="20"/>
              </w:rPr>
              <w:t>6</w:t>
            </w:r>
            <w:r w:rsidR="00F46F52">
              <w:rPr>
                <w:sz w:val="20"/>
                <w:szCs w:val="20"/>
              </w:rPr>
              <w:t>7</w:t>
            </w:r>
            <w:r>
              <w:rPr>
                <w:sz w:val="20"/>
                <w:szCs w:val="20"/>
              </w:rPr>
              <w:t>.</w:t>
            </w:r>
            <w:r w:rsidR="00F46F52">
              <w:rPr>
                <w:sz w:val="20"/>
                <w:szCs w:val="20"/>
              </w:rPr>
              <w:t>2</w:t>
            </w: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B2B72F" w14:textId="343CCC00" w:rsidR="008B5590" w:rsidRDefault="000C3EC6">
            <w:r>
              <w:rPr>
                <w:sz w:val="20"/>
                <w:szCs w:val="20"/>
              </w:rPr>
              <w:t>0.</w:t>
            </w:r>
            <w:r w:rsidR="00F46F52">
              <w:rPr>
                <w:sz w:val="20"/>
                <w:szCs w:val="20"/>
              </w:rPr>
              <w:t>715</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2A4431" w14:textId="77777777" w:rsidR="008B5590" w:rsidRDefault="000C3EC6">
            <w:r>
              <w:rPr>
                <w:sz w:val="20"/>
                <w:szCs w:val="20"/>
              </w:rPr>
              <w:t>Interpretable; strong at detecting leavers (recall)</w:t>
            </w:r>
          </w:p>
        </w:tc>
      </w:tr>
      <w:tr w:rsidR="008B5590" w14:paraId="54F3B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A90F" w14:textId="77777777" w:rsidR="008B5590" w:rsidRDefault="000C3EC6">
            <w:r>
              <w:rPr>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7898" w14:textId="7032789D" w:rsidR="008B5590" w:rsidRDefault="000C3EC6">
            <w:r>
              <w:rPr>
                <w:sz w:val="20"/>
                <w:szCs w:val="20"/>
              </w:rPr>
              <w:t>7</w:t>
            </w:r>
            <w:r w:rsidR="00F46F52">
              <w:rPr>
                <w:sz w:val="20"/>
                <w:szCs w:val="20"/>
              </w:rPr>
              <w:t>5</w:t>
            </w:r>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33863" w14:textId="23C81903" w:rsidR="008B5590" w:rsidRDefault="000C3EC6">
            <w:r>
              <w:rPr>
                <w:sz w:val="20"/>
                <w:szCs w:val="20"/>
              </w:rPr>
              <w:t>0.</w:t>
            </w:r>
            <w:r w:rsidR="00F46F52">
              <w:rPr>
                <w:sz w:val="20"/>
                <w:szCs w:val="20"/>
              </w:rPr>
              <w:t>713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E749" w14:textId="77777777" w:rsidR="008B5590" w:rsidRDefault="000C3EC6">
            <w:r>
              <w:rPr>
                <w:sz w:val="20"/>
                <w:szCs w:val="20"/>
              </w:rPr>
              <w:t>Higher overall accuracy; better feature importance</w:t>
            </w:r>
          </w:p>
        </w:tc>
      </w:tr>
    </w:tbl>
    <w:p w14:paraId="243F3F12" w14:textId="77777777" w:rsidR="008B5590" w:rsidRDefault="008B5590">
      <w:pPr>
        <w:spacing w:after="280"/>
      </w:pPr>
    </w:p>
    <w:p w14:paraId="29635AA0" w14:textId="77777777" w:rsidR="008B5590" w:rsidRDefault="000C3EC6">
      <w:pPr>
        <w:spacing w:after="140"/>
      </w:pPr>
      <w:r>
        <w:t>The Logistic Regression model has higher AUC-ROC, indicating better rank-ordering of risk. For practical deployment in generating the watch list, both models were consulted. The Random Forest provides feature importance scores that validate and quantify the EDA findings.</w:t>
      </w:r>
    </w:p>
    <w:p w14:paraId="639871BB" w14:textId="77777777" w:rsidR="008B5590" w:rsidRDefault="000C3EC6">
      <w:pPr>
        <w:spacing w:after="140"/>
      </w:pPr>
      <w:r>
        <w:t>Note: Class imbalance (73% stayed, 27% left) was addressed using balanced class weights. All categorical variables were properly encoded — ordinal features (satisfaction scales) were label-encoded, and nominal features (Department, JobRole, etc.) were one-hot encoded.</w:t>
      </w:r>
    </w:p>
    <w:p w14:paraId="6A500951" w14:textId="77777777" w:rsidR="008B5590" w:rsidRDefault="000C3EC6">
      <w:pPr>
        <w:pStyle w:val="Heading1"/>
        <w:pBdr>
          <w:bottom w:val="single" w:sz="8" w:space="1" w:color="2980B9"/>
        </w:pBdr>
        <w:spacing w:before="360" w:after="160"/>
      </w:pPr>
      <w:r>
        <w:rPr>
          <w:b/>
          <w:bCs/>
          <w:color w:val="1A3A6E"/>
        </w:rPr>
        <w:t>7.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00"/>
        <w:gridCol w:w="2360"/>
      </w:tblGrid>
      <w:tr w:rsidR="008B5590" w14:paraId="700403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1B826855" w14:textId="77777777" w:rsidR="008B5590" w:rsidRDefault="000C3EC6">
            <w:r>
              <w:rPr>
                <w:b/>
                <w:bCs/>
                <w:color w:val="FFFFFF"/>
                <w:sz w:val="20"/>
                <w:szCs w:val="20"/>
              </w:rPr>
              <w:t>Priority</w:t>
            </w:r>
          </w:p>
        </w:tc>
        <w:tc>
          <w:tcPr>
            <w:tcW w:w="30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4E93AAD" w14:textId="77777777" w:rsidR="008B5590" w:rsidRDefault="000C3EC6">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327CE8B9" w14:textId="77777777" w:rsidR="008B5590" w:rsidRDefault="000C3EC6">
            <w:r>
              <w:rPr>
                <w:b/>
                <w:bCs/>
                <w:color w:val="FFFFFF"/>
                <w:sz w:val="20"/>
                <w:szCs w:val="20"/>
              </w:rPr>
              <w:t>Owner</w:t>
            </w:r>
          </w:p>
        </w:tc>
        <w:tc>
          <w:tcPr>
            <w:tcW w:w="236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tcPr>
          <w:p w14:paraId="7CF8CE01" w14:textId="77777777" w:rsidR="008B5590" w:rsidRDefault="000C3EC6">
            <w:r>
              <w:rPr>
                <w:b/>
                <w:bCs/>
                <w:color w:val="FFFFFF"/>
                <w:sz w:val="20"/>
                <w:szCs w:val="20"/>
              </w:rPr>
              <w:t>Timeline</w:t>
            </w:r>
          </w:p>
        </w:tc>
      </w:tr>
      <w:tr w:rsidR="008B5590" w14:paraId="4A87E1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086C52" w14:textId="77777777" w:rsidR="008B5590" w:rsidRDefault="000C3EC6">
            <w:r>
              <w:rPr>
                <w:sz w:val="20"/>
                <w:szCs w:val="20"/>
              </w:rPr>
              <w:t>P1 — Critical</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305FA2" w14:textId="77777777" w:rsidR="008B5590" w:rsidRDefault="000C3EC6">
            <w:r>
              <w:rPr>
                <w:sz w:val="20"/>
                <w:szCs w:val="20"/>
              </w:rPr>
              <w:t>Contact top 20 watch-list employees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D17529" w14:textId="77777777" w:rsidR="008B5590" w:rsidRDefault="000C3EC6">
            <w:r>
              <w:rPr>
                <w:sz w:val="20"/>
                <w:szCs w:val="20"/>
              </w:rPr>
              <w:t>HR Business Partners</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887F48" w14:textId="77777777" w:rsidR="008B5590" w:rsidRDefault="000C3EC6">
            <w:r>
              <w:rPr>
                <w:sz w:val="20"/>
                <w:szCs w:val="20"/>
              </w:rPr>
              <w:t>This week</w:t>
            </w:r>
          </w:p>
        </w:tc>
      </w:tr>
      <w:tr w:rsidR="008B5590" w14:paraId="0A1FC0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2823" w14:textId="77777777" w:rsidR="008B5590" w:rsidRDefault="000C3EC6">
            <w:r>
              <w:rPr>
                <w:sz w:val="20"/>
                <w:szCs w:val="20"/>
              </w:rPr>
              <w:t>P1 — Critical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CB90E" w14:textId="77777777" w:rsidR="008B5590" w:rsidRDefault="000C3EC6">
            <w:r>
              <w:rPr>
                <w:sz w:val="20"/>
                <w:szCs w:val="20"/>
              </w:rPr>
              <w:t>Launch compensation benchmarking study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42EF7" w14:textId="77777777" w:rsidR="008B5590" w:rsidRDefault="000C3EC6">
            <w:r>
              <w:rPr>
                <w:sz w:val="20"/>
                <w:szCs w:val="20"/>
              </w:rPr>
              <w:t>Total Rewards Team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AB49D" w14:textId="77777777" w:rsidR="008B5590" w:rsidRDefault="000C3EC6">
            <w:r>
              <w:rPr>
                <w:sz w:val="20"/>
                <w:szCs w:val="20"/>
              </w:rPr>
              <w:t>30 days</w:t>
            </w:r>
          </w:p>
        </w:tc>
      </w:tr>
      <w:tr w:rsidR="008B5590" w14:paraId="59817F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2F9E49" w14:textId="77777777" w:rsidR="008B5590" w:rsidRDefault="000C3EC6">
            <w:r>
              <w:rPr>
                <w:sz w:val="20"/>
                <w:szCs w:val="20"/>
              </w:rPr>
              <w:t>P2 — High</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D856DF" w14:textId="77777777" w:rsidR="008B5590" w:rsidRDefault="000C3EC6">
            <w:r>
              <w:rPr>
                <w:sz w:val="20"/>
                <w:szCs w:val="20"/>
              </w:rPr>
              <w:t>Implement OT policy cap &amp; premium pay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8988B1" w14:textId="77777777" w:rsidR="008B5590" w:rsidRDefault="000C3EC6">
            <w:r>
              <w:rPr>
                <w:sz w:val="20"/>
                <w:szCs w:val="20"/>
              </w:rPr>
              <w:t>HR Director + Legal</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4DECC8" w14:textId="77777777" w:rsidR="008B5590" w:rsidRDefault="000C3EC6">
            <w:r>
              <w:rPr>
                <w:sz w:val="20"/>
                <w:szCs w:val="20"/>
              </w:rPr>
              <w:t>60 days</w:t>
            </w:r>
          </w:p>
        </w:tc>
      </w:tr>
      <w:tr w:rsidR="008B5590" w14:paraId="685FDF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89AC" w14:textId="77777777" w:rsidR="008B5590" w:rsidRDefault="000C3EC6">
            <w:r>
              <w:rPr>
                <w:sz w:val="20"/>
                <w:szCs w:val="20"/>
              </w:rPr>
              <w:t>P2 — 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F7774" w14:textId="77777777" w:rsidR="008B5590" w:rsidRDefault="000C3EC6">
            <w:r>
              <w:rPr>
                <w:sz w:val="20"/>
                <w:szCs w:val="20"/>
              </w:rPr>
              <w:t>Deploy predictive model to HR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9388" w14:textId="77777777" w:rsidR="008B5590" w:rsidRDefault="000C3EC6">
            <w:r>
              <w:rPr>
                <w:sz w:val="20"/>
                <w:szCs w:val="20"/>
              </w:rPr>
              <w:t>People Analytics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7B96" w14:textId="77777777" w:rsidR="008B5590" w:rsidRDefault="000C3EC6">
            <w:r>
              <w:rPr>
                <w:sz w:val="20"/>
                <w:szCs w:val="20"/>
              </w:rPr>
              <w:t>60 days</w:t>
            </w:r>
          </w:p>
        </w:tc>
      </w:tr>
      <w:tr w:rsidR="008B5590" w14:paraId="5153C0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0603C2" w14:textId="77777777" w:rsidR="008B5590" w:rsidRDefault="000C3EC6">
            <w:r>
              <w:rPr>
                <w:sz w:val="20"/>
                <w:szCs w:val="20"/>
              </w:rPr>
              <w:t>P3 — Medium</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CAF635" w14:textId="77777777" w:rsidR="008B5590" w:rsidRDefault="000C3EC6">
            <w:r>
              <w:rPr>
                <w:sz w:val="20"/>
                <w:szCs w:val="20"/>
              </w:rPr>
              <w:t>Design enhanced onboarding programme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5402BA" w14:textId="77777777" w:rsidR="008B5590" w:rsidRDefault="000C3EC6">
            <w:r>
              <w:rPr>
                <w:sz w:val="20"/>
                <w:szCs w:val="20"/>
              </w:rPr>
              <w:t>L&amp;D + HR Ops</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F9919C" w14:textId="77777777" w:rsidR="008B5590" w:rsidRDefault="000C3EC6">
            <w:r>
              <w:rPr>
                <w:sz w:val="20"/>
                <w:szCs w:val="20"/>
              </w:rPr>
              <w:t>90 days</w:t>
            </w:r>
          </w:p>
        </w:tc>
      </w:tr>
      <w:tr w:rsidR="008B5590" w14:paraId="75F8A1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20FF" w14:textId="77777777" w:rsidR="008B5590" w:rsidRDefault="000C3EC6">
            <w:r>
              <w:rPr>
                <w:sz w:val="20"/>
                <w:szCs w:val="20"/>
              </w:rPr>
              <w:t>P3 — 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9A26" w14:textId="77777777" w:rsidR="008B5590" w:rsidRDefault="000C3EC6">
            <w:r>
              <w:rPr>
                <w:sz w:val="20"/>
                <w:szCs w:val="20"/>
              </w:rPr>
              <w:t>Build IDP framework for all employees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7088" w14:textId="77777777" w:rsidR="008B5590" w:rsidRDefault="000C3EC6">
            <w:r>
              <w:rPr>
                <w:sz w:val="20"/>
                <w:szCs w:val="20"/>
              </w:rPr>
              <w:t>L&amp;D Team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EB3E" w14:textId="77777777" w:rsidR="008B5590" w:rsidRDefault="000C3EC6">
            <w:r>
              <w:rPr>
                <w:sz w:val="20"/>
                <w:szCs w:val="20"/>
              </w:rPr>
              <w:t>90 days</w:t>
            </w:r>
          </w:p>
        </w:tc>
      </w:tr>
    </w:tbl>
    <w:p w14:paraId="5E5AC456" w14:textId="77777777" w:rsidR="008B5590" w:rsidRDefault="008B5590">
      <w:pPr>
        <w:spacing w:after="400"/>
      </w:pPr>
    </w:p>
    <w:p w14:paraId="1D749601" w14:textId="4E744215" w:rsidR="008B5590" w:rsidRDefault="008B5590">
      <w:pPr>
        <w:jc w:val="center"/>
      </w:pPr>
    </w:p>
    <w:sectPr w:rsidR="008B559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2D75"/>
    <w:multiLevelType w:val="hybridMultilevel"/>
    <w:tmpl w:val="154421D4"/>
    <w:lvl w:ilvl="0" w:tplc="2190154A">
      <w:start w:val="1"/>
      <w:numFmt w:val="bullet"/>
      <w:lvlText w:val="•"/>
      <w:lvlJc w:val="left"/>
      <w:pPr>
        <w:ind w:left="720" w:hanging="360"/>
      </w:pPr>
    </w:lvl>
    <w:lvl w:ilvl="1" w:tplc="FDC410F2">
      <w:numFmt w:val="decimal"/>
      <w:lvlText w:val=""/>
      <w:lvlJc w:val="left"/>
    </w:lvl>
    <w:lvl w:ilvl="2" w:tplc="614C391A">
      <w:numFmt w:val="decimal"/>
      <w:lvlText w:val=""/>
      <w:lvlJc w:val="left"/>
    </w:lvl>
    <w:lvl w:ilvl="3" w:tplc="18280E8A">
      <w:numFmt w:val="decimal"/>
      <w:lvlText w:val=""/>
      <w:lvlJc w:val="left"/>
    </w:lvl>
    <w:lvl w:ilvl="4" w:tplc="03FA0CBA">
      <w:numFmt w:val="decimal"/>
      <w:lvlText w:val=""/>
      <w:lvlJc w:val="left"/>
    </w:lvl>
    <w:lvl w:ilvl="5" w:tplc="7DDCDD14">
      <w:numFmt w:val="decimal"/>
      <w:lvlText w:val=""/>
      <w:lvlJc w:val="left"/>
    </w:lvl>
    <w:lvl w:ilvl="6" w:tplc="0A4C6A2A">
      <w:numFmt w:val="decimal"/>
      <w:lvlText w:val=""/>
      <w:lvlJc w:val="left"/>
    </w:lvl>
    <w:lvl w:ilvl="7" w:tplc="47BC6B46">
      <w:numFmt w:val="decimal"/>
      <w:lvlText w:val=""/>
      <w:lvlJc w:val="left"/>
    </w:lvl>
    <w:lvl w:ilvl="8" w:tplc="B3E4C63E">
      <w:numFmt w:val="decimal"/>
      <w:lvlText w:val=""/>
      <w:lvlJc w:val="left"/>
    </w:lvl>
  </w:abstractNum>
  <w:abstractNum w:abstractNumId="1" w15:restartNumberingAfterBreak="0">
    <w:nsid w:val="386C50CF"/>
    <w:multiLevelType w:val="hybridMultilevel"/>
    <w:tmpl w:val="94F63D62"/>
    <w:lvl w:ilvl="0" w:tplc="2C5E7540">
      <w:start w:val="1"/>
      <w:numFmt w:val="bullet"/>
      <w:lvlText w:val="●"/>
      <w:lvlJc w:val="left"/>
      <w:pPr>
        <w:ind w:left="720" w:hanging="360"/>
      </w:pPr>
    </w:lvl>
    <w:lvl w:ilvl="1" w:tplc="91307E1E">
      <w:start w:val="1"/>
      <w:numFmt w:val="bullet"/>
      <w:lvlText w:val="○"/>
      <w:lvlJc w:val="left"/>
      <w:pPr>
        <w:ind w:left="1440" w:hanging="360"/>
      </w:pPr>
    </w:lvl>
    <w:lvl w:ilvl="2" w:tplc="C5A03AB2">
      <w:start w:val="1"/>
      <w:numFmt w:val="bullet"/>
      <w:lvlText w:val="■"/>
      <w:lvlJc w:val="left"/>
      <w:pPr>
        <w:ind w:left="2160" w:hanging="360"/>
      </w:pPr>
    </w:lvl>
    <w:lvl w:ilvl="3" w:tplc="1ED065B8">
      <w:start w:val="1"/>
      <w:numFmt w:val="bullet"/>
      <w:lvlText w:val="●"/>
      <w:lvlJc w:val="left"/>
      <w:pPr>
        <w:ind w:left="2880" w:hanging="360"/>
      </w:pPr>
    </w:lvl>
    <w:lvl w:ilvl="4" w:tplc="B3DA675A">
      <w:start w:val="1"/>
      <w:numFmt w:val="bullet"/>
      <w:lvlText w:val="○"/>
      <w:lvlJc w:val="left"/>
      <w:pPr>
        <w:ind w:left="3600" w:hanging="360"/>
      </w:pPr>
    </w:lvl>
    <w:lvl w:ilvl="5" w:tplc="482C3348">
      <w:start w:val="1"/>
      <w:numFmt w:val="bullet"/>
      <w:lvlText w:val="■"/>
      <w:lvlJc w:val="left"/>
      <w:pPr>
        <w:ind w:left="4320" w:hanging="360"/>
      </w:pPr>
    </w:lvl>
    <w:lvl w:ilvl="6" w:tplc="D8C497FE">
      <w:start w:val="1"/>
      <w:numFmt w:val="bullet"/>
      <w:lvlText w:val="●"/>
      <w:lvlJc w:val="left"/>
      <w:pPr>
        <w:ind w:left="5040" w:hanging="360"/>
      </w:pPr>
    </w:lvl>
    <w:lvl w:ilvl="7" w:tplc="98F475FA">
      <w:start w:val="1"/>
      <w:numFmt w:val="bullet"/>
      <w:lvlText w:val="●"/>
      <w:lvlJc w:val="left"/>
      <w:pPr>
        <w:ind w:left="5760" w:hanging="360"/>
      </w:pPr>
    </w:lvl>
    <w:lvl w:ilvl="8" w:tplc="6ED8BB6C">
      <w:start w:val="1"/>
      <w:numFmt w:val="bullet"/>
      <w:lvlText w:val="●"/>
      <w:lvlJc w:val="left"/>
      <w:pPr>
        <w:ind w:left="6480" w:hanging="360"/>
      </w:pPr>
    </w:lvl>
  </w:abstractNum>
  <w:num w:numId="1" w16cid:durableId="467358148">
    <w:abstractNumId w:val="1"/>
    <w:lvlOverride w:ilvl="0">
      <w:startOverride w:val="1"/>
    </w:lvlOverride>
  </w:num>
  <w:num w:numId="2" w16cid:durableId="1692488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590"/>
    <w:rsid w:val="007051C8"/>
    <w:rsid w:val="008B5590"/>
    <w:rsid w:val="00E20B2E"/>
    <w:rsid w:val="00F46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2207"/>
  <w15:docId w15:val="{C4E3FF1D-F104-4669-946D-079A1ACC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Sayee Kadu</cp:lastModifiedBy>
  <cp:revision>2</cp:revision>
  <dcterms:created xsi:type="dcterms:W3CDTF">2026-02-27T19:33:00Z</dcterms:created>
  <dcterms:modified xsi:type="dcterms:W3CDTF">2026-02-27T19:33:00Z</dcterms:modified>
</cp:coreProperties>
</file>