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684" w:rsidRDefault="007C343C">
      <w:pPr>
        <w:jc w:val="center"/>
      </w:pPr>
      <w:r>
        <w:rPr>
          <w:rFonts w:ascii="Aptos" w:hAnsi="Aptos"/>
          <w:color w:val="000000"/>
          <w:sz w:val="44"/>
        </w:rPr>
        <w:t>Nanotechnology in Medicine: Shaping the Future of Healthcare</w:t>
      </w:r>
    </w:p>
    <w:p w:rsidR="00F77684" w:rsidRDefault="007C34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B039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Morgan</w:t>
      </w:r>
    </w:p>
    <w:p w:rsidR="00F77684" w:rsidRDefault="007C343C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8B039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morgan@healthsciences</w:t>
      </w:r>
      <w:r w:rsidR="008B039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77684" w:rsidRDefault="00F77684"/>
    <w:p w:rsidR="00F77684" w:rsidRDefault="007C343C">
      <w:r>
        <w:rPr>
          <w:rFonts w:ascii="Aptos" w:hAnsi="Aptos"/>
          <w:color w:val="000000"/>
          <w:sz w:val="24"/>
        </w:rPr>
        <w:t>Nanotechnology, the manipulation of matter at a nanoscale (1-100 nanometers), holds immense potential to revolutionize various fields, including medicine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unique properties of materials at this scale, scientists can engineer novel medical devices, treatments, and drug delivery systems with unprecedented precision and efficacy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transformative applications of nanotechnology in medicine and explore how it is poised to reshape the future of healthcare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Nanotechnology offers the potential to overcome the limitations of conventional medical approaches by enabling targeted, non-invasive interventions at the cellular and molecular level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nanoscale drug delivery systems can be designed to specifically target diseased cells while sparing healthy tissues, minimizing side effects and improving treatment outcomes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development of nano-enabled sensors and imaging techniques allows for real-time monitoring of physiological processes, enabling early detection and intervention in diseases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nanotechnology can empower the development of innovative, personalized treatments tailored to individual genetic profiles and medical conditions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ability to manipulate matter at the molecular level, researchers can engineer therapies that precisely target specific disease pathways or genetic mutations</w:t>
      </w:r>
      <w:r w:rsidR="008B039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approach holds the promise of transformative outcomes for patients with complex or currently incurable diseases</w:t>
      </w:r>
      <w:r w:rsidR="008B0394">
        <w:rPr>
          <w:rFonts w:ascii="Aptos" w:hAnsi="Aptos"/>
          <w:color w:val="000000"/>
          <w:sz w:val="24"/>
        </w:rPr>
        <w:t>.</w:t>
      </w:r>
    </w:p>
    <w:p w:rsidR="00F77684" w:rsidRDefault="007C343C">
      <w:r>
        <w:rPr>
          <w:rFonts w:ascii="Aptos" w:hAnsi="Aptos"/>
          <w:color w:val="000000"/>
          <w:sz w:val="28"/>
        </w:rPr>
        <w:t>Summary</w:t>
      </w:r>
    </w:p>
    <w:p w:rsidR="00F77684" w:rsidRDefault="007C343C">
      <w:r>
        <w:rPr>
          <w:rFonts w:ascii="Aptos" w:hAnsi="Aptos"/>
          <w:color w:val="000000"/>
        </w:rPr>
        <w:t>Nanotechnology in medicine is a rapidly evolving field with the potential to revolutionize healthcare</w:t>
      </w:r>
      <w:r w:rsidR="008B039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powerful platform for developing targeted drug delivery systems, enhancing diagnostic capabilities, and engineering personalized treatments</w:t>
      </w:r>
      <w:r w:rsidR="008B039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exploiting the unique properties of materials at the nanoscale, researchers can design innovative </w:t>
      </w:r>
      <w:r>
        <w:rPr>
          <w:rFonts w:ascii="Aptos" w:hAnsi="Aptos"/>
          <w:color w:val="000000"/>
        </w:rPr>
        <w:lastRenderedPageBreak/>
        <w:t>solutions that can precisely target diseased cells, minimize side effects, enable early disease detection, and empower personalized medicine</w:t>
      </w:r>
      <w:r w:rsidR="008B039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nanotechnology continues to advance, we can anticipate groundbreaking advancements in healthcare, leading to improved patient outcomes and a healthier future</w:t>
      </w:r>
      <w:r w:rsidR="008B0394">
        <w:rPr>
          <w:rFonts w:ascii="Aptos" w:hAnsi="Aptos"/>
          <w:color w:val="000000"/>
        </w:rPr>
        <w:t>.</w:t>
      </w:r>
    </w:p>
    <w:sectPr w:rsidR="00F776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652018">
    <w:abstractNumId w:val="8"/>
  </w:num>
  <w:num w:numId="2" w16cid:durableId="2111385509">
    <w:abstractNumId w:val="6"/>
  </w:num>
  <w:num w:numId="3" w16cid:durableId="1037048313">
    <w:abstractNumId w:val="5"/>
  </w:num>
  <w:num w:numId="4" w16cid:durableId="66153422">
    <w:abstractNumId w:val="4"/>
  </w:num>
  <w:num w:numId="5" w16cid:durableId="1756783483">
    <w:abstractNumId w:val="7"/>
  </w:num>
  <w:num w:numId="6" w16cid:durableId="9334597">
    <w:abstractNumId w:val="3"/>
  </w:num>
  <w:num w:numId="7" w16cid:durableId="1563321522">
    <w:abstractNumId w:val="2"/>
  </w:num>
  <w:num w:numId="8" w16cid:durableId="1141188545">
    <w:abstractNumId w:val="1"/>
  </w:num>
  <w:num w:numId="9" w16cid:durableId="52148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43C"/>
    <w:rsid w:val="008B0394"/>
    <w:rsid w:val="00AA1D8D"/>
    <w:rsid w:val="00B47730"/>
    <w:rsid w:val="00CB0664"/>
    <w:rsid w:val="00F776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