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47C" w:rsidRDefault="0059369B">
      <w:pPr>
        <w:jc w:val="center"/>
      </w:pPr>
      <w:r>
        <w:rPr>
          <w:rFonts w:ascii="Aptos" w:hAnsi="Aptos"/>
          <w:color w:val="000000"/>
          <w:sz w:val="44"/>
        </w:rPr>
        <w:t>Digital Divide: A Tale of Two Worlds</w:t>
      </w:r>
    </w:p>
    <w:p w:rsidR="00BB647C" w:rsidRDefault="0059369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Thompson</w:t>
      </w:r>
    </w:p>
    <w:p w:rsidR="00BB647C" w:rsidRDefault="0059369B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5C374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thompson@oxforduni</w:t>
      </w:r>
      <w:r w:rsidR="005C374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B647C" w:rsidRDefault="00BB647C"/>
    <w:p w:rsidR="00BB647C" w:rsidRDefault="0059369B">
      <w:r>
        <w:rPr>
          <w:rFonts w:ascii="Aptos" w:hAnsi="Aptos"/>
          <w:color w:val="000000"/>
          <w:sz w:val="24"/>
        </w:rPr>
        <w:t>The digital divide, a chasm separating those with access to technology from those without, profoundly impacts societies worldwide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interconnected age, the digital divide perpetuates inequality, leaving marginalized communities excluded from the benefits of the digital revolution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divide is not merely a technological disparity but a multifaceted societal issue with far-reaching consequences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boundaries between the physical and digital realms blur, the digital divide exacerbates existing social and economic inequalities, amplifying existing disparities in access to information, education, employment, and healthcare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digital chasm manifests in stark contrasts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affluent communities, residents enjoy seamless access to high-speed internet, cutting-edge devices, and the skills to navigate the digital landscape effortlessly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empowered to participate in e-commerce, e-learning, and telemedicine, transforming their lives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contrast, communities locked out of the digital world endure frustrations of slow or nonexistent internet connections, outdated or unaffordable devices, and limited digital literacy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digital exclusion perpetuates a vicious cycle, barring individuals from opportunities for economic and social advancement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digital divide extends far beyond individual experiences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seeps into the fabric of societies, shaping economic growth, educational attainment, and social mobility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Regions with high digital connectivity often exhibit robust economies, while those lagging in digital infrastructure grapple with economic stagnation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divide exacerbates educational inequities, as students from underprivileged backgrounds lack access to digital resources and online learning platforms</w:t>
      </w:r>
      <w:r w:rsidR="005C37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disparity further hampers their ability to compete in the job market</w:t>
      </w:r>
      <w:r w:rsidR="005C3746">
        <w:rPr>
          <w:rFonts w:ascii="Aptos" w:hAnsi="Aptos"/>
          <w:color w:val="000000"/>
          <w:sz w:val="24"/>
        </w:rPr>
        <w:t>.</w:t>
      </w:r>
    </w:p>
    <w:p w:rsidR="00BB647C" w:rsidRDefault="0059369B">
      <w:r>
        <w:rPr>
          <w:rFonts w:ascii="Aptos" w:hAnsi="Aptos"/>
          <w:color w:val="000000"/>
          <w:sz w:val="28"/>
        </w:rPr>
        <w:t>Summary</w:t>
      </w:r>
    </w:p>
    <w:p w:rsidR="00BB647C" w:rsidRDefault="0059369B">
      <w:r>
        <w:rPr>
          <w:rFonts w:ascii="Aptos" w:hAnsi="Aptos"/>
          <w:color w:val="000000"/>
        </w:rPr>
        <w:t>The digital divide remains a pressing challenge, hindering equitable access to technology and its transformative potential</w:t>
      </w:r>
      <w:r w:rsidR="005C37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Addressing this divide requires a multi-faceted approach that includes infrastructure investment, affordability measures, digital literacy training, and inclusive policy frameworks</w:t>
      </w:r>
      <w:r w:rsidR="005C37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Inclusive digital policies that promote affordable access, </w:t>
      </w:r>
      <w:r>
        <w:rPr>
          <w:rFonts w:ascii="Aptos" w:hAnsi="Aptos"/>
          <w:color w:val="000000"/>
        </w:rPr>
        <w:lastRenderedPageBreak/>
        <w:t>digital literacy, and equitable infrastructure development are key to bridging the divide and ensuring that all individuals can actively participate and benefit from the digital age</w:t>
      </w:r>
      <w:r w:rsidR="005C3746">
        <w:rPr>
          <w:rFonts w:ascii="Aptos" w:hAnsi="Aptos"/>
          <w:color w:val="000000"/>
        </w:rPr>
        <w:t>.</w:t>
      </w:r>
    </w:p>
    <w:sectPr w:rsidR="00BB64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999851">
    <w:abstractNumId w:val="8"/>
  </w:num>
  <w:num w:numId="2" w16cid:durableId="18624240">
    <w:abstractNumId w:val="6"/>
  </w:num>
  <w:num w:numId="3" w16cid:durableId="960383675">
    <w:abstractNumId w:val="5"/>
  </w:num>
  <w:num w:numId="4" w16cid:durableId="574781472">
    <w:abstractNumId w:val="4"/>
  </w:num>
  <w:num w:numId="5" w16cid:durableId="897083566">
    <w:abstractNumId w:val="7"/>
  </w:num>
  <w:num w:numId="6" w16cid:durableId="1088379695">
    <w:abstractNumId w:val="3"/>
  </w:num>
  <w:num w:numId="7" w16cid:durableId="820389425">
    <w:abstractNumId w:val="2"/>
  </w:num>
  <w:num w:numId="8" w16cid:durableId="721905402">
    <w:abstractNumId w:val="1"/>
  </w:num>
  <w:num w:numId="9" w16cid:durableId="132913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69B"/>
    <w:rsid w:val="005C3746"/>
    <w:rsid w:val="00AA1D8D"/>
    <w:rsid w:val="00B47730"/>
    <w:rsid w:val="00BB64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