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4CC6" w:rsidRDefault="00E8590E">
      <w:pPr>
        <w:jc w:val="center"/>
      </w:pPr>
      <w:r>
        <w:rPr>
          <w:rFonts w:ascii="Calibri" w:hAnsi="Calibri"/>
          <w:color w:val="000000"/>
          <w:sz w:val="44"/>
        </w:rPr>
        <w:t>Contemporary Challenges in Cybersecurity: A Complex Landscape</w:t>
      </w:r>
    </w:p>
    <w:p w:rsidR="00BF4CC6" w:rsidRDefault="00E859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John Smith</w:t>
      </w:r>
    </w:p>
    <w:p w:rsidR="00BF4CC6" w:rsidRDefault="00E8590E">
      <w:pPr>
        <w:jc w:val="center"/>
      </w:pPr>
      <w:r>
        <w:rPr>
          <w:rFonts w:ascii="Calibri" w:hAnsi="Calibri"/>
          <w:color w:val="000000"/>
          <w:sz w:val="32"/>
        </w:rPr>
        <w:t>jsmith@cybersecurity</w:t>
      </w:r>
      <w:r w:rsidR="008944A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F4CC6" w:rsidRDefault="00BF4CC6"/>
    <w:p w:rsidR="00BF4CC6" w:rsidRDefault="00E8590E">
      <w:r>
        <w:rPr>
          <w:rFonts w:ascii="Calibri" w:hAnsi="Calibri"/>
          <w:color w:val="000000"/>
          <w:sz w:val="24"/>
        </w:rPr>
        <w:t>In the digital era, where technology has become an intricate part of our lives, cybersecurity has emerged as a pressing global concern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rapid advancements and widespread adoption of the internet, cloud computing, and interconnected devices have dramatically expanded the attack surface, creating a fertile ground for malicious actors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evolving nature of cybersecurity threats in the contemporary landscape demands a comprehensive understanding of the challenges at hand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rise of cybercrime, driven by sophisticated cybercriminals and organized crime groups, has resulted in increasingly sophisticated and targeted attacks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proliferation of ransomware, advanced persistent threats, and zero-day vulnerabilities poses significant risks to businesses, governments, and individuals alike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potential for large-scale data breaches, financial losses, and disruption of critical infrastructure poses grave threats to societal stability and economic prosperity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Cyberespionage, a clandestine form of digital infiltration, poses a formidable challenge to national security and corporate competitiveness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State-sponsored adversaries employ sophisticated techniques to steal sensitive information, intellectual property, and trade secrets</w:t>
      </w:r>
      <w:r w:rsidR="008944A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consequences of cyberespionage reach beyond the theft of data, as it can undermine national security, disrupt economic stability, and lead to political instability</w:t>
      </w:r>
      <w:r w:rsidR="008944A2">
        <w:rPr>
          <w:rFonts w:ascii="Calibri" w:hAnsi="Calibri"/>
          <w:color w:val="000000"/>
          <w:sz w:val="24"/>
        </w:rPr>
        <w:t>.</w:t>
      </w:r>
    </w:p>
    <w:p w:rsidR="00BF4CC6" w:rsidRDefault="00E8590E">
      <w:r>
        <w:rPr>
          <w:rFonts w:ascii="Calibri" w:hAnsi="Calibri"/>
          <w:color w:val="000000"/>
          <w:sz w:val="28"/>
        </w:rPr>
        <w:t>Summary</w:t>
      </w:r>
    </w:p>
    <w:p w:rsidR="00BF4CC6" w:rsidRDefault="00E8590E">
      <w:r>
        <w:rPr>
          <w:rFonts w:ascii="Calibri" w:hAnsi="Calibri"/>
          <w:color w:val="000000"/>
        </w:rPr>
        <w:t>Contemporary cybersecurity challenges comprise a complex tapestry of cybercrime, cyberespionage, and the rise of advanced persistent threats</w:t>
      </w:r>
      <w:r w:rsidR="00894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To effectively address these challenges, collaboration among stakeholders, including governments, industry, academia, and international organizations, is crucial</w:t>
      </w:r>
      <w:r w:rsidR="00894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Continuous investment in innovative cybersecurity technologies, awareness campaigns to educate users, and the implementation of comprehensive cybersecurity frameworks are essential</w:t>
      </w:r>
      <w:r w:rsidR="008944A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 commitment to responsible and ethical behavior in cyberspace is paramount in fostering a safer and more secure digital environment for all</w:t>
      </w:r>
      <w:r w:rsidR="008944A2">
        <w:rPr>
          <w:rFonts w:ascii="Calibri" w:hAnsi="Calibri"/>
          <w:color w:val="000000"/>
        </w:rPr>
        <w:t>.</w:t>
      </w:r>
    </w:p>
    <w:sectPr w:rsidR="00BF4C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0951293">
    <w:abstractNumId w:val="8"/>
  </w:num>
  <w:num w:numId="2" w16cid:durableId="2071296030">
    <w:abstractNumId w:val="6"/>
  </w:num>
  <w:num w:numId="3" w16cid:durableId="1454013397">
    <w:abstractNumId w:val="5"/>
  </w:num>
  <w:num w:numId="4" w16cid:durableId="340738079">
    <w:abstractNumId w:val="4"/>
  </w:num>
  <w:num w:numId="5" w16cid:durableId="1276250549">
    <w:abstractNumId w:val="7"/>
  </w:num>
  <w:num w:numId="6" w16cid:durableId="988484980">
    <w:abstractNumId w:val="3"/>
  </w:num>
  <w:num w:numId="7" w16cid:durableId="23487915">
    <w:abstractNumId w:val="2"/>
  </w:num>
  <w:num w:numId="8" w16cid:durableId="92672732">
    <w:abstractNumId w:val="1"/>
  </w:num>
  <w:num w:numId="9" w16cid:durableId="205056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4A2"/>
    <w:rsid w:val="00AA1D8D"/>
    <w:rsid w:val="00B47730"/>
    <w:rsid w:val="00BF4CC6"/>
    <w:rsid w:val="00CB0664"/>
    <w:rsid w:val="00E859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