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792" w:rsidRDefault="00E01053">
      <w:pPr>
        <w:jc w:val="center"/>
      </w:pPr>
      <w:r>
        <w:rPr>
          <w:rFonts w:ascii="TimesNewToman" w:hAnsi="TimesNewToman"/>
          <w:color w:val="000000"/>
          <w:sz w:val="44"/>
        </w:rPr>
        <w:t>Cyber Warfare: The Changing Landscape of Conflict and Security</w:t>
      </w:r>
    </w:p>
    <w:p w:rsidR="006A2792" w:rsidRDefault="00E0105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8071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Eva Patterson</w:t>
      </w:r>
    </w:p>
    <w:p w:rsidR="006A2792" w:rsidRDefault="00E01053">
      <w:pPr>
        <w:jc w:val="center"/>
      </w:pPr>
      <w:r>
        <w:rPr>
          <w:rFonts w:ascii="TimesNewToman" w:hAnsi="TimesNewToman"/>
          <w:color w:val="000000"/>
          <w:sz w:val="32"/>
        </w:rPr>
        <w:t>epatterson@cybersecurityinstitute</w:t>
      </w:r>
      <w:r w:rsidR="00A8071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A2792" w:rsidRDefault="006A2792"/>
    <w:p w:rsidR="006A2792" w:rsidRDefault="00E01053">
      <w:r>
        <w:rPr>
          <w:rFonts w:ascii="TimesNewToman" w:hAnsi="TimesNewToman"/>
          <w:color w:val="000000"/>
          <w:sz w:val="24"/>
        </w:rPr>
        <w:t>Cyber warfare, as the deliberate use of digital tools and technologies to attack and undermine an adversary, has emerged as a significant threat to national security and stability in the 21st century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rapidly evolving landscape challenges traditional notions of warfare, blurring the lines between peace and conflict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transformative nature of cyber warfare, examining its impact on the global community, evolving challenges, and the need for comprehensive strategies to mitigate its threats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 warfare transcends territorial boundaries, targeting critical infrastructure, political systems, financial institutions, and private companies with increasing sophistication and frequency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potential consequences range from disruption of essential services, economic instability, to loss of public trust and geopolitical tensions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anonymity and global reach of cyberspace empower non-state actors, including hacktivist groups and cybercriminal organizations, to engage in cyberattacks with far-reaching implications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cyber warfare raises complex legal and ethical questions, as existing international laws struggle to keep pace with technological advancements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attribution of cyberattacks presents significant challenges, often leading to uncertainty and escalating tensions among nations</w:t>
      </w:r>
      <w:r w:rsidR="00A807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concerns over state-sponsored cyber espionage, intellectual property theft, and manipulation of public opinion further complicate the already intricate web of cyber warfare</w:t>
      </w:r>
      <w:r w:rsidR="00A80714">
        <w:rPr>
          <w:rFonts w:ascii="TimesNewToman" w:hAnsi="TimesNewToman"/>
          <w:color w:val="000000"/>
          <w:sz w:val="24"/>
        </w:rPr>
        <w:t>.</w:t>
      </w:r>
    </w:p>
    <w:p w:rsidR="006A2792" w:rsidRDefault="00E01053">
      <w:r>
        <w:rPr>
          <w:rFonts w:ascii="TimesNewToman" w:hAnsi="TimesNewToman"/>
          <w:color w:val="000000"/>
          <w:sz w:val="28"/>
        </w:rPr>
        <w:t>Summary</w:t>
      </w:r>
    </w:p>
    <w:p w:rsidR="006A2792" w:rsidRDefault="00E01053">
      <w:r>
        <w:rPr>
          <w:rFonts w:ascii="TimesNewToman" w:hAnsi="TimesNewToman"/>
          <w:color w:val="000000"/>
        </w:rPr>
        <w:t>Cyber warfare has reconfigured the dynamics of conflict, blurring the boundaries between war and peace, and challenging traditional notions of national security</w:t>
      </w:r>
      <w:r w:rsidR="00A807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evolving nature of cyber warfare necessitates international cooperation, enhanced cybersecurity measures, and the development of effective regulations and norms to address this ever-growing threat</w:t>
      </w:r>
      <w:r w:rsidR="00A807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global community stands at a critical juncture, tasked with developing comprehensive strategies to mitigate the risks posed by cyber warfare while preserving digital freedoms and upholding the stability of the global digital landscape</w:t>
      </w:r>
      <w:r w:rsidR="00A80714">
        <w:rPr>
          <w:rFonts w:ascii="TimesNewToman" w:hAnsi="TimesNewToman"/>
          <w:color w:val="000000"/>
        </w:rPr>
        <w:t>.</w:t>
      </w:r>
    </w:p>
    <w:sectPr w:rsidR="006A2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45094">
    <w:abstractNumId w:val="8"/>
  </w:num>
  <w:num w:numId="2" w16cid:durableId="739671303">
    <w:abstractNumId w:val="6"/>
  </w:num>
  <w:num w:numId="3" w16cid:durableId="55664540">
    <w:abstractNumId w:val="5"/>
  </w:num>
  <w:num w:numId="4" w16cid:durableId="1311400941">
    <w:abstractNumId w:val="4"/>
  </w:num>
  <w:num w:numId="5" w16cid:durableId="2054380632">
    <w:abstractNumId w:val="7"/>
  </w:num>
  <w:num w:numId="6" w16cid:durableId="1907110099">
    <w:abstractNumId w:val="3"/>
  </w:num>
  <w:num w:numId="7" w16cid:durableId="2100254517">
    <w:abstractNumId w:val="2"/>
  </w:num>
  <w:num w:numId="8" w16cid:durableId="684552899">
    <w:abstractNumId w:val="1"/>
  </w:num>
  <w:num w:numId="9" w16cid:durableId="174124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792"/>
    <w:rsid w:val="00A80714"/>
    <w:rsid w:val="00AA1D8D"/>
    <w:rsid w:val="00B47730"/>
    <w:rsid w:val="00CB0664"/>
    <w:rsid w:val="00E010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