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B05" w:rsidRDefault="0009709D">
      <w:pPr>
        <w:jc w:val="center"/>
      </w:pPr>
      <w:r>
        <w:rPr>
          <w:rFonts w:ascii="TimesNewToman" w:hAnsi="TimesNewToman"/>
          <w:color w:val="000000"/>
          <w:sz w:val="44"/>
        </w:rPr>
        <w:t>Culinary Crossroads: Exploring Global Connections in Cuisine</w:t>
      </w:r>
    </w:p>
    <w:p w:rsidR="004C6B05" w:rsidRDefault="0009709D">
      <w:pPr>
        <w:pStyle w:val="NoSpacing"/>
        <w:jc w:val="center"/>
      </w:pPr>
      <w:r>
        <w:rPr>
          <w:rFonts w:ascii="TimesNewToman" w:hAnsi="TimesNewToman"/>
          <w:color w:val="000000"/>
          <w:sz w:val="36"/>
        </w:rPr>
        <w:t>Amelia Gomez, PhD</w:t>
      </w:r>
    </w:p>
    <w:p w:rsidR="004C6B05" w:rsidRDefault="0009709D">
      <w:pPr>
        <w:jc w:val="center"/>
      </w:pPr>
      <w:r>
        <w:rPr>
          <w:rFonts w:ascii="TimesNewToman" w:hAnsi="TimesNewToman"/>
          <w:color w:val="000000"/>
          <w:sz w:val="32"/>
        </w:rPr>
        <w:t>agomez@culinaryinstitute</w:t>
      </w:r>
      <w:r w:rsidR="000F6960">
        <w:rPr>
          <w:rFonts w:ascii="TimesNewToman" w:hAnsi="TimesNewToman"/>
          <w:color w:val="000000"/>
          <w:sz w:val="32"/>
        </w:rPr>
        <w:t>.</w:t>
      </w:r>
      <w:r>
        <w:rPr>
          <w:rFonts w:ascii="TimesNewToman" w:hAnsi="TimesNewToman"/>
          <w:color w:val="000000"/>
          <w:sz w:val="32"/>
        </w:rPr>
        <w:t>edu</w:t>
      </w:r>
    </w:p>
    <w:p w:rsidR="004C6B05" w:rsidRDefault="004C6B05"/>
    <w:p w:rsidR="004C6B05" w:rsidRDefault="0009709D">
      <w:r>
        <w:rPr>
          <w:rFonts w:ascii="TimesNewToman" w:hAnsi="TimesNewToman"/>
          <w:color w:val="000000"/>
          <w:sz w:val="24"/>
        </w:rPr>
        <w:t>As humans, our connection to food transcends mere sustenance; it weaves a rich tapestry of culture, history, and identity</w:t>
      </w:r>
      <w:r w:rsidR="000F6960">
        <w:rPr>
          <w:rFonts w:ascii="TimesNewToman" w:hAnsi="TimesNewToman"/>
          <w:color w:val="000000"/>
          <w:sz w:val="24"/>
        </w:rPr>
        <w:t>.</w:t>
      </w:r>
      <w:r>
        <w:rPr>
          <w:rFonts w:ascii="TimesNewToman" w:hAnsi="TimesNewToman"/>
          <w:color w:val="000000"/>
          <w:sz w:val="24"/>
        </w:rPr>
        <w:t xml:space="preserve"> Throughout history, cuisine has served as a conduit for global exchange, bridging diverse regions and fostering intercultural dialogue</w:t>
      </w:r>
      <w:r w:rsidR="000F6960">
        <w:rPr>
          <w:rFonts w:ascii="TimesNewToman" w:hAnsi="TimesNewToman"/>
          <w:color w:val="000000"/>
          <w:sz w:val="24"/>
        </w:rPr>
        <w:t>.</w:t>
      </w:r>
      <w:r>
        <w:rPr>
          <w:rFonts w:ascii="TimesNewToman" w:hAnsi="TimesNewToman"/>
          <w:color w:val="000000"/>
          <w:sz w:val="24"/>
        </w:rPr>
        <w:t xml:space="preserve"> From the spice trade that reshaped culinary landscapes to the diaspora of people carrying beloved recipes across borders, food has consistently played a pivotal role in shaping our global community</w:t>
      </w:r>
      <w:r w:rsidR="000F69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essay delves into the myriad ways in which cuisine has facilitated global interconnectedness, showcasing the fascinating interplay between food, culture, and history</w:t>
      </w:r>
      <w:r w:rsidR="000F6960">
        <w:rPr>
          <w:rFonts w:ascii="TimesNewToman" w:hAnsi="TimesNewToman"/>
          <w:color w:val="000000"/>
          <w:sz w:val="24"/>
        </w:rPr>
        <w:t>.</w:t>
      </w:r>
      <w:r>
        <w:rPr>
          <w:rFonts w:ascii="TimesNewToman" w:hAnsi="TimesNewToman"/>
          <w:color w:val="000000"/>
          <w:sz w:val="24"/>
        </w:rPr>
        <w:t xml:space="preserve"> Whether it be through the dissemination of ingredients, the fusion of culinary techniques, or the influence of migration patterns, food has acted as a potent force in fostering understanding and appreciation among people from vastly different backgrounds</w:t>
      </w:r>
      <w:r w:rsidR="000F69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exploration begins by examining the historical significance of trade routes, particularly the Silk Road, in facilitating the exchange of spices, herbs, and other culinary treasures</w:t>
      </w:r>
      <w:r w:rsidR="000F6960">
        <w:rPr>
          <w:rFonts w:ascii="TimesNewToman" w:hAnsi="TimesNewToman"/>
          <w:color w:val="000000"/>
          <w:sz w:val="24"/>
        </w:rPr>
        <w:t>.</w:t>
      </w:r>
      <w:r>
        <w:rPr>
          <w:rFonts w:ascii="TimesNewToman" w:hAnsi="TimesNewToman"/>
          <w:color w:val="000000"/>
          <w:sz w:val="24"/>
        </w:rPr>
        <w:t xml:space="preserve"> This vibrant network of interconnectedness not only introduced novel flavors and ingredients to various regions but also spurred innovation and experimentation within the culinary realm</w:t>
      </w:r>
      <w:r w:rsidR="000F6960">
        <w:rPr>
          <w:rFonts w:ascii="TimesNewToman" w:hAnsi="TimesNewToman"/>
          <w:color w:val="000000"/>
          <w:sz w:val="24"/>
        </w:rPr>
        <w:t>.</w:t>
      </w:r>
    </w:p>
    <w:p w:rsidR="004C6B05" w:rsidRDefault="0009709D">
      <w:r>
        <w:rPr>
          <w:rFonts w:ascii="TimesNewToman" w:hAnsi="TimesNewToman"/>
          <w:color w:val="000000"/>
          <w:sz w:val="28"/>
        </w:rPr>
        <w:t>Summary</w:t>
      </w:r>
    </w:p>
    <w:p w:rsidR="004C6B05" w:rsidRDefault="0009709D">
      <w:r>
        <w:rPr>
          <w:rFonts w:ascii="TimesNewToman" w:hAnsi="TimesNewToman"/>
          <w:color w:val="000000"/>
        </w:rPr>
        <w:t>This essay unveils the profound role that cuisine has played in fostering global interconnectedness, demonstrating how food has served as a catalyst for cultural exchange, innovation, and understanding among diverse communities</w:t>
      </w:r>
      <w:r w:rsidR="000F6960">
        <w:rPr>
          <w:rFonts w:ascii="TimesNewToman" w:hAnsi="TimesNewToman"/>
          <w:color w:val="000000"/>
        </w:rPr>
        <w:t>.</w:t>
      </w:r>
      <w:r>
        <w:rPr>
          <w:rFonts w:ascii="TimesNewToman" w:hAnsi="TimesNewToman"/>
          <w:color w:val="000000"/>
        </w:rPr>
        <w:t xml:space="preserve"> The exploration of historical trade routes, the impact of cultural diffusion, and the influence of migration patterns reveals the remarkable ways in which cuisine has transcended geographic boundaries, enriching our collective culinary heritage and fostering a sense of global kinship</w:t>
      </w:r>
      <w:r w:rsidR="000F6960">
        <w:rPr>
          <w:rFonts w:ascii="TimesNewToman" w:hAnsi="TimesNewToman"/>
          <w:color w:val="000000"/>
        </w:rPr>
        <w:t>.</w:t>
      </w:r>
    </w:p>
    <w:sectPr w:rsidR="004C6B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2821680">
    <w:abstractNumId w:val="8"/>
  </w:num>
  <w:num w:numId="2" w16cid:durableId="311252691">
    <w:abstractNumId w:val="6"/>
  </w:num>
  <w:num w:numId="3" w16cid:durableId="349644221">
    <w:abstractNumId w:val="5"/>
  </w:num>
  <w:num w:numId="4" w16cid:durableId="1087307900">
    <w:abstractNumId w:val="4"/>
  </w:num>
  <w:num w:numId="5" w16cid:durableId="1118766258">
    <w:abstractNumId w:val="7"/>
  </w:num>
  <w:num w:numId="6" w16cid:durableId="2127262417">
    <w:abstractNumId w:val="3"/>
  </w:num>
  <w:num w:numId="7" w16cid:durableId="1739548219">
    <w:abstractNumId w:val="2"/>
  </w:num>
  <w:num w:numId="8" w16cid:durableId="124127593">
    <w:abstractNumId w:val="1"/>
  </w:num>
  <w:num w:numId="9" w16cid:durableId="4071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09D"/>
    <w:rsid w:val="000F6960"/>
    <w:rsid w:val="0015074B"/>
    <w:rsid w:val="0029639D"/>
    <w:rsid w:val="00326F90"/>
    <w:rsid w:val="004C6B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