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627" w:rsidRDefault="005904A6">
      <w:pPr>
        <w:jc w:val="center"/>
      </w:pPr>
      <w:r>
        <w:rPr>
          <w:rFonts w:ascii="Times New Roman" w:hAnsi="Times New Roman"/>
          <w:sz w:val="44"/>
        </w:rPr>
        <w:t>Quantum Computing: The Dawn of Revolutionary Insight</w:t>
      </w:r>
    </w:p>
    <w:p w:rsidR="00672627" w:rsidRDefault="005904A6">
      <w:pPr>
        <w:pStyle w:val="NoSpacing"/>
        <w:jc w:val="center"/>
      </w:pPr>
      <w:r>
        <w:rPr>
          <w:rFonts w:ascii="Times New Roman" w:hAnsi="Times New Roman"/>
          <w:sz w:val="36"/>
        </w:rPr>
        <w:t>Elton Parker</w:t>
      </w:r>
    </w:p>
    <w:p w:rsidR="00672627" w:rsidRDefault="005904A6">
      <w:pPr>
        <w:jc w:val="center"/>
      </w:pPr>
      <w:r>
        <w:rPr>
          <w:rFonts w:ascii="Times New Roman" w:hAnsi="Times New Roman"/>
          <w:sz w:val="32"/>
        </w:rPr>
        <w:t>eltonparker@academy</w:t>
      </w:r>
      <w:r w:rsidR="000C2DE4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institute</w:t>
      </w:r>
    </w:p>
    <w:p w:rsidR="00672627" w:rsidRDefault="00672627"/>
    <w:p w:rsidR="00672627" w:rsidRDefault="005904A6">
      <w:r>
        <w:rPr>
          <w:rFonts w:ascii="Times New Roman" w:hAnsi="Times New Roman"/>
          <w:sz w:val="24"/>
        </w:rPr>
        <w:t>In the realm of scientific frontiers, quantum computing stands as a resplendent beacon of innovation, transcending the boundaries of classical computation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At its core lies the harnessing of quantum mechanics' enigmatic properties, such as superposition and entanglement, to facilitate information processing and computation on previously unattainable scales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remarkable paradigm shift promises not only paradigm shifts in academia but also tangible benefits in industries as diverse as medicine, finance, and materials science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allure of quantum computing lies in its extraordinary potential to unravel daunting challenges that have long confounded classical computers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range from the simulation of complex molecular interactions to the development of revolutionary algorithms that optimize complex systems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Beyond this, quantum computing beckons toward a future where code-breaking is rendered obsolete and cryptographic security is fortified, reshaping the landscape of information warfare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road to quantum supremacy is, however, arduous and fraught with formidable obstacles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Overcoming these challenges requires navigating treacherous technological terrain, controlling quantum systems to unprecedented precision, and crafting algorithms that adeptly leverage quantum resources</w:t>
      </w:r>
      <w:r w:rsidR="000C2DE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Yet, undeterred by these formidable hurdles, a global consortium of scientists, engineers, and innovators tirelessly pursues this transformative technology, driven by the allure of the quantum frontier</w:t>
      </w:r>
      <w:r w:rsidR="000C2DE4">
        <w:rPr>
          <w:rFonts w:ascii="Times New Roman" w:hAnsi="Times New Roman"/>
          <w:sz w:val="24"/>
        </w:rPr>
        <w:t>.</w:t>
      </w:r>
    </w:p>
    <w:p w:rsidR="00672627" w:rsidRDefault="005904A6">
      <w:r>
        <w:rPr>
          <w:rFonts w:ascii="Times New Roman" w:hAnsi="Times New Roman"/>
          <w:sz w:val="28"/>
        </w:rPr>
        <w:t>Summary</w:t>
      </w:r>
    </w:p>
    <w:p w:rsidR="00672627" w:rsidRDefault="005904A6">
      <w:r>
        <w:rPr>
          <w:rFonts w:ascii="Times New Roman" w:hAnsi="Times New Roman"/>
        </w:rPr>
        <w:t>Quantum computing stands poised to herald a transformative era in computational science, with its potential to revolutionize diverse fields ranging from pharmaceuticals to finance to materials science</w:t>
      </w:r>
      <w:r w:rsidR="000C2DE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Its capacity to tackle hitherto intractable problems, optimize resource allocation, simulate intricate molecular dynamics, and devise novel cryptographic protocols captivates the collective imagination of researchers worldwide</w:t>
      </w:r>
      <w:r w:rsidR="000C2DE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While formidable obstacles remain, the inexorable drive toward quantum supremacy fuels optimism among the scientific community</w:t>
      </w:r>
      <w:r w:rsidR="000C2DE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dawn of quantum computing promises to usher in a new paradigm of scientific discovery and technological innovation, forever altering the trajectory of our digital landscape</w:t>
      </w:r>
      <w:r w:rsidR="000C2DE4">
        <w:rPr>
          <w:rFonts w:ascii="Times New Roman" w:hAnsi="Times New Roman"/>
        </w:rPr>
        <w:t>.</w:t>
      </w:r>
    </w:p>
    <w:sectPr w:rsidR="00672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465437">
    <w:abstractNumId w:val="8"/>
  </w:num>
  <w:num w:numId="2" w16cid:durableId="968977776">
    <w:abstractNumId w:val="6"/>
  </w:num>
  <w:num w:numId="3" w16cid:durableId="1606300870">
    <w:abstractNumId w:val="5"/>
  </w:num>
  <w:num w:numId="4" w16cid:durableId="25762724">
    <w:abstractNumId w:val="4"/>
  </w:num>
  <w:num w:numId="5" w16cid:durableId="529730344">
    <w:abstractNumId w:val="7"/>
  </w:num>
  <w:num w:numId="6" w16cid:durableId="741558971">
    <w:abstractNumId w:val="3"/>
  </w:num>
  <w:num w:numId="7" w16cid:durableId="1823814300">
    <w:abstractNumId w:val="2"/>
  </w:num>
  <w:num w:numId="8" w16cid:durableId="179197813">
    <w:abstractNumId w:val="1"/>
  </w:num>
  <w:num w:numId="9" w16cid:durableId="72001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DE4"/>
    <w:rsid w:val="0015074B"/>
    <w:rsid w:val="0029639D"/>
    <w:rsid w:val="00326F90"/>
    <w:rsid w:val="005904A6"/>
    <w:rsid w:val="006726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