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6955" w:rsidRDefault="00502289">
      <w:pPr>
        <w:jc w:val="center"/>
      </w:pPr>
      <w:r>
        <w:rPr>
          <w:rFonts w:ascii="Calibri" w:hAnsi="Calibri"/>
          <w:sz w:val="44"/>
        </w:rPr>
        <w:t>Heterogeneous Computing Architectures: The Dawn of Unparalleled Performance</w:t>
      </w:r>
    </w:p>
    <w:p w:rsidR="00AF6955" w:rsidRDefault="00502289">
      <w:pPr>
        <w:pStyle w:val="NoSpacing"/>
        <w:jc w:val="center"/>
      </w:pPr>
      <w:r>
        <w:rPr>
          <w:rFonts w:ascii="Calibri" w:hAnsi="Calibri"/>
          <w:sz w:val="36"/>
        </w:rPr>
        <w:t>Robert Martin</w:t>
      </w:r>
    </w:p>
    <w:p w:rsidR="00AF6955" w:rsidRDefault="00502289">
      <w:pPr>
        <w:jc w:val="center"/>
      </w:pPr>
      <w:r>
        <w:rPr>
          <w:rFonts w:ascii="Calibri" w:hAnsi="Calibri"/>
          <w:sz w:val="32"/>
        </w:rPr>
        <w:t>r</w:t>
      </w:r>
      <w:r w:rsidR="00DF737D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martin_88@domains</w:t>
      </w:r>
      <w:r w:rsidR="00DF737D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AF6955" w:rsidRDefault="00AF6955"/>
    <w:p w:rsidR="00AF6955" w:rsidRDefault="00502289">
      <w:r>
        <w:rPr>
          <w:rFonts w:ascii="Calibri" w:hAnsi="Calibri"/>
          <w:sz w:val="24"/>
        </w:rPr>
        <w:t>The epicenter of computational advancements in recent times has witnessed a colossal upheaval, propelling us to embrace groundbreaking shifts in computing architectures</w:t>
      </w:r>
      <w:r w:rsidR="00DF737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One such transformative stride is heterogeneous computing, a paradigm that astounds with its ability to seamlessly integrate specialized processing units onto a singular platform</w:t>
      </w:r>
      <w:r w:rsidR="00DF737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revolutionary approach has unleashed unprecedented computational prowess across diverse domains, ranging from scientific simulations and artificial intelligence to machine learning and image processing</w:t>
      </w:r>
      <w:r w:rsidR="00DF737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Heterogeneous computing has emerged as an elegant solution to the inherent limitations of traditional homogeneous systems, where tasks are constrained to a monotonous execution environment</w:t>
      </w:r>
      <w:r w:rsidR="00DF737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paradigm perpetuates an era of specialization, allocating specific tasks to tailored processors designed for optimal outcomes</w:t>
      </w:r>
      <w:r w:rsidR="00DF737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Such harmonization culminates in substantial performance gains, reduced energy consumption, and an enhanced suitability for an extensive array of applications</w:t>
      </w:r>
      <w:r w:rsidR="00DF737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saga of heterogeneous computing continues to unfold, pledging to redefine the very essence of computational horizons</w:t>
      </w:r>
      <w:r w:rsidR="00DF737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essence, heterogeneous computing signifies an alluring blend of diversity and synergy among processing elements</w:t>
      </w:r>
      <w:r w:rsidR="00DF737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Be it the audacious trade-off between raw power and energy efficiency, the delicate balance between cost-effectiveness and performance, or the dauntless quest for adaptability in tackling variegated workloads, heterogeneous architectures have boldly confronted them all</w:t>
      </w:r>
      <w:r w:rsidR="00DF737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grandiose integration of contrasting prowess unveils a kaleidoscope of computational opportunities, inviting the exploration of novel frontiers and the realization of audacious feats previously deemed unattainable</w:t>
      </w:r>
      <w:r w:rsidR="00DF737D">
        <w:rPr>
          <w:rFonts w:ascii="Calibri" w:hAnsi="Calibri"/>
          <w:sz w:val="24"/>
        </w:rPr>
        <w:t>.</w:t>
      </w:r>
    </w:p>
    <w:p w:rsidR="00AF6955" w:rsidRDefault="00502289">
      <w:r>
        <w:rPr>
          <w:rFonts w:ascii="Calibri" w:hAnsi="Calibri"/>
          <w:sz w:val="28"/>
        </w:rPr>
        <w:t>Summary</w:t>
      </w:r>
    </w:p>
    <w:p w:rsidR="00AF6955" w:rsidRDefault="00502289">
      <w:r>
        <w:rPr>
          <w:rFonts w:ascii="Calibri" w:hAnsi="Calibri"/>
        </w:rPr>
        <w:t>Heterogeneous computing paradigms stand as a testament to human ingenuity, ushering in an era defined by seamless collaboration among diverse processing elements</w:t>
      </w:r>
      <w:r w:rsidR="00DF737D">
        <w:rPr>
          <w:rFonts w:ascii="Calibri" w:hAnsi="Calibri"/>
        </w:rPr>
        <w:t>.</w:t>
      </w:r>
      <w:r>
        <w:rPr>
          <w:rFonts w:ascii="Calibri" w:hAnsi="Calibri"/>
        </w:rPr>
        <w:t xml:space="preserve"> By meticulously </w:t>
      </w:r>
      <w:r>
        <w:rPr>
          <w:rFonts w:ascii="Calibri" w:hAnsi="Calibri"/>
        </w:rPr>
        <w:lastRenderedPageBreak/>
        <w:t>aligning specialized processors to particular tasks, these architectures unlock the true potential of parallel computing</w:t>
      </w:r>
      <w:r w:rsidR="00DF737D">
        <w:rPr>
          <w:rFonts w:ascii="Calibri" w:hAnsi="Calibri"/>
        </w:rPr>
        <w:t>.</w:t>
      </w:r>
      <w:r>
        <w:rPr>
          <w:rFonts w:ascii="Calibri" w:hAnsi="Calibri"/>
        </w:rPr>
        <w:t xml:space="preserve"> Heterogeneous computing is poised to reshape the landscape of industries, from healthcare and scientific research to finance and entertainment, by providing unmatched performance, unparalleled energy efficiency, and remarkable adaptability to a myriad of workloads</w:t>
      </w:r>
      <w:r w:rsidR="00DF737D">
        <w:rPr>
          <w:rFonts w:ascii="Calibri" w:hAnsi="Calibri"/>
        </w:rPr>
        <w:t>.</w:t>
      </w:r>
      <w:r>
        <w:rPr>
          <w:rFonts w:ascii="Calibri" w:hAnsi="Calibri"/>
        </w:rPr>
        <w:t xml:space="preserve"> The future beholds infinite possibilities, as heterogeneous computing architectures continue to redefine the very boundaries of computational capabilities and open up new vistas of innovation</w:t>
      </w:r>
      <w:r w:rsidR="00DF737D">
        <w:rPr>
          <w:rFonts w:ascii="Calibri" w:hAnsi="Calibri"/>
        </w:rPr>
        <w:t>.</w:t>
      </w:r>
    </w:p>
    <w:sectPr w:rsidR="00AF69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7197081">
    <w:abstractNumId w:val="8"/>
  </w:num>
  <w:num w:numId="2" w16cid:durableId="1287277101">
    <w:abstractNumId w:val="6"/>
  </w:num>
  <w:num w:numId="3" w16cid:durableId="1700665575">
    <w:abstractNumId w:val="5"/>
  </w:num>
  <w:num w:numId="4" w16cid:durableId="1591238949">
    <w:abstractNumId w:val="4"/>
  </w:num>
  <w:num w:numId="5" w16cid:durableId="1466389601">
    <w:abstractNumId w:val="7"/>
  </w:num>
  <w:num w:numId="6" w16cid:durableId="1350065389">
    <w:abstractNumId w:val="3"/>
  </w:num>
  <w:num w:numId="7" w16cid:durableId="873814528">
    <w:abstractNumId w:val="2"/>
  </w:num>
  <w:num w:numId="8" w16cid:durableId="629631123">
    <w:abstractNumId w:val="1"/>
  </w:num>
  <w:num w:numId="9" w16cid:durableId="580599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2289"/>
    <w:rsid w:val="00AA1D8D"/>
    <w:rsid w:val="00AF6955"/>
    <w:rsid w:val="00B47730"/>
    <w:rsid w:val="00CB0664"/>
    <w:rsid w:val="00DF737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2024-01-10T03:59:00Z</dcterms:modified>
  <cp:category/>
</cp:coreProperties>
</file>