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A51" w:rsidRDefault="005A21BB">
      <w:pPr>
        <w:jc w:val="center"/>
      </w:pPr>
      <w:r>
        <w:rPr>
          <w:rFonts w:ascii="Calibri" w:hAnsi="Calibri"/>
          <w:sz w:val="44"/>
        </w:rPr>
        <w:t>Orchestrating Progress through Technology: Digitization and Change</w:t>
      </w:r>
    </w:p>
    <w:p w:rsidR="00FE1A51" w:rsidRDefault="005A21B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3010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Jacqueline Ryan</w:t>
      </w:r>
    </w:p>
    <w:p w:rsidR="00FE1A51" w:rsidRDefault="005A21BB">
      <w:pPr>
        <w:jc w:val="center"/>
      </w:pPr>
      <w:r>
        <w:rPr>
          <w:rFonts w:ascii="Calibri" w:hAnsi="Calibri"/>
          <w:sz w:val="32"/>
        </w:rPr>
        <w:t>jacqueline</w:t>
      </w:r>
      <w:r w:rsidR="0093010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ryan@digitalchange</w:t>
      </w:r>
      <w:r w:rsidR="0093010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E1A51" w:rsidRDefault="00FE1A51"/>
    <w:p w:rsidR="00FE1A51" w:rsidRDefault="005A21BB">
      <w:r>
        <w:rPr>
          <w:rFonts w:ascii="Calibri" w:hAnsi="Calibri"/>
          <w:sz w:val="24"/>
        </w:rPr>
        <w:t>In the modern world, technology is profoundly intertwined with every facet of existence, transforming how we connect, communicate, and conduct commerce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Digitization has ushered in an indelible era of interconnectivity, disrupting traditional practices and reshaping industries across the spectrum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technological revolution is not merely a casual bystander in societal evolution; it is an omnipresent catalyst orchestrating progress and redefining the contours of the human experience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Technology, through its instrumental role in shaping economies, education, and communication, stands as a force capable of unlocking the true potential of societies around the globe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ways technology catalyzes advancement by increasing access to education and information, fueling economic growth, and enabling breakthroughs in scientific exploration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this intricate tapestry of technological advancement, emerging opportunities intersect with unprecedented challenges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increased connectivity empowers individuals, it also amplifies potential vulnerabilities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equity remains a formidable barrier, with persistent disparities in access to technology and the digital divide continuing to plague communities worldwide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rapidly evolving nature of technology poses perpetual challenges, necessitating continuous learning to adapt to novel innovations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Security threats loom large, exposing organizations and individuals to risks such as cyberattacks and data breaches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 harness the full potential of technology while navigating its accompanying risks, global collaboration, ethical leadership, and conscientious technology adoption strategies are paramount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Technology's profound impact on the world necessitates a holistic approach to address both the benefits and potential risks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International cooperation is vital in creating a global framework for responsible digitalization, ensuring inclusivity and minimizing inequity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Legislative policies and industry standards ought to strive for a harmonious balance between innovation, security, and privacy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Education initiatives aimed at empowering individuals with digital literacy skills are imperative to bridge the digital </w:t>
      </w:r>
      <w:r>
        <w:rPr>
          <w:rFonts w:ascii="Calibri" w:hAnsi="Calibri"/>
          <w:sz w:val="24"/>
        </w:rPr>
        <w:lastRenderedPageBreak/>
        <w:t>divide, fostering a digitally inclusive society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Investment in research and development ignites innovation and pushes the boundaries of scientific understanding</w:t>
      </w:r>
      <w:r w:rsidR="0093010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harmonizing technology's boundless potential with a comprehensive understanding of the associated challenges, societies can navigate the digital age with clarity and confidence</w:t>
      </w:r>
      <w:r w:rsidR="00930106">
        <w:rPr>
          <w:rFonts w:ascii="Calibri" w:hAnsi="Calibri"/>
          <w:sz w:val="24"/>
        </w:rPr>
        <w:t>.</w:t>
      </w:r>
    </w:p>
    <w:p w:rsidR="00FE1A51" w:rsidRDefault="005A21BB">
      <w:r>
        <w:rPr>
          <w:rFonts w:ascii="Calibri" w:hAnsi="Calibri"/>
          <w:sz w:val="28"/>
        </w:rPr>
        <w:t>Summary</w:t>
      </w:r>
    </w:p>
    <w:p w:rsidR="00FE1A51" w:rsidRDefault="005A21BB">
      <w:r>
        <w:rPr>
          <w:rFonts w:ascii="Calibri" w:hAnsi="Calibri"/>
        </w:rPr>
        <w:t>Technology's profound influence has touched every corner of society, reshaping our life experiences, work, and social interactions</w:t>
      </w:r>
      <w:r w:rsidR="00930106">
        <w:rPr>
          <w:rFonts w:ascii="Calibri" w:hAnsi="Calibri"/>
        </w:rPr>
        <w:t>.</w:t>
      </w:r>
      <w:r>
        <w:rPr>
          <w:rFonts w:ascii="Calibri" w:hAnsi="Calibri"/>
        </w:rPr>
        <w:t xml:space="preserve"> By catalyzing progress through increased access to education, bolstered economic growth, and facilitated scientific advancements, digitization has become a catalyst for global change</w:t>
      </w:r>
      <w:r w:rsidR="00930106">
        <w:rPr>
          <w:rFonts w:ascii="Calibri" w:hAnsi="Calibri"/>
        </w:rPr>
        <w:t>.</w:t>
      </w:r>
      <w:r>
        <w:rPr>
          <w:rFonts w:ascii="Calibri" w:hAnsi="Calibri"/>
        </w:rPr>
        <w:t xml:space="preserve"> However, the accompanying challenges of digital inequity, evolving cybersecurity threats, and the need for inclusive digital governance must be skillfully addressed</w:t>
      </w:r>
      <w:r w:rsidR="00930106">
        <w:rPr>
          <w:rFonts w:ascii="Calibri" w:hAnsi="Calibri"/>
        </w:rPr>
        <w:t>.</w:t>
      </w:r>
      <w:r>
        <w:rPr>
          <w:rFonts w:ascii="Calibri" w:hAnsi="Calibri"/>
        </w:rPr>
        <w:t xml:space="preserve"> A synergistic fusion of global cooperation, robust policies, comprehensive education, and ethical leadership can pave the way for a technology-driven future that empowers all, unlocking the boundless potential for progress</w:t>
      </w:r>
      <w:r w:rsidR="00930106">
        <w:rPr>
          <w:rFonts w:ascii="Calibri" w:hAnsi="Calibri"/>
        </w:rPr>
        <w:t>.</w:t>
      </w:r>
    </w:p>
    <w:sectPr w:rsidR="00FE1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165162">
    <w:abstractNumId w:val="8"/>
  </w:num>
  <w:num w:numId="2" w16cid:durableId="848180606">
    <w:abstractNumId w:val="6"/>
  </w:num>
  <w:num w:numId="3" w16cid:durableId="1952400255">
    <w:abstractNumId w:val="5"/>
  </w:num>
  <w:num w:numId="4" w16cid:durableId="1252617666">
    <w:abstractNumId w:val="4"/>
  </w:num>
  <w:num w:numId="5" w16cid:durableId="1723822732">
    <w:abstractNumId w:val="7"/>
  </w:num>
  <w:num w:numId="6" w16cid:durableId="1667980912">
    <w:abstractNumId w:val="3"/>
  </w:num>
  <w:num w:numId="7" w16cid:durableId="1223446449">
    <w:abstractNumId w:val="2"/>
  </w:num>
  <w:num w:numId="8" w16cid:durableId="1795321089">
    <w:abstractNumId w:val="1"/>
  </w:num>
  <w:num w:numId="9" w16cid:durableId="133152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1BB"/>
    <w:rsid w:val="00930106"/>
    <w:rsid w:val="00AA1D8D"/>
    <w:rsid w:val="00B47730"/>
    <w:rsid w:val="00CB0664"/>
    <w:rsid w:val="00FC693F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