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434" w:rsidRDefault="009D5757">
      <w:pPr>
        <w:jc w:val="center"/>
      </w:pPr>
      <w:r>
        <w:rPr>
          <w:rFonts w:ascii="Aptos" w:hAnsi="Aptos"/>
          <w:color w:val="000000"/>
          <w:sz w:val="44"/>
        </w:rPr>
        <w:t>Diving Deep into Cyber Resilience: A Cybersecurity Imperative</w:t>
      </w:r>
    </w:p>
    <w:p w:rsidR="00E95434" w:rsidRDefault="009D57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Henderson</w:t>
      </w:r>
    </w:p>
    <w:p w:rsidR="00E95434" w:rsidRDefault="009D5757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9502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henderson@emailuniversity</w:t>
      </w:r>
      <w:r w:rsidR="009502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95434" w:rsidRDefault="00E95434"/>
    <w:p w:rsidR="00E95434" w:rsidRDefault="009D5757">
      <w:r>
        <w:rPr>
          <w:rFonts w:ascii="Aptos" w:hAnsi="Aptos"/>
          <w:color w:val="000000"/>
          <w:sz w:val="24"/>
        </w:rPr>
        <w:t>In a world where the reliance on digital technologies continues to grow exponentially, the significance of cybersecurity has never been more apparent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realm of cyberspace expands, so do the threats that lurk within it, challenging organizations and individuals alike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cyber resilience is a critical imperative, a fundamental shift in mindset that necessitates proactive steps to safeguard valuable assets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comprehensive strategy involves implementing robust safeguards, fostering a security-conscious culture, and ensuring swift recovery from potential incidents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malicious actors continue to devise sophisticated attacks, traditional defensive strategies often prove inadequate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 resilience requires organizations to adopt an agile and proactive approach, continuously adapting to evolving threats and remaining prepared for contingencies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proactive stance entails implementing rigorous security measures such as multi-factor authentication, encryption, and regular patching of systems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promoting a culture of cybersecurity awareness among employees and stakeholders empowers them to recognize and mitigate potential threats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ability to recover swiftly from a cyber incident is a crucial aspect of cyber resilience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prompt detection mechanisms in place, organizations can respond rapidly to contain and eradicate threats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Regularly testing incident response plans, conducting security audits, and partnering with cybersecurity experts are essential steps in ensuring swift recovery and minimizing potential damages</w:t>
      </w:r>
      <w:r w:rsidR="009502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recovery efforts go beyond technological measures, encompassing thorough communication with stakeholders and clients, mitigating reputational damage, and safeguarding customer trust</w:t>
      </w:r>
      <w:r w:rsidR="009502AE">
        <w:rPr>
          <w:rFonts w:ascii="Aptos" w:hAnsi="Aptos"/>
          <w:color w:val="000000"/>
          <w:sz w:val="24"/>
        </w:rPr>
        <w:t>.</w:t>
      </w:r>
    </w:p>
    <w:p w:rsidR="00E95434" w:rsidRDefault="009D5757">
      <w:r>
        <w:rPr>
          <w:rFonts w:ascii="Aptos" w:hAnsi="Aptos"/>
          <w:color w:val="000000"/>
          <w:sz w:val="28"/>
        </w:rPr>
        <w:t>Summary</w:t>
      </w:r>
    </w:p>
    <w:p w:rsidR="00E95434" w:rsidRDefault="009D5757">
      <w:r>
        <w:rPr>
          <w:rFonts w:ascii="Aptos" w:hAnsi="Aptos"/>
          <w:color w:val="000000"/>
        </w:rPr>
        <w:lastRenderedPageBreak/>
        <w:t>In today's digitally connected world, cyber resilience has emerged as a critical imperative for organizations and individuals alike</w:t>
      </w:r>
      <w:r w:rsidR="009502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a proactive approach, implementing robust security measures, cultivating a security-conscious culture, and ensuring rapid recovery from incidents are fundamental aspects of effective cyber resilience</w:t>
      </w:r>
      <w:r w:rsidR="009502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doing so, organizations can significantly reduce the impact of cyber threats, protect valuable assets, maintain seamless operations, and uphold customer trust in the face of evolving cybersecurity challenges</w:t>
      </w:r>
      <w:r w:rsidR="009502AE">
        <w:rPr>
          <w:rFonts w:ascii="Aptos" w:hAnsi="Aptos"/>
          <w:color w:val="000000"/>
        </w:rPr>
        <w:t>.</w:t>
      </w:r>
    </w:p>
    <w:sectPr w:rsidR="00E954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5535">
    <w:abstractNumId w:val="8"/>
  </w:num>
  <w:num w:numId="2" w16cid:durableId="1680696837">
    <w:abstractNumId w:val="6"/>
  </w:num>
  <w:num w:numId="3" w16cid:durableId="2053839632">
    <w:abstractNumId w:val="5"/>
  </w:num>
  <w:num w:numId="4" w16cid:durableId="573395737">
    <w:abstractNumId w:val="4"/>
  </w:num>
  <w:num w:numId="5" w16cid:durableId="1115175508">
    <w:abstractNumId w:val="7"/>
  </w:num>
  <w:num w:numId="6" w16cid:durableId="549616250">
    <w:abstractNumId w:val="3"/>
  </w:num>
  <w:num w:numId="7" w16cid:durableId="676880693">
    <w:abstractNumId w:val="2"/>
  </w:num>
  <w:num w:numId="8" w16cid:durableId="774446663">
    <w:abstractNumId w:val="1"/>
  </w:num>
  <w:num w:numId="9" w16cid:durableId="199414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2AE"/>
    <w:rsid w:val="009D5757"/>
    <w:rsid w:val="00AA1D8D"/>
    <w:rsid w:val="00B47730"/>
    <w:rsid w:val="00CB0664"/>
    <w:rsid w:val="00E95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