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C13" w:rsidRDefault="00796BB3">
      <w:pPr>
        <w:jc w:val="center"/>
      </w:pPr>
      <w:r>
        <w:rPr>
          <w:rFonts w:ascii="Aptos" w:hAnsi="Aptos"/>
          <w:color w:val="000000"/>
          <w:sz w:val="44"/>
        </w:rPr>
        <w:t>Borrowing from the Past, Building the Future</w:t>
      </w:r>
    </w:p>
    <w:p w:rsidR="00DB4C13" w:rsidRDefault="00796BB3">
      <w:pPr>
        <w:pStyle w:val="NoSpacing"/>
        <w:jc w:val="center"/>
      </w:pPr>
      <w:r>
        <w:rPr>
          <w:rFonts w:ascii="Aptos" w:hAnsi="Aptos"/>
          <w:color w:val="000000"/>
          <w:sz w:val="36"/>
        </w:rPr>
        <w:t>Melody Cruz</w:t>
      </w:r>
    </w:p>
    <w:p w:rsidR="00DB4C13" w:rsidRDefault="00796BB3">
      <w:pPr>
        <w:jc w:val="center"/>
      </w:pPr>
      <w:r>
        <w:rPr>
          <w:rFonts w:ascii="Aptos" w:hAnsi="Aptos"/>
          <w:color w:val="000000"/>
          <w:sz w:val="32"/>
        </w:rPr>
        <w:t>melodycruz@smithsonian</w:t>
      </w:r>
      <w:r w:rsidR="00D30C4D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DB4C13" w:rsidRDefault="00DB4C13"/>
    <w:p w:rsidR="00DB4C13" w:rsidRDefault="00796BB3">
      <w:r>
        <w:rPr>
          <w:rFonts w:ascii="Aptos" w:hAnsi="Aptos"/>
          <w:color w:val="000000"/>
          <w:sz w:val="24"/>
        </w:rPr>
        <w:t>In a world where innovation accelerates at an unprecedented pace, the tendency to prioritize the new often overshadows the value of the old</w:t>
      </w:r>
      <w:r w:rsidR="00D30C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history teaches us that the seeds of progress are often found in the annals of past endeavors</w:t>
      </w:r>
      <w:r w:rsidR="00D30C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revisiting the wisdom of our predecessors and embracing the lessons embedded in history, we can cultivate a fertile ground for future advancements</w:t>
      </w:r>
      <w:r w:rsidR="00D30C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essay delves into the profound connection between the past and the future, exploring how we can harness the knowledge of the bygone era to propel us forward</w:t>
      </w:r>
      <w:r w:rsidR="00D30C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first paragraph delves into the significance of learning from history and underscores its relevance in fostering innovation</w:t>
      </w:r>
      <w:r w:rsidR="00D30C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highlights how past experiences and insights can provide valuable guidance and prevent the repetition of mistakes</w:t>
      </w:r>
      <w:r w:rsidR="00D30C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incorporating historical perspectives into our decision-making processes, we gain a nuanced understanding of complex issues, leading to more informed and well-rounded approaches</w:t>
      </w:r>
      <w:r w:rsidR="00D30C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second paragraph shifts the focus to the concept of preservation and its role in safeguarding the lessons of the past</w:t>
      </w:r>
      <w:r w:rsidR="00D30C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emphasizes the importance of preserving cultural heritage, historical artifacts, and traditional knowledge, not only for their intrinsic value but also for their potential to inspire future generations</w:t>
      </w:r>
      <w:r w:rsidR="00D30C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preserving the tangible and intangible legacy of the past, we create a reservoir of wisdom that can be drawn upon to address contemporary and future challenges</w:t>
      </w:r>
      <w:r w:rsidR="00D30C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third paragraph explores the dynamic relationship between tradition and innovation, highlighting the paradoxical yet essential interplay between these two forces</w:t>
      </w:r>
      <w:r w:rsidR="00D30C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argues that while innovation often thrives on radical departures from established norms, true progress often emerges from the harmonious synthesis of old and new</w:t>
      </w:r>
      <w:r w:rsidR="00D30C4D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embracing tradition as a foundation upon which innovation can flourish, we can create a virtuous cycle of progress that builds upon the accumulated knowledge and wisdom of the past</w:t>
      </w:r>
      <w:r w:rsidR="00D30C4D">
        <w:rPr>
          <w:rFonts w:ascii="Aptos" w:hAnsi="Aptos"/>
          <w:color w:val="000000"/>
          <w:sz w:val="24"/>
        </w:rPr>
        <w:t>.</w:t>
      </w:r>
    </w:p>
    <w:p w:rsidR="00DB4C13" w:rsidRDefault="00796BB3">
      <w:r>
        <w:rPr>
          <w:rFonts w:ascii="Aptos" w:hAnsi="Aptos"/>
          <w:color w:val="000000"/>
          <w:sz w:val="28"/>
        </w:rPr>
        <w:t>Summary</w:t>
      </w:r>
    </w:p>
    <w:p w:rsidR="00DB4C13" w:rsidRDefault="00796BB3">
      <w:r>
        <w:rPr>
          <w:rFonts w:ascii="Aptos" w:hAnsi="Aptos"/>
          <w:color w:val="000000"/>
        </w:rPr>
        <w:lastRenderedPageBreak/>
        <w:t>This essay underscores the vital connection between the past and the future, emphasizing the importance of learning from history, preserving cultural heritage, and fostering a dynamic relationship between tradition and innovation</w:t>
      </w:r>
      <w:r w:rsidR="00D30C4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embracing the wisdom of the past, we can gain valuable insights, prevent the repetition of mistakes, and cultivate a fertile ground for future advancements</w:t>
      </w:r>
      <w:r w:rsidR="00D30C4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Preserving the lessons of the past ensures that we do not lose sight of our roots while simultaneously providing inspiration and guidance for the generations to come</w:t>
      </w:r>
      <w:r w:rsidR="00D30C4D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Ultimately, it is through this symbiotic relationship with the past that we can build a future that is both grounded in wisdom and propelled by innovation</w:t>
      </w:r>
      <w:r w:rsidR="00D30C4D">
        <w:rPr>
          <w:rFonts w:ascii="Aptos" w:hAnsi="Aptos"/>
          <w:color w:val="000000"/>
        </w:rPr>
        <w:t>.</w:t>
      </w:r>
    </w:p>
    <w:sectPr w:rsidR="00DB4C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9282710">
    <w:abstractNumId w:val="8"/>
  </w:num>
  <w:num w:numId="2" w16cid:durableId="628626292">
    <w:abstractNumId w:val="6"/>
  </w:num>
  <w:num w:numId="3" w16cid:durableId="727725662">
    <w:abstractNumId w:val="5"/>
  </w:num>
  <w:num w:numId="4" w16cid:durableId="585768529">
    <w:abstractNumId w:val="4"/>
  </w:num>
  <w:num w:numId="5" w16cid:durableId="1202742503">
    <w:abstractNumId w:val="7"/>
  </w:num>
  <w:num w:numId="6" w16cid:durableId="1048723325">
    <w:abstractNumId w:val="3"/>
  </w:num>
  <w:num w:numId="7" w16cid:durableId="1630553494">
    <w:abstractNumId w:val="2"/>
  </w:num>
  <w:num w:numId="8" w16cid:durableId="451482200">
    <w:abstractNumId w:val="1"/>
  </w:num>
  <w:num w:numId="9" w16cid:durableId="1107046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96BB3"/>
    <w:rsid w:val="00AA1D8D"/>
    <w:rsid w:val="00B47730"/>
    <w:rsid w:val="00CB0664"/>
    <w:rsid w:val="00D30C4D"/>
    <w:rsid w:val="00DB4C1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2024-01-14T13:31:00Z</dcterms:modified>
  <cp:category/>
</cp:coreProperties>
</file>