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E48" w:rsidRDefault="00DD3807">
      <w:pPr>
        <w:jc w:val="center"/>
      </w:pPr>
      <w:r>
        <w:rPr>
          <w:rFonts w:ascii="Aptos" w:hAnsi="Aptos"/>
          <w:color w:val="000000"/>
          <w:sz w:val="44"/>
        </w:rPr>
        <w:t>Artificial Intelligence Transforms Medicine</w:t>
      </w:r>
    </w:p>
    <w:p w:rsidR="00647E48" w:rsidRDefault="00DD380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4323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Kingston</w:t>
      </w:r>
    </w:p>
    <w:p w:rsidR="00647E48" w:rsidRDefault="00DD3807">
      <w:pPr>
        <w:jc w:val="center"/>
      </w:pPr>
      <w:r>
        <w:rPr>
          <w:rFonts w:ascii="Aptos" w:hAnsi="Aptos"/>
          <w:color w:val="000000"/>
          <w:sz w:val="32"/>
        </w:rPr>
        <w:t>ek@healthsciences</w:t>
      </w:r>
      <w:r w:rsidR="009432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47E48" w:rsidRDefault="00647E48"/>
    <w:p w:rsidR="00647E48" w:rsidRDefault="00DD3807">
      <w:r>
        <w:rPr>
          <w:rFonts w:ascii="Aptos" w:hAnsi="Aptos"/>
          <w:color w:val="000000"/>
          <w:sz w:val="24"/>
        </w:rPr>
        <w:t>The convergence of artificial intelligence (AI) and medicine is paving the way for unprecedented advancements in healthcare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AI's capabilities in data analysis, pattern recognition, and predictive modeling are revolutionizing disease diagnosis, treatment planning, drug discovery, personalized medicine, and epidemic surveillance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AI-powered systems analyze vast volumes of patient data, identifying complex patterns and correlations that escape human cognition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Machine learning algorithms, trained on comprehensive datasets, continuously evolve, enhancing their accuracy and effectiveness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AI systems learn from each new interaction with data, they become more proficient in detecting subtle anomalies, predicting disease progression, and recommending optimal treatments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AI's impact extends beyond clinical settings, aiding in administrative tasks, enhancing patient engagement, and streamlining healthcare operations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AI's integration with medical devices, such as biosensors and wearables, enables continuous monitoring of vital parameters, allowing real-time detection of health issues and immediate intervention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AI-powered telemedicine platforms facilitate remote consultations, expanding access to healthcare for underserved communities and individuals with limited mobility</w:t>
      </w:r>
      <w:r w:rsidR="009432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AI-driven virtual assistants empower patients to actively participate in their healthcare management, providing personalized guidance and support</w:t>
      </w:r>
      <w:r w:rsidR="00943232">
        <w:rPr>
          <w:rFonts w:ascii="Aptos" w:hAnsi="Aptos"/>
          <w:color w:val="000000"/>
          <w:sz w:val="24"/>
        </w:rPr>
        <w:t>.</w:t>
      </w:r>
    </w:p>
    <w:p w:rsidR="00647E48" w:rsidRDefault="00DD3807">
      <w:r>
        <w:rPr>
          <w:rFonts w:ascii="Aptos" w:hAnsi="Aptos"/>
          <w:color w:val="000000"/>
          <w:sz w:val="28"/>
        </w:rPr>
        <w:t>Summary</w:t>
      </w:r>
    </w:p>
    <w:p w:rsidR="00647E48" w:rsidRDefault="00DD3807">
      <w:r>
        <w:rPr>
          <w:rFonts w:ascii="Aptos" w:hAnsi="Aptos"/>
          <w:color w:val="000000"/>
        </w:rPr>
        <w:t>The fusion of AI and medicine ushers in a new era of healthcare characterized by more precise diagnosis, personalized therapies, and efficient medical operations</w:t>
      </w:r>
      <w:r w:rsidR="009432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AI's ability to unravel complex data patterns empowers healthcare professionals to make informed decisions, leading to improved patient outcomes</w:t>
      </w:r>
      <w:r w:rsidR="009432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continues to evolve, its potential to transform medicine is limitless, promising a future where healthcare is more proactive, accessible, and effective</w:t>
      </w:r>
      <w:r w:rsidR="00943232">
        <w:rPr>
          <w:rFonts w:ascii="Aptos" w:hAnsi="Aptos"/>
          <w:color w:val="000000"/>
        </w:rPr>
        <w:t>.</w:t>
      </w:r>
    </w:p>
    <w:sectPr w:rsidR="00647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148636">
    <w:abstractNumId w:val="8"/>
  </w:num>
  <w:num w:numId="2" w16cid:durableId="738945683">
    <w:abstractNumId w:val="6"/>
  </w:num>
  <w:num w:numId="3" w16cid:durableId="706487595">
    <w:abstractNumId w:val="5"/>
  </w:num>
  <w:num w:numId="4" w16cid:durableId="361786335">
    <w:abstractNumId w:val="4"/>
  </w:num>
  <w:num w:numId="5" w16cid:durableId="1771048539">
    <w:abstractNumId w:val="7"/>
  </w:num>
  <w:num w:numId="6" w16cid:durableId="475144718">
    <w:abstractNumId w:val="3"/>
  </w:num>
  <w:num w:numId="7" w16cid:durableId="997684089">
    <w:abstractNumId w:val="2"/>
  </w:num>
  <w:num w:numId="8" w16cid:durableId="1717193772">
    <w:abstractNumId w:val="1"/>
  </w:num>
  <w:num w:numId="9" w16cid:durableId="77964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E48"/>
    <w:rsid w:val="00943232"/>
    <w:rsid w:val="00AA1D8D"/>
    <w:rsid w:val="00B47730"/>
    <w:rsid w:val="00CB0664"/>
    <w:rsid w:val="00DD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