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51AF" w:rsidRDefault="009946ED">
      <w:pPr>
        <w:jc w:val="center"/>
      </w:pPr>
      <w:r>
        <w:rPr>
          <w:rFonts w:ascii="Calibri" w:hAnsi="Calibri"/>
          <w:color w:val="000000"/>
          <w:sz w:val="44"/>
        </w:rPr>
        <w:t>Circuitry of Human Creativity: Unlocking Inspiration</w:t>
      </w:r>
    </w:p>
    <w:p w:rsidR="00A251AF" w:rsidRDefault="009946ED">
      <w:pPr>
        <w:pStyle w:val="NoSpacing"/>
        <w:jc w:val="center"/>
      </w:pPr>
      <w:r>
        <w:rPr>
          <w:rFonts w:ascii="Calibri" w:hAnsi="Calibri"/>
          <w:color w:val="000000"/>
          <w:sz w:val="36"/>
        </w:rPr>
        <w:t>Dr</w:t>
      </w:r>
      <w:r w:rsidR="003B440B">
        <w:rPr>
          <w:rFonts w:ascii="Calibri" w:hAnsi="Calibri"/>
          <w:color w:val="000000"/>
          <w:sz w:val="36"/>
        </w:rPr>
        <w:t>.</w:t>
      </w:r>
      <w:r>
        <w:rPr>
          <w:rFonts w:ascii="Calibri" w:hAnsi="Calibri"/>
          <w:color w:val="000000"/>
          <w:sz w:val="36"/>
        </w:rPr>
        <w:t xml:space="preserve"> Beatrice Carter</w:t>
      </w:r>
    </w:p>
    <w:p w:rsidR="00A251AF" w:rsidRDefault="009946ED">
      <w:pPr>
        <w:jc w:val="center"/>
      </w:pPr>
      <w:r>
        <w:rPr>
          <w:rFonts w:ascii="Calibri" w:hAnsi="Calibri"/>
          <w:color w:val="000000"/>
          <w:sz w:val="32"/>
        </w:rPr>
        <w:t>beatrice</w:t>
      </w:r>
      <w:r w:rsidR="003B440B">
        <w:rPr>
          <w:rFonts w:ascii="Calibri" w:hAnsi="Calibri"/>
          <w:color w:val="000000"/>
          <w:sz w:val="32"/>
        </w:rPr>
        <w:t>.</w:t>
      </w:r>
      <w:r>
        <w:rPr>
          <w:rFonts w:ascii="Calibri" w:hAnsi="Calibri"/>
          <w:color w:val="000000"/>
          <w:sz w:val="32"/>
        </w:rPr>
        <w:t>carter@interlink</w:t>
      </w:r>
      <w:r w:rsidR="003B440B">
        <w:rPr>
          <w:rFonts w:ascii="Calibri" w:hAnsi="Calibri"/>
          <w:color w:val="000000"/>
          <w:sz w:val="32"/>
        </w:rPr>
        <w:t>.</w:t>
      </w:r>
      <w:r>
        <w:rPr>
          <w:rFonts w:ascii="Calibri" w:hAnsi="Calibri"/>
          <w:color w:val="000000"/>
          <w:sz w:val="32"/>
        </w:rPr>
        <w:t>org</w:t>
      </w:r>
    </w:p>
    <w:p w:rsidR="00A251AF" w:rsidRDefault="00A251AF"/>
    <w:p w:rsidR="00A251AF" w:rsidRDefault="009946ED">
      <w:r>
        <w:rPr>
          <w:rFonts w:ascii="Calibri" w:hAnsi="Calibri"/>
          <w:color w:val="000000"/>
          <w:sz w:val="24"/>
        </w:rPr>
        <w:t>The human brain, an intricate tapestry of neurons and synapses, harbors an enigmatic phenomenon known as creativity: the ability to generate novel ideas, concepts, and solutions</w:t>
      </w:r>
      <w:r w:rsidR="003B440B">
        <w:rPr>
          <w:rFonts w:ascii="Calibri" w:hAnsi="Calibri"/>
          <w:color w:val="000000"/>
          <w:sz w:val="24"/>
        </w:rPr>
        <w:t>.</w:t>
      </w:r>
      <w:r>
        <w:rPr>
          <w:rFonts w:ascii="Calibri" w:hAnsi="Calibri"/>
          <w:color w:val="000000"/>
          <w:sz w:val="24"/>
        </w:rPr>
        <w:t xml:space="preserve"> While often shrouded in mystery, creativity presents an alluring frontier for researchers seeking to uncover the mechanisms that underlie this extraordinary cognitive process</w:t>
      </w:r>
      <w:r w:rsidR="003B440B">
        <w:rPr>
          <w:rFonts w:ascii="Calibri" w:hAnsi="Calibri"/>
          <w:color w:val="000000"/>
          <w:sz w:val="24"/>
        </w:rPr>
        <w:t>.</w:t>
      </w:r>
      <w:r>
        <w:rPr>
          <w:rFonts w:ascii="Calibri" w:hAnsi="Calibri"/>
          <w:color w:val="000000"/>
          <w:sz w:val="24"/>
        </w:rPr>
        <w:t xml:space="preserve"> Recent advancements in neuroscience, psychology, and artificial intelligence have illuminated the intricate circuitry of human creativity, revealing a complex interplay between brain regions, cognitive processes, and life experiences</w:t>
      </w:r>
      <w:r w:rsidR="003B440B">
        <w:rPr>
          <w:rFonts w:ascii="Calibri" w:hAnsi="Calibri"/>
          <w:color w:val="000000"/>
          <w:sz w:val="24"/>
        </w:rPr>
        <w:t>.</w:t>
      </w:r>
      <w:r>
        <w:rPr>
          <w:rFonts w:ascii="Calibri" w:hAnsi="Calibri"/>
          <w:color w:val="000000"/>
          <w:sz w:val="24"/>
        </w:rPr>
        <w:br/>
      </w:r>
      <w:r>
        <w:rPr>
          <w:rFonts w:ascii="Calibri" w:hAnsi="Calibri"/>
          <w:color w:val="000000"/>
          <w:sz w:val="24"/>
        </w:rPr>
        <w:br/>
        <w:t>The birth of a novel idea, whether a scientific breakthrough, artistic masterpiece, or innovative solution, can often feel as unexpected as a bolt of lightning</w:t>
      </w:r>
      <w:r w:rsidR="003B440B">
        <w:rPr>
          <w:rFonts w:ascii="Calibri" w:hAnsi="Calibri"/>
          <w:color w:val="000000"/>
          <w:sz w:val="24"/>
        </w:rPr>
        <w:t>.</w:t>
      </w:r>
      <w:r>
        <w:rPr>
          <w:rFonts w:ascii="Calibri" w:hAnsi="Calibri"/>
          <w:color w:val="000000"/>
          <w:sz w:val="24"/>
        </w:rPr>
        <w:t xml:space="preserve"> However, beneath this seemingly random flash of inspiration, complex cognitive machinery churns, analyzing, synthesizing, and recombining information from diverse sources</w:t>
      </w:r>
      <w:r w:rsidR="003B440B">
        <w:rPr>
          <w:rFonts w:ascii="Calibri" w:hAnsi="Calibri"/>
          <w:color w:val="000000"/>
          <w:sz w:val="24"/>
        </w:rPr>
        <w:t>.</w:t>
      </w:r>
      <w:r>
        <w:rPr>
          <w:rFonts w:ascii="Calibri" w:hAnsi="Calibri"/>
          <w:color w:val="000000"/>
          <w:sz w:val="24"/>
        </w:rPr>
        <w:t xml:space="preserve"> The prefrontal cortex, a region associated with higher-order cognitive processes, serves as a central hub for creativity, facilitating the integration of diverse stimuli and the generation of new concepts</w:t>
      </w:r>
      <w:r w:rsidR="003B440B">
        <w:rPr>
          <w:rFonts w:ascii="Calibri" w:hAnsi="Calibri"/>
          <w:color w:val="000000"/>
          <w:sz w:val="24"/>
        </w:rPr>
        <w:t>.</w:t>
      </w:r>
      <w:r>
        <w:rPr>
          <w:rFonts w:ascii="Calibri" w:hAnsi="Calibri"/>
          <w:color w:val="000000"/>
          <w:sz w:val="24"/>
        </w:rPr>
        <w:br/>
      </w:r>
      <w:r>
        <w:rPr>
          <w:rFonts w:ascii="Calibri" w:hAnsi="Calibri"/>
          <w:color w:val="000000"/>
          <w:sz w:val="24"/>
        </w:rPr>
        <w:br/>
        <w:t>Neurotransmitters, the chemical messengers of the brain, play a crucial role as facilitators and modulators of creativity</w:t>
      </w:r>
      <w:r w:rsidR="003B440B">
        <w:rPr>
          <w:rFonts w:ascii="Calibri" w:hAnsi="Calibri"/>
          <w:color w:val="000000"/>
          <w:sz w:val="24"/>
        </w:rPr>
        <w:t>.</w:t>
      </w:r>
      <w:r>
        <w:rPr>
          <w:rFonts w:ascii="Calibri" w:hAnsi="Calibri"/>
          <w:color w:val="000000"/>
          <w:sz w:val="24"/>
        </w:rPr>
        <w:t xml:space="preserve"> Dopamine, known for its salience in reward pathways, prompts the exploration of novel ideas and encourages risk-taking</w:t>
      </w:r>
      <w:r w:rsidR="003B440B">
        <w:rPr>
          <w:rFonts w:ascii="Calibri" w:hAnsi="Calibri"/>
          <w:color w:val="000000"/>
          <w:sz w:val="24"/>
        </w:rPr>
        <w:t>.</w:t>
      </w:r>
      <w:r>
        <w:rPr>
          <w:rFonts w:ascii="Calibri" w:hAnsi="Calibri"/>
          <w:color w:val="000000"/>
          <w:sz w:val="24"/>
        </w:rPr>
        <w:t xml:space="preserve"> Opioid systems provide internal validation for creative thinking, reinforcing and rewarding moments of inspiration</w:t>
      </w:r>
      <w:r w:rsidR="003B440B">
        <w:rPr>
          <w:rFonts w:ascii="Calibri" w:hAnsi="Calibri"/>
          <w:color w:val="000000"/>
          <w:sz w:val="24"/>
        </w:rPr>
        <w:t>.</w:t>
      </w:r>
      <w:r>
        <w:rPr>
          <w:rFonts w:ascii="Calibri" w:hAnsi="Calibri"/>
          <w:color w:val="000000"/>
          <w:sz w:val="24"/>
        </w:rPr>
        <w:t xml:space="preserve"> Our experiences, learning, and environment also shape the creative landscape of our minds, providing both the raw material and the context in which creativity unfolds</w:t>
      </w:r>
      <w:r w:rsidR="003B440B">
        <w:rPr>
          <w:rFonts w:ascii="Calibri" w:hAnsi="Calibri"/>
          <w:color w:val="000000"/>
          <w:sz w:val="24"/>
        </w:rPr>
        <w:t>.</w:t>
      </w:r>
    </w:p>
    <w:p w:rsidR="00A251AF" w:rsidRDefault="009946ED">
      <w:r>
        <w:rPr>
          <w:rFonts w:ascii="Calibri" w:hAnsi="Calibri"/>
          <w:color w:val="000000"/>
          <w:sz w:val="28"/>
        </w:rPr>
        <w:t>Summary</w:t>
      </w:r>
    </w:p>
    <w:p w:rsidR="00A251AF" w:rsidRDefault="009946ED">
      <w:r>
        <w:rPr>
          <w:rFonts w:ascii="Calibri" w:hAnsi="Calibri"/>
          <w:color w:val="000000"/>
        </w:rPr>
        <w:t>The circuitry of human creativity is a intricate tapestry of brain regions, cognitive processes, and life experiences</w:t>
      </w:r>
      <w:r w:rsidR="003B440B">
        <w:rPr>
          <w:rFonts w:ascii="Calibri" w:hAnsi="Calibri"/>
          <w:color w:val="000000"/>
        </w:rPr>
        <w:t>.</w:t>
      </w:r>
      <w:r>
        <w:rPr>
          <w:rFonts w:ascii="Calibri" w:hAnsi="Calibri"/>
          <w:color w:val="000000"/>
        </w:rPr>
        <w:t xml:space="preserve"> The prefrontal cortex serves as a central hub for creativity, facilitating the integration of diverse stimuli and the generation of new concepts</w:t>
      </w:r>
      <w:r w:rsidR="003B440B">
        <w:rPr>
          <w:rFonts w:ascii="Calibri" w:hAnsi="Calibri"/>
          <w:color w:val="000000"/>
        </w:rPr>
        <w:t>.</w:t>
      </w:r>
      <w:r>
        <w:rPr>
          <w:rFonts w:ascii="Calibri" w:hAnsi="Calibri"/>
          <w:color w:val="000000"/>
        </w:rPr>
        <w:t xml:space="preserve"> Neurotransmitters act as chemical messengers, influencing our ability to explore novel ideas and providing internal </w:t>
      </w:r>
      <w:r>
        <w:rPr>
          <w:rFonts w:ascii="Calibri" w:hAnsi="Calibri"/>
          <w:color w:val="000000"/>
        </w:rPr>
        <w:lastRenderedPageBreak/>
        <w:t>validation for creative thinking</w:t>
      </w:r>
      <w:r w:rsidR="003B440B">
        <w:rPr>
          <w:rFonts w:ascii="Calibri" w:hAnsi="Calibri"/>
          <w:color w:val="000000"/>
        </w:rPr>
        <w:t>.</w:t>
      </w:r>
      <w:r>
        <w:rPr>
          <w:rFonts w:ascii="Calibri" w:hAnsi="Calibri"/>
          <w:color w:val="000000"/>
        </w:rPr>
        <w:t xml:space="preserve"> Our experiences, ranging from exposure to the arts to cultural influences and personal struggles, shape the fabric of our creativity</w:t>
      </w:r>
      <w:r w:rsidR="003B440B">
        <w:rPr>
          <w:rFonts w:ascii="Calibri" w:hAnsi="Calibri"/>
          <w:color w:val="000000"/>
        </w:rPr>
        <w:t>.</w:t>
      </w:r>
      <w:r>
        <w:rPr>
          <w:rFonts w:ascii="Calibri" w:hAnsi="Calibri"/>
          <w:color w:val="000000"/>
        </w:rPr>
        <w:t xml:space="preserve"> Thus, understanding the circuitry of creativity can not only unlock the potential of human ingenuity but also pave the way for fostering creativity in diverse fields and nurturing the minds of future innovators</w:t>
      </w:r>
      <w:r w:rsidR="003B440B">
        <w:rPr>
          <w:rFonts w:ascii="Calibri" w:hAnsi="Calibri"/>
          <w:color w:val="000000"/>
        </w:rPr>
        <w:t>.</w:t>
      </w:r>
    </w:p>
    <w:sectPr w:rsidR="00A251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3408803">
    <w:abstractNumId w:val="8"/>
  </w:num>
  <w:num w:numId="2" w16cid:durableId="1530140923">
    <w:abstractNumId w:val="6"/>
  </w:num>
  <w:num w:numId="3" w16cid:durableId="154613587">
    <w:abstractNumId w:val="5"/>
  </w:num>
  <w:num w:numId="4" w16cid:durableId="2091081166">
    <w:abstractNumId w:val="4"/>
  </w:num>
  <w:num w:numId="5" w16cid:durableId="1656641640">
    <w:abstractNumId w:val="7"/>
  </w:num>
  <w:num w:numId="6" w16cid:durableId="1439450517">
    <w:abstractNumId w:val="3"/>
  </w:num>
  <w:num w:numId="7" w16cid:durableId="1653018451">
    <w:abstractNumId w:val="2"/>
  </w:num>
  <w:num w:numId="8" w16cid:durableId="682899404">
    <w:abstractNumId w:val="1"/>
  </w:num>
  <w:num w:numId="9" w16cid:durableId="22140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440B"/>
    <w:rsid w:val="009946ED"/>
    <w:rsid w:val="00A251A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