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BDC" w:rsidRDefault="000D0593">
      <w:pPr>
        <w:jc w:val="center"/>
      </w:pPr>
      <w:r>
        <w:rPr>
          <w:rFonts w:ascii="Calibri" w:hAnsi="Calibri"/>
          <w:color w:val="000000"/>
          <w:sz w:val="44"/>
        </w:rPr>
        <w:t>Microcosm of Life: Exploring the Wonders of a Single Cell</w:t>
      </w:r>
    </w:p>
    <w:p w:rsidR="00950BDC" w:rsidRDefault="000D059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Lee</w:t>
      </w:r>
    </w:p>
    <w:p w:rsidR="00950BDC" w:rsidRDefault="000D0593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D27CC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lee@biosphere</w:t>
      </w:r>
      <w:r w:rsidR="00D27CC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50BDC" w:rsidRDefault="00950BDC"/>
    <w:p w:rsidR="00950BDC" w:rsidRDefault="000D0593">
      <w:r>
        <w:rPr>
          <w:rFonts w:ascii="Calibri" w:hAnsi="Calibri"/>
          <w:color w:val="000000"/>
          <w:sz w:val="24"/>
        </w:rPr>
        <w:t>In the vast tapestry of life, from the towering sequoias to the microscopic plankton, there exists an intricate world within each living cell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cytology delves into this cellular microcosm, revealing a symphony of complex processes, intricate structures, and remarkable adaptations that collectively give rise to the diversity of life on Earth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depths of a single cell, we discover a universe teeming with wonder, innovation, and unity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miniature city, a cell is a bustling hub of activity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Organelles, each with specialized functions, perform their intricate tasks, ensuring the cell's survival and growth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nucleus, the control center, houses the genetic blueprint that orchestrates the cell's identity and function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mitochondria, the energy powerhouses, generate the fuel that drives cellular processes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endoplasmic reticulum, a vast network of membranes, facilitates the transport and synthesis of molecules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lysosomes, the cellular recycling centers, break down waste and cellular debris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Cells communicate with each other through a sophisticated signaling network, exchanging vital information that coordinates their actions and maintains tissue homeostasis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respond to external stimuli, such as changes in temperature, pH, or nutrient availability, adjusting their behavior to adapt to a dynamic environment</w:t>
      </w:r>
      <w:r w:rsidR="00D27C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multicellular organisms, cells work together in harmony, forming tissues, organs, and systems that carry out specialized functions, demonstrating the remarkable power of collective action</w:t>
      </w:r>
      <w:r w:rsidR="00D27CC1">
        <w:rPr>
          <w:rFonts w:ascii="Calibri" w:hAnsi="Calibri"/>
          <w:color w:val="000000"/>
          <w:sz w:val="24"/>
        </w:rPr>
        <w:t>.</w:t>
      </w:r>
    </w:p>
    <w:p w:rsidR="00950BDC" w:rsidRDefault="000D0593">
      <w:r>
        <w:rPr>
          <w:rFonts w:ascii="Calibri" w:hAnsi="Calibri"/>
          <w:color w:val="000000"/>
          <w:sz w:val="28"/>
        </w:rPr>
        <w:t>Summary</w:t>
      </w:r>
    </w:p>
    <w:p w:rsidR="00950BDC" w:rsidRDefault="000D0593">
      <w:r>
        <w:rPr>
          <w:rFonts w:ascii="Calibri" w:hAnsi="Calibri"/>
          <w:color w:val="000000"/>
        </w:rPr>
        <w:t>The exploration of a single cell unveils a microcosm of life, showcasing the extraordinary complexity, diversity, and unity that characterize all living organisms</w:t>
      </w:r>
      <w:r w:rsidR="00D27C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Within the confines of this tiny world, we witness the intricate interplay of organelles, the marvels of genetic regulation, and the remarkable adaptability of cellular life</w:t>
      </w:r>
      <w:r w:rsidR="00D27C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cytology provides a window into the </w:t>
      </w:r>
      <w:r>
        <w:rPr>
          <w:rFonts w:ascii="Calibri" w:hAnsi="Calibri"/>
          <w:color w:val="000000"/>
        </w:rPr>
        <w:lastRenderedPageBreak/>
        <w:t>fundamental processes that govern life, offering insights into our own biology, health, and the interconnectedness of all living things</w:t>
      </w:r>
      <w:r w:rsidR="00D27CC1">
        <w:rPr>
          <w:rFonts w:ascii="Calibri" w:hAnsi="Calibri"/>
          <w:color w:val="000000"/>
        </w:rPr>
        <w:t>.</w:t>
      </w:r>
    </w:p>
    <w:sectPr w:rsidR="00950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169363">
    <w:abstractNumId w:val="8"/>
  </w:num>
  <w:num w:numId="2" w16cid:durableId="1698503631">
    <w:abstractNumId w:val="6"/>
  </w:num>
  <w:num w:numId="3" w16cid:durableId="668748469">
    <w:abstractNumId w:val="5"/>
  </w:num>
  <w:num w:numId="4" w16cid:durableId="49159897">
    <w:abstractNumId w:val="4"/>
  </w:num>
  <w:num w:numId="5" w16cid:durableId="648284384">
    <w:abstractNumId w:val="7"/>
  </w:num>
  <w:num w:numId="6" w16cid:durableId="1775711432">
    <w:abstractNumId w:val="3"/>
  </w:num>
  <w:num w:numId="7" w16cid:durableId="1885602643">
    <w:abstractNumId w:val="2"/>
  </w:num>
  <w:num w:numId="8" w16cid:durableId="1695693763">
    <w:abstractNumId w:val="1"/>
  </w:num>
  <w:num w:numId="9" w16cid:durableId="117873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593"/>
    <w:rsid w:val="0015074B"/>
    <w:rsid w:val="0029639D"/>
    <w:rsid w:val="00326F90"/>
    <w:rsid w:val="00950BDC"/>
    <w:rsid w:val="00AA1D8D"/>
    <w:rsid w:val="00B47730"/>
    <w:rsid w:val="00CB0664"/>
    <w:rsid w:val="00D27C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