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905" w:rsidRDefault="00A15AB6">
      <w:pPr>
        <w:jc w:val="center"/>
      </w:pPr>
      <w:r>
        <w:rPr>
          <w:rFonts w:ascii="Calibri" w:hAnsi="Calibri"/>
          <w:color w:val="000000"/>
          <w:sz w:val="44"/>
        </w:rPr>
        <w:t>Unveiling the Enigma of Consciousness</w:t>
      </w:r>
    </w:p>
    <w:p w:rsidR="002D1905" w:rsidRDefault="00A15AB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Chambers</w:t>
      </w:r>
    </w:p>
    <w:p w:rsidR="002D1905" w:rsidRDefault="00A15AB6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4C17B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chambers@quantummind</w:t>
      </w:r>
      <w:r w:rsidR="004C17B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D1905" w:rsidRDefault="002D1905"/>
    <w:p w:rsidR="002D1905" w:rsidRDefault="00A15AB6">
      <w:r>
        <w:rPr>
          <w:rFonts w:ascii="Calibri" w:hAnsi="Calibri"/>
          <w:color w:val="000000"/>
          <w:sz w:val="24"/>
        </w:rPr>
        <w:t>Consciousness, the very essence of our being, remains an enigma that has captivated philosophers, scientists, and artists for millennia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subjective experience of our own thoughts, emotions, and sensations, the inner world that distinguishes us from inanimate matter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complexities of the human experience, consciousness plays a pivotal role in our perception, decision-making, and interaction with the external world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spans diverse disciplines, from neuroscience and psychology to philosophy and computer science, each attempting to unravel the intricate workings of this mysterious phenomenon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neuroscience, researchers delve into the neural mechanisms underlying consciousness, seeking to identify the brain regions and processes responsible for our subjective awareness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investigate how different parts of the brain communicate and synchronize to generate the rich tapestry of our conscious experiences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brain activity through techniques like electroencephalography (EEG) and functional magnetic resonance imaging (fMRI), scientists aim to map the neural correlates of consciousness, providing valuable insights into its biological underpinnings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Psychologists explore the relationship between consciousness and various cognitive processes, such as attention, memory, and decision-making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investigate how consciousness influences our perception of the world, our ability to control our thoughts and actions, and the formation of our personal identity</w:t>
      </w:r>
      <w:r w:rsidR="004C17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experiments and behavioral studies, psychologists seek to understand the subjective aspects of consciousness, shedding light on the intricate interplay between our conscious and unconscious minds</w:t>
      </w:r>
      <w:r w:rsidR="004C17B5">
        <w:rPr>
          <w:rFonts w:ascii="Calibri" w:hAnsi="Calibri"/>
          <w:color w:val="000000"/>
          <w:sz w:val="24"/>
        </w:rPr>
        <w:t>.</w:t>
      </w:r>
    </w:p>
    <w:p w:rsidR="002D1905" w:rsidRDefault="00A15AB6">
      <w:r>
        <w:rPr>
          <w:rFonts w:ascii="Calibri" w:hAnsi="Calibri"/>
          <w:color w:val="000000"/>
          <w:sz w:val="28"/>
        </w:rPr>
        <w:t>Summary</w:t>
      </w:r>
    </w:p>
    <w:p w:rsidR="002D1905" w:rsidRDefault="00A15AB6">
      <w:r>
        <w:rPr>
          <w:rFonts w:ascii="Calibri" w:hAnsi="Calibri"/>
          <w:color w:val="000000"/>
        </w:rPr>
        <w:t>The study of consciousness encompasses a diverse range of approaches, spanning neuroscience, psychology, philosophy, and computer science</w:t>
      </w:r>
      <w:r w:rsidR="004C17B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significant progress has been made in understanding the neural correlates of consciousness and the cognitive processes associated with it, the fundamental nature of consciousness remains a profound mystery</w:t>
      </w:r>
      <w:r w:rsidR="004C17B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</w:t>
      </w:r>
      <w:r>
        <w:rPr>
          <w:rFonts w:ascii="Calibri" w:hAnsi="Calibri"/>
          <w:color w:val="000000"/>
        </w:rPr>
        <w:lastRenderedPageBreak/>
        <w:t>to probe the depths of this enigma, we move closer to unraveling the secrets of our own existence, gaining insights into the very essence of what it means to be human</w:t>
      </w:r>
      <w:r w:rsidR="004C17B5">
        <w:rPr>
          <w:rFonts w:ascii="Calibri" w:hAnsi="Calibri"/>
          <w:color w:val="000000"/>
        </w:rPr>
        <w:t>.</w:t>
      </w:r>
    </w:p>
    <w:sectPr w:rsidR="002D1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354534">
    <w:abstractNumId w:val="8"/>
  </w:num>
  <w:num w:numId="2" w16cid:durableId="1821000618">
    <w:abstractNumId w:val="6"/>
  </w:num>
  <w:num w:numId="3" w16cid:durableId="820079431">
    <w:abstractNumId w:val="5"/>
  </w:num>
  <w:num w:numId="4" w16cid:durableId="1561481290">
    <w:abstractNumId w:val="4"/>
  </w:num>
  <w:num w:numId="5" w16cid:durableId="646861126">
    <w:abstractNumId w:val="7"/>
  </w:num>
  <w:num w:numId="6" w16cid:durableId="810294331">
    <w:abstractNumId w:val="3"/>
  </w:num>
  <w:num w:numId="7" w16cid:durableId="1054082612">
    <w:abstractNumId w:val="2"/>
  </w:num>
  <w:num w:numId="8" w16cid:durableId="715201052">
    <w:abstractNumId w:val="1"/>
  </w:num>
  <w:num w:numId="9" w16cid:durableId="49364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905"/>
    <w:rsid w:val="00326F90"/>
    <w:rsid w:val="004C17B5"/>
    <w:rsid w:val="00A15A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