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4C0" w:rsidRDefault="00376C86">
      <w:pPr>
        <w:jc w:val="center"/>
      </w:pPr>
      <w:r>
        <w:rPr>
          <w:rFonts w:ascii="TimesNewToman" w:hAnsi="TimesNewToman"/>
          <w:color w:val="000000"/>
          <w:sz w:val="44"/>
        </w:rPr>
        <w:t>Delving into Quantum Computing Interactions and Future Impact</w:t>
      </w:r>
    </w:p>
    <w:p w:rsidR="005244C0" w:rsidRDefault="00376C8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Wilson</w:t>
      </w:r>
    </w:p>
    <w:p w:rsidR="005244C0" w:rsidRDefault="00376C86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8C0E6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wilson@quantum-interaction</w:t>
      </w:r>
      <w:r w:rsidR="008C0E6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5244C0" w:rsidRDefault="005244C0"/>
    <w:p w:rsidR="005244C0" w:rsidRDefault="00376C86">
      <w:r>
        <w:rPr>
          <w:rFonts w:ascii="TimesNewToman" w:hAnsi="TimesNewToman"/>
          <w:color w:val="000000"/>
          <w:sz w:val="24"/>
        </w:rPr>
        <w:t>As we embark on a transformative era of technological advancement, quantum computing stands as a frontier of innovation with the potential to profoundly reshape various scientific fields, industries, and our daily lives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novel paradigm draws inspiration from the peculiar behaviors of particles at the atomic and subatomic levels, unlocking unprecedented computational capabilities that transcend the limitations of classical computers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Intricate and interconnected networks of qubits, the fundamental units of quantum information, pave the way for intricate algorithms capable of tackling problems that have eluded conventional computational methods for decades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complexities of quantum mechanics and its implications for computing opens up a realm of groundbreaking possibilities that could revolutionize fields such as materials science, drug discovery, financial modeling, and artificial intelligence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quantum computing promises to revolutionize industries by enabling breakthroughs in materials design, facilitating targeted drug therapies, optimizing financial strategies, and unlocking new frontiers in artificial intelligence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applications hold immense potential to address global challenges, ranging from climate change to sustainable energy and food production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quantum computing has the potential to enhance the security of digital infrastructures and financial transactions, ensuring the integrity and confidentiality of sensitive information in a rapidly interconnected world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Despite its immense potential, the realization of practical quantum computers presents significant challenges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Building and maintaining stable quantum systems requires specialized infrastructure and expertise, making it a demanding and expensive endeavor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Overcoming decoherence, the loss of quantum information due to interactions with the environment, remains a formidable hurdle that researchers are actively addressing through innovative approaches</w:t>
      </w:r>
      <w:r w:rsidR="008C0E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developing user-friendly software tools and programming languages specifically tailored for quantum computing is crucial to democratize access and foster widespread adoption of this revolutionary technology</w:t>
      </w:r>
      <w:r w:rsidR="008C0E60">
        <w:rPr>
          <w:rFonts w:ascii="TimesNewToman" w:hAnsi="TimesNewToman"/>
          <w:color w:val="000000"/>
          <w:sz w:val="24"/>
        </w:rPr>
        <w:t>.</w:t>
      </w:r>
    </w:p>
    <w:p w:rsidR="005244C0" w:rsidRDefault="00376C86">
      <w:r>
        <w:rPr>
          <w:rFonts w:ascii="TimesNewToman" w:hAnsi="TimesNewToman"/>
          <w:color w:val="000000"/>
          <w:sz w:val="28"/>
        </w:rPr>
        <w:t>Summary</w:t>
      </w:r>
    </w:p>
    <w:p w:rsidR="005244C0" w:rsidRDefault="00376C86">
      <w:r>
        <w:rPr>
          <w:rFonts w:ascii="TimesNewToman" w:hAnsi="TimesNewToman"/>
          <w:color w:val="000000"/>
        </w:rPr>
        <w:lastRenderedPageBreak/>
        <w:t>In conclusion, quantum computing stands as a transformative force poised to revolutionize scientific frontiers and societal landscapes alike</w:t>
      </w:r>
      <w:r w:rsidR="008C0E6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the enigmatic properties of quantum mechanics, researchers and engineers are pushing the boundaries of computational possibilities</w:t>
      </w:r>
      <w:r w:rsidR="008C0E6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Unlocking the potential of quantum computing holds the key to solving previously intractable problems, driving innovation across industries, and shaping a future where technology and human ingenuity converge to tackle the grand challenges of our time</w:t>
      </w:r>
      <w:r w:rsidR="008C0E6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Yet, as this nascent field continues to evolve, collaboration, investment, and a sustained commitment to overcoming technical barriers will be essential in ushering in an era of quantum computing-driven progress</w:t>
      </w:r>
      <w:r w:rsidR="008C0E60">
        <w:rPr>
          <w:rFonts w:ascii="TimesNewToman" w:hAnsi="TimesNewToman"/>
          <w:color w:val="000000"/>
        </w:rPr>
        <w:t>.</w:t>
      </w:r>
    </w:p>
    <w:sectPr w:rsidR="00524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854957">
    <w:abstractNumId w:val="8"/>
  </w:num>
  <w:num w:numId="2" w16cid:durableId="2138328540">
    <w:abstractNumId w:val="6"/>
  </w:num>
  <w:num w:numId="3" w16cid:durableId="1200701638">
    <w:abstractNumId w:val="5"/>
  </w:num>
  <w:num w:numId="4" w16cid:durableId="1955087693">
    <w:abstractNumId w:val="4"/>
  </w:num>
  <w:num w:numId="5" w16cid:durableId="304361699">
    <w:abstractNumId w:val="7"/>
  </w:num>
  <w:num w:numId="6" w16cid:durableId="1287345594">
    <w:abstractNumId w:val="3"/>
  </w:num>
  <w:num w:numId="7" w16cid:durableId="1501002538">
    <w:abstractNumId w:val="2"/>
  </w:num>
  <w:num w:numId="8" w16cid:durableId="1929071259">
    <w:abstractNumId w:val="1"/>
  </w:num>
  <w:num w:numId="9" w16cid:durableId="78539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C86"/>
    <w:rsid w:val="005244C0"/>
    <w:rsid w:val="008C0E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