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91980">
      <w:pPr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ICS 11.120.10</w:t>
      </w:r>
    </w:p>
    <w:p w14:paraId="13340688">
      <w:pPr>
        <w:jc w:val="left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CCS G 16</w:t>
      </w:r>
    </w:p>
    <w:p w14:paraId="76022841">
      <w:pPr>
        <w:jc w:val="left"/>
        <w:rPr>
          <w:rFonts w:hint="default" w:ascii="黑体" w:hAnsi="黑体" w:eastAsia="宋体" w:cs="黑体"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sz w:val="96"/>
          <w:szCs w:val="96"/>
          <w:lang w:val="en-US" w:eastAsia="zh-CN"/>
        </w:rPr>
        <w:t xml:space="preserve">             </w:t>
      </w:r>
      <w:r>
        <w:rPr>
          <w:highlight w:val="none"/>
        </w:rPr>
        <w:drawing>
          <wp:inline distT="0" distB="0" distL="0" distR="0">
            <wp:extent cx="414655" cy="430530"/>
            <wp:effectExtent l="0" t="0" r="4445" b="7620"/>
            <wp:docPr id="1" name="图片 1" descr="D:\000000部门项目\09标准化插件开发\程序源代码\StandardEditor_ShanDongKeXieYuan\团标首页面字母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000000部门项目\09标准化插件开发\程序源代码\StandardEditor_ShanDongKeXieYuan\团标首页面字母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720" cy="43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96"/>
          <w:szCs w:val="96"/>
          <w:highlight w:val="none"/>
          <w:lang w:val="en-US" w:eastAsia="zh-CN"/>
        </w:rPr>
        <w:t>/XXX</w:t>
      </w:r>
    </w:p>
    <w:p w14:paraId="3C8C64BB">
      <w:pPr>
        <w:jc w:val="center"/>
        <w:rPr>
          <w:rFonts w:hint="default" w:ascii="黑体" w:hAnsi="黑体" w:eastAsia="黑体" w:cs="黑体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52"/>
          <w:szCs w:val="52"/>
          <w:lang w:val="en-US" w:eastAsia="zh-CN"/>
        </w:rPr>
        <w:t>团         体         标         准</w:t>
      </w:r>
    </w:p>
    <w:p w14:paraId="227C04B0">
      <w:pPr>
        <w:jc w:val="center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                                                T/XXX 001—2025</w:t>
      </w:r>
    </w:p>
    <w:p w14:paraId="28C92313">
      <w:pPr>
        <w:jc w:val="left"/>
        <w:rPr>
          <w:rFonts w:hint="default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                                            </w:t>
      </w:r>
    </w:p>
    <w:p w14:paraId="4F4792FD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8AAF125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6FF307A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26E50FF">
      <w:pPr>
        <w:jc w:val="center"/>
        <w:rPr>
          <w:rFonts w:hint="default" w:ascii="黑体" w:hAnsi="黑体" w:eastAsia="黑体" w:cs="黑体"/>
          <w:sz w:val="52"/>
          <w:szCs w:val="52"/>
          <w:lang w:val="en-US" w:eastAsia="zh-CN"/>
        </w:rPr>
      </w:pPr>
      <w:bookmarkStart w:id="7" w:name="_GoBack"/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金线莲精提取加工技术规范</w:t>
      </w:r>
      <w:bookmarkEnd w:id="7"/>
    </w:p>
    <w:p w14:paraId="65CD22F7">
      <w:pPr>
        <w:jc w:val="center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Technical Specifications for the Extraction and Processing of Anoectochilus roxbughii</w:t>
      </w:r>
    </w:p>
    <w:p w14:paraId="35E6CF00">
      <w:pPr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DCEBED2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7AA907A">
      <w:pPr>
        <w:pStyle w:val="5"/>
        <w:numPr>
          <w:ilvl w:val="0"/>
          <w:numId w:val="0"/>
        </w:numPr>
        <w:rPr>
          <w:rFonts w:hint="eastAsia" w:ascii="黑体" w:hAnsi="黑体" w:eastAsia="黑体" w:cs="Times New Roman"/>
          <w:color w:val="auto"/>
          <w:kern w:val="2"/>
          <w:sz w:val="28"/>
          <w:szCs w:val="28"/>
          <w:u w:val="single"/>
          <w:lang w:val="en-US" w:eastAsia="zh-CN" w:bidi="ar-SA"/>
        </w:rPr>
      </w:pPr>
    </w:p>
    <w:p w14:paraId="1D81AF69">
      <w:pPr>
        <w:pStyle w:val="5"/>
        <w:numPr>
          <w:ilvl w:val="0"/>
          <w:numId w:val="0"/>
        </w:numPr>
        <w:rPr>
          <w:rFonts w:hint="eastAsia" w:ascii="黑体" w:hAnsi="黑体" w:eastAsia="黑体" w:cs="Times New Roman"/>
          <w:color w:val="auto"/>
          <w:kern w:val="2"/>
          <w:sz w:val="28"/>
          <w:szCs w:val="28"/>
          <w:u w:val="single"/>
          <w:lang w:val="en-US" w:eastAsia="zh-CN" w:bidi="ar-SA"/>
        </w:rPr>
      </w:pPr>
    </w:p>
    <w:p w14:paraId="7CA76076">
      <w:pPr>
        <w:pStyle w:val="5"/>
        <w:numPr>
          <w:ilvl w:val="0"/>
          <w:numId w:val="0"/>
        </w:numPr>
        <w:rPr>
          <w:rFonts w:hint="eastAsia" w:ascii="黑体" w:hAnsi="黑体" w:eastAsia="黑体" w:cs="Times New Roman"/>
          <w:color w:val="auto"/>
          <w:kern w:val="2"/>
          <w:sz w:val="28"/>
          <w:szCs w:val="28"/>
          <w:u w:val="single"/>
          <w:lang w:val="en-US" w:eastAsia="zh-CN" w:bidi="ar-SA"/>
        </w:rPr>
      </w:pPr>
    </w:p>
    <w:p w14:paraId="41258B86">
      <w:pPr>
        <w:pStyle w:val="5"/>
        <w:numPr>
          <w:ilvl w:val="0"/>
          <w:numId w:val="0"/>
        </w:numPr>
        <w:rPr>
          <w:rFonts w:hint="eastAsia" w:ascii="黑体" w:hAnsi="黑体" w:eastAsia="黑体" w:cs="Times New Roman"/>
          <w:color w:val="auto"/>
          <w:kern w:val="2"/>
          <w:sz w:val="28"/>
          <w:szCs w:val="28"/>
          <w:u w:val="single"/>
          <w:lang w:val="en-US" w:eastAsia="zh-CN" w:bidi="ar-SA"/>
        </w:rPr>
      </w:pPr>
    </w:p>
    <w:p w14:paraId="6B981ECE">
      <w:pPr>
        <w:pStyle w:val="5"/>
        <w:numPr>
          <w:ilvl w:val="0"/>
          <w:numId w:val="0"/>
        </w:numPr>
        <w:rPr>
          <w:rFonts w:hint="eastAsia" w:ascii="黑体" w:hAnsi="黑体" w:eastAsia="黑体" w:cs="Times New Roman"/>
          <w:color w:val="auto"/>
          <w:kern w:val="2"/>
          <w:sz w:val="28"/>
          <w:szCs w:val="28"/>
          <w:u w:val="single"/>
          <w:lang w:val="en-US" w:eastAsia="zh-CN" w:bidi="ar-SA"/>
        </w:rPr>
      </w:pPr>
    </w:p>
    <w:p w14:paraId="145C0A06">
      <w:pPr>
        <w:pStyle w:val="5"/>
        <w:numPr>
          <w:ilvl w:val="0"/>
          <w:numId w:val="0"/>
        </w:numPr>
        <w:jc w:val="center"/>
        <w:rPr>
          <w:rFonts w:hint="eastAsia" w:ascii="黑体" w:hAnsi="Arial" w:eastAsia="黑体" w:cs="Arial"/>
          <w:color w:val="auto"/>
          <w:sz w:val="28"/>
          <w:szCs w:val="28"/>
          <w:highlight w:val="none"/>
        </w:rPr>
      </w:pPr>
      <w:r>
        <w:rPr>
          <w:rFonts w:hint="eastAsia" w:ascii="黑体" w:hAnsi="黑体" w:eastAsia="黑体" w:cs="Times New Roman"/>
          <w:color w:val="auto"/>
          <w:kern w:val="2"/>
          <w:sz w:val="28"/>
          <w:szCs w:val="28"/>
          <w:u w:val="single"/>
          <w:lang w:val="en-US" w:eastAsia="zh-CN" w:bidi="ar-SA"/>
        </w:rPr>
        <w:t>2025-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  <w:lang w:val="en-US" w:eastAsia="zh-CN"/>
        </w:rPr>
        <w:t>**</w:t>
      </w:r>
      <w:r>
        <w:rPr>
          <w:rFonts w:ascii="黑体" w:hAnsi="黑体" w:eastAsia="黑体"/>
          <w:color w:val="auto"/>
          <w:sz w:val="28"/>
          <w:szCs w:val="28"/>
          <w:highlight w:val="none"/>
          <w:u w:val="single"/>
        </w:rPr>
        <w:t>-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  <w:lang w:val="en-US" w:eastAsia="zh-CN"/>
        </w:rPr>
        <w:t>**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</w:rPr>
        <w:t>发布</w:t>
      </w:r>
      <w:r>
        <w:rPr>
          <w:rFonts w:ascii="黑体" w:hAnsi="黑体" w:eastAsia="黑体"/>
          <w:color w:val="auto"/>
          <w:sz w:val="28"/>
          <w:szCs w:val="28"/>
          <w:highlight w:val="none"/>
          <w:u w:val="single"/>
        </w:rPr>
        <w:t xml:space="preserve">                          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  <w:lang w:val="en-US" w:eastAsia="zh-CN"/>
        </w:rPr>
        <w:t xml:space="preserve">         </w:t>
      </w:r>
      <w:r>
        <w:rPr>
          <w:rFonts w:ascii="黑体" w:hAnsi="黑体" w:eastAsia="黑体"/>
          <w:color w:val="auto"/>
          <w:sz w:val="28"/>
          <w:szCs w:val="28"/>
          <w:highlight w:val="none"/>
          <w:u w:val="single"/>
        </w:rPr>
        <w:t xml:space="preserve">   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</w:rPr>
        <w:t>202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  <w:lang w:val="en-US" w:eastAsia="zh-CN"/>
        </w:rPr>
        <w:t>5</w:t>
      </w:r>
      <w:r>
        <w:rPr>
          <w:rFonts w:ascii="黑体" w:hAnsi="黑体" w:eastAsia="黑体"/>
          <w:color w:val="auto"/>
          <w:sz w:val="28"/>
          <w:szCs w:val="28"/>
          <w:highlight w:val="none"/>
          <w:u w:val="single"/>
        </w:rPr>
        <w:t>-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  <w:lang w:val="en-US" w:eastAsia="zh-CN"/>
        </w:rPr>
        <w:t>**</w:t>
      </w:r>
      <w:r>
        <w:rPr>
          <w:rFonts w:ascii="黑体" w:hAnsi="黑体" w:eastAsia="黑体"/>
          <w:color w:val="auto"/>
          <w:sz w:val="28"/>
          <w:szCs w:val="28"/>
          <w:highlight w:val="none"/>
          <w:u w:val="single"/>
        </w:rPr>
        <w:t>-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  <w:lang w:val="en-US" w:eastAsia="zh-CN"/>
        </w:rPr>
        <w:t>**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</w:rPr>
        <w:t>实</w:t>
      </w:r>
      <w:r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  <w:lang w:val="en-US" w:eastAsia="zh-CN"/>
        </w:rPr>
        <w:t>施</w:t>
      </w:r>
      <w:r>
        <w:rPr>
          <w:rFonts w:hint="eastAsia" w:ascii="黑体" w:hAnsi="Arial" w:eastAsia="黑体" w:cs="Arial"/>
          <w:color w:val="auto"/>
          <w:sz w:val="28"/>
          <w:szCs w:val="28"/>
          <w:highlight w:val="none"/>
          <w:lang w:val="en-US" w:eastAsia="zh-CN"/>
        </w:rPr>
        <w:t>中国食品药品企业质量安全促进会</w:t>
      </w:r>
      <w:r>
        <w:rPr>
          <w:rFonts w:hint="eastAsia" w:ascii="黑体" w:hAnsi="Arial" w:eastAsia="黑体" w:cs="Arial"/>
          <w:color w:val="auto"/>
          <w:sz w:val="28"/>
          <w:szCs w:val="28"/>
          <w:highlight w:val="none"/>
        </w:rPr>
        <w:t xml:space="preserve">  发</w:t>
      </w:r>
      <w:r>
        <w:rPr>
          <w:rFonts w:hint="eastAsia" w:ascii="黑体" w:hAnsi="Arial" w:eastAsia="黑体" w:cs="Arial"/>
          <w:color w:val="auto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 w:ascii="黑体" w:hAnsi="Arial" w:eastAsia="黑体" w:cs="Arial"/>
          <w:color w:val="auto"/>
          <w:sz w:val="28"/>
          <w:szCs w:val="28"/>
          <w:highlight w:val="none"/>
        </w:rPr>
        <w:t>布</w:t>
      </w:r>
    </w:p>
    <w:p w14:paraId="1E6942AE">
      <w:pPr>
        <w:pStyle w:val="5"/>
        <w:widowControl w:val="0"/>
        <w:numPr>
          <w:ilvl w:val="0"/>
          <w:numId w:val="0"/>
        </w:numPr>
        <w:spacing w:line="300" w:lineRule="auto"/>
        <w:jc w:val="both"/>
        <w:rPr>
          <w:rFonts w:hint="eastAsia" w:ascii="黑体" w:hAnsi="黑体" w:eastAsia="黑体"/>
          <w:color w:val="auto"/>
          <w:sz w:val="28"/>
          <w:szCs w:val="28"/>
          <w:highlight w:val="none"/>
          <w:u w:val="single"/>
          <w:lang w:val="en-US" w:eastAsia="zh-CN"/>
        </w:rPr>
        <w:sectPr>
          <w:headerReference r:id="rId6" w:type="first"/>
          <w:headerReference r:id="rId5" w:type="default"/>
          <w:footerReference r:id="rId7" w:type="default"/>
          <w:pgSz w:w="11906" w:h="16838"/>
          <w:pgMar w:top="1417" w:right="1134" w:bottom="1134" w:left="1417" w:header="141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titlePg/>
          <w:rtlGutter w:val="0"/>
          <w:docGrid w:type="lines" w:linePitch="312" w:charSpace="0"/>
        </w:sectPr>
      </w:pPr>
    </w:p>
    <w:p w14:paraId="5941CAA8">
      <w:pPr>
        <w:jc w:val="center"/>
        <w:rPr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目  次</w:t>
      </w:r>
    </w:p>
    <w:p w14:paraId="626504B7">
      <w:pPr>
        <w:pStyle w:val="8"/>
        <w:keepNext w:val="0"/>
        <w:keepLines w:val="0"/>
        <w:pageBreakBefore w:val="0"/>
        <w:widowControl w:val="0"/>
        <w:tabs>
          <w:tab w:val="right" w:leader="dot" w:pos="9355"/>
          <w:tab w:val="clear" w:pos="83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TOC \o "1-2" \h \u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_Toc30151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bCs w:val="0"/>
          <w:szCs w:val="32"/>
        </w:rPr>
        <w:t>前  言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_Toc30151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61DF5EC1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_Toc27692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1  范围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_Toc27692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5F5FD309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_Toc4382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  规范性引用文件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_Toc4382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62A92847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_Toc30615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  术语与定义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_Toc30615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781E89E6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_Toc15146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  原料要求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_Toc15146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0180D4E0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_Toc26282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  加工</w:t>
      </w:r>
      <w:r>
        <w:rPr>
          <w:rFonts w:hint="eastAsia" w:ascii="宋体" w:hAnsi="宋体" w:cs="宋体"/>
          <w:lang w:val="en-US" w:eastAsia="zh-CN"/>
        </w:rPr>
        <w:t>条件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_Toc26282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2E0B6A8F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_Toc12273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  加工工艺技术要求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_Toc12273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6890A374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_Toc9595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7  质量管理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_Toc9595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62143A34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_Toc29356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8  标志、包装</w:t>
      </w:r>
      <w:r>
        <w:rPr>
          <w:rFonts w:hint="eastAsia" w:ascii="宋体" w:hAnsi="宋体" w:cs="宋体"/>
          <w:lang w:val="en-US" w:eastAsia="zh-CN"/>
        </w:rPr>
        <w:t>、运输</w:t>
      </w:r>
      <w:r>
        <w:rPr>
          <w:rFonts w:hint="eastAsia" w:ascii="宋体" w:hAnsi="宋体" w:eastAsia="宋体" w:cs="宋体"/>
          <w:lang w:val="en-US" w:eastAsia="zh-CN"/>
        </w:rPr>
        <w:t>与贮存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_Toc29356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5D2B5C8A">
      <w:pPr>
        <w:pStyle w:val="9"/>
        <w:keepNext w:val="0"/>
        <w:keepLines w:val="0"/>
        <w:pageBreakBefore w:val="0"/>
        <w:widowControl w:val="0"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_Toc24459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参 考 文 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_Toc24459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45F52A58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fldChar w:fldCharType="end"/>
      </w:r>
    </w:p>
    <w:p w14:paraId="57E46E7E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7981DB6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22B7887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D42C627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523A25A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7C4BDD7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FDD4D6A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3F27121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453FB83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4A1C58D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B093D0B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755D968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E2E32ED">
      <w:pPr>
        <w:pStyle w:val="2"/>
        <w:bidi w:val="0"/>
        <w:jc w:val="center"/>
        <w:outlineLvl w:val="0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前  言</w:t>
      </w:r>
    </w:p>
    <w:p w14:paraId="3140E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本文件按照GB/T 1.1—2020《标准化工作导则　第1部分：标准化文件的结构和起草规则》的规定起草。</w:t>
      </w:r>
    </w:p>
    <w:p w14:paraId="525FF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/>
        </w:rPr>
        <w:t>请注意本文件的某些内容可能涉及专利。本文件的发布机构不承担识别专利的责任。</w:t>
      </w:r>
    </w:p>
    <w:p w14:paraId="6B579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eastAsia="宋体" w:cs="宋体"/>
        </w:rPr>
        <w:t>本文件由</w:t>
      </w:r>
      <w:r>
        <w:rPr>
          <w:rFonts w:hint="eastAsia" w:ascii="宋体" w:hAnsi="宋体" w:cs="宋体"/>
          <w:lang w:val="en-US" w:eastAsia="zh-CN"/>
        </w:rPr>
        <w:t>丽水剑兰生物科技有限公司</w:t>
      </w:r>
      <w:r>
        <w:rPr>
          <w:rFonts w:hint="eastAsia" w:ascii="宋体" w:hAnsi="宋体" w:eastAsia="宋体" w:cs="宋体"/>
        </w:rPr>
        <w:t>提出</w:t>
      </w:r>
      <w:r>
        <w:rPr>
          <w:rFonts w:hint="eastAsia" w:ascii="宋体" w:hAnsi="宋体" w:cs="宋体"/>
          <w:lang w:eastAsia="zh-CN"/>
        </w:rPr>
        <w:t>。</w:t>
      </w:r>
    </w:p>
    <w:p w14:paraId="410AE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本文件</w:t>
      </w:r>
      <w:r>
        <w:rPr>
          <w:rFonts w:hint="eastAsia" w:ascii="宋体" w:hAnsi="宋体" w:eastAsia="宋体" w:cs="宋体"/>
        </w:rPr>
        <w:t>由中国</w:t>
      </w:r>
      <w:r>
        <w:rPr>
          <w:rFonts w:hint="eastAsia" w:ascii="宋体" w:hAnsi="宋体" w:eastAsia="宋体" w:cs="宋体"/>
          <w:lang w:val="en-US" w:eastAsia="zh-CN"/>
        </w:rPr>
        <w:t>食品药品企业质量安全促进</w:t>
      </w:r>
      <w:r>
        <w:rPr>
          <w:rFonts w:hint="eastAsia" w:ascii="宋体" w:hAnsi="宋体" w:eastAsia="宋体" w:cs="宋体"/>
        </w:rPr>
        <w:t>会归口。</w:t>
      </w:r>
    </w:p>
    <w:p w14:paraId="6601D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本文件主要起草单位：</w:t>
      </w:r>
    </w:p>
    <w:p w14:paraId="3D583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本文件参与起草单位：</w:t>
      </w:r>
    </w:p>
    <w:p w14:paraId="11A16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本文件主要起草人：</w:t>
      </w:r>
    </w:p>
    <w:p w14:paraId="3C942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auto"/>
          <w:szCs w:val="21"/>
          <w:highlight w:val="none"/>
          <w:lang w:val="en-US" w:eastAsia="zh-CN"/>
        </w:rPr>
        <w:sectPr>
          <w:headerReference r:id="rId8" w:type="first"/>
          <w:footerReference r:id="rId10" w:type="first"/>
          <w:footerReference r:id="rId9" w:type="default"/>
          <w:pgSz w:w="11906" w:h="16838"/>
          <w:pgMar w:top="1417" w:right="1134" w:bottom="1134" w:left="1417" w:header="141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" w:linePitch="312" w:charSpace="0"/>
        </w:sectPr>
      </w:pPr>
      <w:r>
        <w:rPr>
          <w:rFonts w:hint="eastAsia" w:ascii="宋体" w:hAnsi="宋体" w:eastAsia="宋体" w:cs="宋体"/>
        </w:rPr>
        <w:t>本文件主要审查</w:t>
      </w:r>
      <w:r>
        <w:rPr>
          <w:rFonts w:hint="eastAsia" w:ascii="宋体" w:hAnsi="宋体" w:cs="宋体"/>
          <w:lang w:val="en-US" w:eastAsia="zh-CN"/>
        </w:rPr>
        <w:t>人：</w:t>
      </w:r>
    </w:p>
    <w:p w14:paraId="7735ECC3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金线莲精提取加工技术规范</w:t>
      </w:r>
    </w:p>
    <w:p w14:paraId="224FB403">
      <w:pPr>
        <w:pStyle w:val="2"/>
        <w:bidi w:val="0"/>
        <w:rPr>
          <w:rFonts w:hint="eastAsia" w:ascii="黑体" w:hAnsi="黑体" w:eastAsia="黑体" w:cs="黑体"/>
          <w:lang w:val="en-US" w:eastAsia="zh-CN"/>
        </w:rPr>
      </w:pPr>
      <w:bookmarkStart w:id="0" w:name="_Toc27692"/>
      <w:r>
        <w:rPr>
          <w:rFonts w:hint="eastAsia" w:ascii="黑体" w:hAnsi="黑体" w:eastAsia="黑体" w:cs="黑体"/>
          <w:lang w:val="en-US" w:eastAsia="zh-CN"/>
        </w:rPr>
        <w:t>1  范围</w:t>
      </w:r>
      <w:bookmarkEnd w:id="0"/>
    </w:p>
    <w:p w14:paraId="79146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本文件规定了金线莲精提取加工的术语和定义、原料要求、加工场所及设备、加工工艺技术要求、质量管理、标志、包装及贮存条件。</w:t>
      </w:r>
    </w:p>
    <w:p w14:paraId="02F30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本文件适用于以金线莲为原料的全成分精提取加工产品的生产过程。</w:t>
      </w:r>
    </w:p>
    <w:p w14:paraId="28808A08">
      <w:pPr>
        <w:pStyle w:val="2"/>
        <w:bidi w:val="0"/>
        <w:rPr>
          <w:rFonts w:hint="eastAsia" w:ascii="黑体" w:hAnsi="黑体" w:eastAsia="黑体" w:cs="黑体"/>
          <w:lang w:val="en-US" w:eastAsia="zh-CN"/>
        </w:rPr>
      </w:pPr>
      <w:bookmarkStart w:id="1" w:name="_Toc4382"/>
      <w:r>
        <w:rPr>
          <w:rFonts w:hint="eastAsia" w:ascii="黑体" w:hAnsi="黑体" w:eastAsia="黑体" w:cs="黑体"/>
          <w:lang w:val="en-US" w:eastAsia="zh-CN"/>
        </w:rPr>
        <w:t>2  规范性引用文件</w:t>
      </w:r>
      <w:bookmarkEnd w:id="1"/>
    </w:p>
    <w:p w14:paraId="1401E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下列文件对于本文件的应用是必不可少的。凡是注日期的引用文件，仅注日期的版本适用于本文件。凡是不注日期的引用文件，其最新版本（包括所有的修改单）适用于本文件。</w:t>
      </w:r>
    </w:p>
    <w:p w14:paraId="0AD44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GB 5749 生活饮用水卫生标准</w:t>
      </w:r>
    </w:p>
    <w:p w14:paraId="0033D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14881 食品安全国家标准 食品生产通用卫生规范</w:t>
      </w:r>
    </w:p>
    <w:p w14:paraId="6190A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2763 食品安全国家标准 食品中农药最大残留限量</w:t>
      </w:r>
    </w:p>
    <w:p w14:paraId="541D8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4789.2 食品安全国家标准 食品微生物学检验 菌落总数测定</w:t>
      </w:r>
    </w:p>
    <w:p w14:paraId="5E177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4789.3 食品安全国家标准 食品微生物学检验 大肠菌群计数</w:t>
      </w:r>
    </w:p>
    <w:p w14:paraId="3E86D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GB 4789.4 食品安全国家标准 食品微生物学检验 沙门氏菌检验</w:t>
      </w:r>
    </w:p>
    <w:p w14:paraId="71E8D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4789.15 食品安全国家标准 食品微生物学检验 霉菌和酵母计数</w:t>
      </w:r>
    </w:p>
    <w:p w14:paraId="35B65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GB 4789.38 食品安全国家标准 食品微生物学检验 大肠埃希氏菌计数</w:t>
      </w:r>
    </w:p>
    <w:p w14:paraId="20511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5009.11 食品安全国家标准 食品中总砷及无机砷的测定</w:t>
      </w:r>
    </w:p>
    <w:p w14:paraId="63540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5009.12 食品安全国家标准 食品中铅的测定</w:t>
      </w:r>
    </w:p>
    <w:p w14:paraId="33D54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5009.15 食品安全国家标准 食品中镉的测定</w:t>
      </w:r>
    </w:p>
    <w:p w14:paraId="2DEB5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GB 5009.17 食品安全国家标准 食品中总汞及有机汞的测定</w:t>
      </w:r>
    </w:p>
    <w:p w14:paraId="078DB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JJF 1070 定量包装商品净含量计量检验规则</w:t>
      </w:r>
    </w:p>
    <w:p w14:paraId="785C5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SB/T 11182 中药材包装技术规范</w:t>
      </w:r>
    </w:p>
    <w:p w14:paraId="0E92F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《定量包装商品计量监督管理办法》（国家市场监督管理总局令2023年第70号）</w:t>
      </w:r>
    </w:p>
    <w:p w14:paraId="633001F7">
      <w:pPr>
        <w:pStyle w:val="2"/>
        <w:bidi w:val="0"/>
        <w:rPr>
          <w:rFonts w:hint="eastAsia" w:ascii="黑体" w:hAnsi="黑体" w:eastAsia="黑体" w:cs="黑体"/>
          <w:lang w:val="en-US" w:eastAsia="zh-CN"/>
        </w:rPr>
      </w:pPr>
      <w:bookmarkStart w:id="2" w:name="_Toc30615"/>
      <w:r>
        <w:rPr>
          <w:rFonts w:hint="eastAsia" w:ascii="黑体" w:hAnsi="黑体" w:eastAsia="黑体" w:cs="黑体"/>
          <w:lang w:val="en-US" w:eastAsia="zh-CN"/>
        </w:rPr>
        <w:t>3  术语与定义</w:t>
      </w:r>
      <w:bookmarkEnd w:id="2"/>
    </w:p>
    <w:p w14:paraId="6ABC950A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3.1 </w:t>
      </w:r>
    </w:p>
    <w:p w14:paraId="79BE7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金线莲  Anoectochilus roxburghii（Wall.）Lindl</w:t>
      </w:r>
    </w:p>
    <w:p w14:paraId="2995C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指蓝可开春兰属植物金线莲或台湾金线莲的新鲜或干燥全草。</w:t>
      </w:r>
    </w:p>
    <w:p w14:paraId="373582CC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3.2 </w:t>
      </w:r>
    </w:p>
    <w:p w14:paraId="301E9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lang w:val="en-US" w:eastAsia="zh-CN"/>
        </w:rPr>
        <w:t xml:space="preserve">金线莲提取物  </w:t>
      </w:r>
      <w:r>
        <w:rPr>
          <w:rFonts w:hint="eastAsia" w:ascii="黑体" w:hAnsi="黑体" w:eastAsia="黑体" w:cs="黑体"/>
          <w:sz w:val="21"/>
          <w:szCs w:val="21"/>
        </w:rPr>
        <w:t>Anoectochilus roxburghii extract</w:t>
      </w:r>
    </w:p>
    <w:p w14:paraId="7CB1E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以符合本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要求的金线莲为原料，经</w:t>
      </w:r>
      <w:r>
        <w:rPr>
          <w:rFonts w:hint="eastAsia" w:ascii="宋体" w:hAnsi="宋体" w:cs="宋体"/>
          <w:sz w:val="21"/>
          <w:szCs w:val="21"/>
          <w:lang w:val="en-US" w:eastAsia="zh-CN"/>
        </w:rPr>
        <w:t>预处理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、提取、过滤、浓缩、干燥等工艺加工制成，保留金线莲主要活性成分的产品，形态包括液体状、膏状、粉末状。</w:t>
      </w:r>
    </w:p>
    <w:p w14:paraId="71180B20">
      <w:pPr>
        <w:pStyle w:val="2"/>
        <w:bidi w:val="0"/>
        <w:rPr>
          <w:rFonts w:hint="eastAsia" w:ascii="黑体" w:hAnsi="黑体" w:eastAsia="黑体" w:cs="黑体"/>
          <w:lang w:val="en-US" w:eastAsia="zh-CN"/>
        </w:rPr>
      </w:pPr>
      <w:bookmarkStart w:id="3" w:name="_Toc15146"/>
      <w:r>
        <w:rPr>
          <w:rFonts w:hint="eastAsia" w:ascii="黑体" w:hAnsi="黑体" w:eastAsia="黑体" w:cs="黑体"/>
          <w:lang w:val="en-US" w:eastAsia="zh-CN"/>
        </w:rPr>
        <w:t>4  原料要求</w:t>
      </w:r>
      <w:bookmarkEnd w:id="3"/>
    </w:p>
    <w:p w14:paraId="0E8C0B66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4.1  原料来源</w:t>
      </w:r>
    </w:p>
    <w:p w14:paraId="024A3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应来源于合规种植基地或合法采购渠道，且严格鉴定为正品金线莲。需提供物种鉴定报告、原料产地证明、采收时间记录及供应商资质文件等完整溯源信息。</w:t>
      </w:r>
    </w:p>
    <w:p w14:paraId="22BFA1D4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4.2  采收期</w:t>
      </w:r>
    </w:p>
    <w:p w14:paraId="4C13F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人工栽培金线莲采收期应为种植后6个月及以上，野生金线莲采收应符合国家相关法律及保护的要求。</w:t>
      </w:r>
    </w:p>
    <w:p w14:paraId="554E5A03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4.3  原料质量</w:t>
      </w:r>
    </w:p>
    <w:p w14:paraId="40443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9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    原料中杂质含量不得超过1%，其中非金线莲植物组织、泥沙等可见杂质应剔除干净。新鲜采摘的金线莲应在24小时内加工，若需短暂存放应置于0-4℃冷库中。</w:t>
      </w:r>
    </w:p>
    <w:p w14:paraId="68AD7473">
      <w:pPr>
        <w:pStyle w:val="2"/>
        <w:bidi w:val="0"/>
        <w:rPr>
          <w:rFonts w:hint="default" w:ascii="黑体" w:hAnsi="黑体" w:eastAsia="黑体" w:cs="黑体"/>
          <w:lang w:val="en-US" w:eastAsia="zh-CN"/>
        </w:rPr>
      </w:pPr>
      <w:bookmarkStart w:id="4" w:name="_Toc26282"/>
      <w:r>
        <w:rPr>
          <w:rFonts w:hint="eastAsia" w:ascii="黑体" w:hAnsi="黑体" w:eastAsia="黑体" w:cs="黑体"/>
          <w:lang w:val="en-US" w:eastAsia="zh-CN"/>
        </w:rPr>
        <w:t>5  加工</w:t>
      </w:r>
      <w:bookmarkEnd w:id="4"/>
      <w:r>
        <w:rPr>
          <w:rFonts w:hint="eastAsia" w:ascii="黑体" w:hAnsi="黑体" w:cs="黑体"/>
          <w:lang w:val="en-US" w:eastAsia="zh-CN"/>
        </w:rPr>
        <w:t>条件</w:t>
      </w:r>
    </w:p>
    <w:p w14:paraId="74FB0015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5.1  加工场所</w:t>
      </w:r>
    </w:p>
    <w:p w14:paraId="6C78F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加工场所应符合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GB 14881规定</w:t>
      </w:r>
      <w:r>
        <w:rPr>
          <w:rFonts w:hint="eastAsia" w:ascii="黑体" w:hAnsi="黑体" w:cs="黑体"/>
          <w:lang w:val="en-US" w:eastAsia="zh-CN"/>
        </w:rPr>
        <w:t>的要求。划分原料处理区、提取区、过滤区、浓缩区、干燥区、成品区、包装区等功能区域，各区之间应有效隔离，避免交叉污染。</w:t>
      </w:r>
    </w:p>
    <w:p w14:paraId="3580A26D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5.2  设备要求</w:t>
      </w:r>
    </w:p>
    <w:p w14:paraId="13780AB1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5.2.1 质量要求</w:t>
      </w:r>
    </w:p>
    <w:p w14:paraId="3AC5A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应使用不与物料发生化学反应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、易清洗消毒的不锈钢304及以上级别或其他符</w:t>
      </w:r>
      <w:r>
        <w:rPr>
          <w:rFonts w:hint="eastAsia" w:ascii="黑体" w:hAnsi="黑体" w:cs="黑体"/>
          <w:lang w:val="en-US" w:eastAsia="zh-CN"/>
        </w:rPr>
        <w:t>合食品药品级要求的设备。</w:t>
      </w:r>
    </w:p>
    <w:p w14:paraId="367B0D5A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5.2.2 主要设备</w:t>
      </w:r>
    </w:p>
    <w:p w14:paraId="2DA7A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a）主要设备包括清洗机、切药机、粉碎机、多功能热回流提取罐（带搅拌、加热、冷凝、防爆系统）、过滤设备、干燥设备、浓缩设备等。</w:t>
      </w:r>
    </w:p>
    <w:p w14:paraId="2B5E8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outlineLvl w:val="9"/>
        <w:rPr>
          <w:rFonts w:hint="eastAsia" w:ascii="黑体" w:hAnsi="黑体" w:cs="黑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b）设备应定期维护、保养，</w:t>
      </w:r>
      <w:r>
        <w:rPr>
          <w:rFonts w:hint="eastAsia" w:ascii="黑体" w:hAnsi="黑体" w:cs="黑体"/>
          <w:lang w:val="en-US" w:eastAsia="zh-CN"/>
        </w:rPr>
        <w:t>每次使用前后应彻底清洗、消毒，消毒后应进行验证，确保无残留。</w:t>
      </w:r>
    </w:p>
    <w:p w14:paraId="6E23DCE8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5.3  人员要求</w:t>
      </w:r>
    </w:p>
    <w:p w14:paraId="4478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9"/>
        <w:rPr>
          <w:rFonts w:hint="default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 xml:space="preserve">    加工人员应经过专业培训，掌握金线莲提取加工的基本知识和技能。</w:t>
      </w:r>
    </w:p>
    <w:p w14:paraId="0399D4FF">
      <w:pPr>
        <w:pStyle w:val="2"/>
        <w:bidi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  加工工艺</w:t>
      </w:r>
      <w:r>
        <w:rPr>
          <w:rFonts w:hint="eastAsia" w:ascii="黑体" w:hAnsi="黑体" w:cs="黑体"/>
          <w:lang w:val="en-US" w:eastAsia="zh-CN"/>
        </w:rPr>
        <w:t>技术要求</w:t>
      </w:r>
    </w:p>
    <w:p w14:paraId="4CB8F8AF">
      <w:pPr>
        <w:pStyle w:val="3"/>
        <w:bidi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6.1  基本工艺流程</w:t>
      </w:r>
    </w:p>
    <w:p w14:paraId="13B8BF5A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金线莲提取加工的基本工艺流程包括：原料预处理→原料干燥→粉碎→水提醇沉→浓缩→醇提→精制→乙醇回收→浓缩→干燥。</w:t>
      </w:r>
    </w:p>
    <w:p w14:paraId="2CEDAD2B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2</w:t>
      </w:r>
      <w:r>
        <w:rPr>
          <w:rFonts w:hint="eastAsia" w:ascii="黑体" w:hAnsi="黑体" w:eastAsia="黑体" w:cs="黑体"/>
          <w:lang w:val="en-US" w:eastAsia="zh-CN"/>
        </w:rPr>
        <w:t xml:space="preserve">  预处理</w:t>
      </w:r>
    </w:p>
    <w:p w14:paraId="11D3FFA2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2</w:t>
      </w:r>
      <w:r>
        <w:rPr>
          <w:rFonts w:hint="eastAsia" w:ascii="黑体" w:hAnsi="黑体" w:eastAsia="黑体" w:cs="黑体"/>
          <w:lang w:val="en-US" w:eastAsia="zh-CN"/>
        </w:rPr>
        <w:t>.1 去杂</w:t>
      </w:r>
    </w:p>
    <w:p w14:paraId="2BF414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 w:firstLineChars="200"/>
        <w:textAlignment w:val="auto"/>
        <w:outlineLvl w:val="9"/>
        <w:rPr>
          <w:rFonts w:hint="default" w:ascii="黑体" w:hAnsi="黑体" w:cs="黑体"/>
          <w:lang w:val="en-US" w:eastAsia="zh-CN"/>
        </w:rPr>
      </w:pPr>
      <w:r>
        <w:rPr>
          <w:rFonts w:hint="eastAsia"/>
          <w:lang w:val="en-US" w:eastAsia="zh-CN"/>
        </w:rPr>
        <w:t>去除原料中的黄叶、枯叶、病叶，以及非金线莲植物组织等可见杂质。</w:t>
      </w:r>
    </w:p>
    <w:p w14:paraId="25A00A8D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2</w:t>
      </w:r>
      <w:r>
        <w:rPr>
          <w:rFonts w:hint="eastAsia" w:ascii="黑体" w:hAnsi="黑体" w:eastAsia="黑体" w:cs="黑体"/>
          <w:lang w:val="en-US" w:eastAsia="zh-CN"/>
        </w:rPr>
        <w:t>.2 清洗</w:t>
      </w:r>
    </w:p>
    <w:p w14:paraId="33D9CB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 w:firstLineChars="200"/>
        <w:textAlignment w:val="auto"/>
        <w:outlineLvl w:val="9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采用高效喷淋清洗，使用符合GB 5749规定的流动水，清洗时间不超过</w:t>
      </w:r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分钟，水温不超过25℃，清洗后沥干水分</w:t>
      </w:r>
      <w:r>
        <w:rPr>
          <w:rFonts w:hint="eastAsia" w:ascii="宋体" w:hAnsi="宋体" w:cs="宋体"/>
          <w:lang w:val="en-US" w:eastAsia="zh-CN"/>
        </w:rPr>
        <w:t>。</w:t>
      </w:r>
    </w:p>
    <w:p w14:paraId="4F244A9A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2</w:t>
      </w:r>
      <w:r>
        <w:rPr>
          <w:rFonts w:hint="eastAsia" w:ascii="黑体" w:hAnsi="黑体" w:eastAsia="黑体" w:cs="黑体"/>
          <w:lang w:val="en-US" w:eastAsia="zh-CN"/>
        </w:rPr>
        <w:t>.3 切制</w:t>
      </w:r>
    </w:p>
    <w:p w14:paraId="565D81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使用不锈钢切药机</w:t>
      </w:r>
      <w:r>
        <w:rPr>
          <w:rFonts w:hint="eastAsia" w:ascii="宋体" w:hAnsi="宋体" w:eastAsia="宋体" w:cs="宋体"/>
          <w:lang w:val="en-US" w:eastAsia="zh-CN"/>
        </w:rPr>
        <w:t>切制成</w:t>
      </w:r>
      <w:r>
        <w:rPr>
          <w:rFonts w:hint="eastAsia" w:ascii="宋体" w:hAnsi="宋体" w:cs="宋体"/>
          <w:lang w:val="en-US" w:eastAsia="zh-CN"/>
        </w:rPr>
        <w:t>5-10mm</w:t>
      </w:r>
      <w:r>
        <w:rPr>
          <w:rFonts w:hint="eastAsia" w:ascii="宋体" w:hAnsi="宋体" w:eastAsia="宋体" w:cs="宋体"/>
          <w:lang w:val="en-US" w:eastAsia="zh-CN"/>
        </w:rPr>
        <w:t>的小段</w:t>
      </w:r>
      <w:r>
        <w:rPr>
          <w:rFonts w:hint="eastAsia" w:ascii="宋体" w:hAnsi="宋体" w:cs="宋体"/>
          <w:lang w:val="en-US" w:eastAsia="zh-CN"/>
        </w:rPr>
        <w:t>。</w:t>
      </w:r>
    </w:p>
    <w:p w14:paraId="09BF765F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3</w:t>
      </w:r>
      <w:r>
        <w:rPr>
          <w:rFonts w:hint="eastAsia" w:ascii="黑体" w:hAnsi="黑体" w:eastAsia="黑体" w:cs="黑体"/>
          <w:lang w:val="en-US" w:eastAsia="zh-CN"/>
        </w:rPr>
        <w:t xml:space="preserve">  原料干燥</w:t>
      </w:r>
    </w:p>
    <w:p w14:paraId="6B512A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将原料放入热风循环烘箱，</w:t>
      </w:r>
      <w:r>
        <w:rPr>
          <w:rFonts w:hint="eastAsia" w:ascii="宋体" w:hAnsi="宋体" w:eastAsia="宋体" w:cs="宋体"/>
          <w:lang w:val="en-US" w:eastAsia="zh-CN"/>
        </w:rPr>
        <w:t>温度应控制在50-60℃，干燥时间2-3小时，每隔30分钟翻动一次</w:t>
      </w:r>
      <w:r>
        <w:rPr>
          <w:rFonts w:hint="eastAsia" w:ascii="宋体" w:hAnsi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干燥后原料水分含量应下降至</w:t>
      </w:r>
      <w:r>
        <w:rPr>
          <w:rFonts w:hint="eastAsia" w:ascii="宋体" w:hAnsi="宋体" w:cs="宋体"/>
          <w:lang w:val="en-US" w:eastAsia="zh-CN"/>
        </w:rPr>
        <w:t>≤</w:t>
      </w:r>
      <w:r>
        <w:rPr>
          <w:rFonts w:hint="eastAsia" w:ascii="宋体" w:hAnsi="宋体" w:eastAsia="宋体" w:cs="宋体"/>
          <w:lang w:val="en-US" w:eastAsia="zh-CN"/>
        </w:rPr>
        <w:t>10%</w:t>
      </w:r>
      <w:r>
        <w:rPr>
          <w:rFonts w:hint="eastAsia" w:ascii="宋体" w:hAnsi="宋体" w:cs="宋体"/>
          <w:lang w:val="en-US" w:eastAsia="zh-CN"/>
        </w:rPr>
        <w:t>。</w:t>
      </w:r>
    </w:p>
    <w:p w14:paraId="756D7822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</w:t>
      </w:r>
      <w:r>
        <w:rPr>
          <w:rFonts w:hint="eastAsia" w:ascii="黑体" w:hAnsi="黑体" w:cs="黑体"/>
          <w:lang w:val="en-US" w:eastAsia="zh-CN"/>
        </w:rPr>
        <w:t>.4</w:t>
      </w:r>
      <w:r>
        <w:rPr>
          <w:rFonts w:hint="eastAsia" w:ascii="黑体" w:hAnsi="黑体" w:eastAsia="黑体" w:cs="黑体"/>
          <w:lang w:val="en-US" w:eastAsia="zh-CN"/>
        </w:rPr>
        <w:t xml:space="preserve">  粉碎</w:t>
      </w:r>
    </w:p>
    <w:p w14:paraId="3A244B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采用</w:t>
      </w:r>
      <w:r>
        <w:rPr>
          <w:rFonts w:hint="eastAsia" w:ascii="宋体" w:hAnsi="宋体" w:eastAsia="宋体" w:cs="宋体"/>
          <w:lang w:val="en-US" w:eastAsia="zh-CN"/>
        </w:rPr>
        <w:t>粉碎机对干燥后的原料进行粉碎，</w:t>
      </w:r>
      <w:r>
        <w:rPr>
          <w:rFonts w:hint="eastAsia" w:ascii="宋体" w:hAnsi="宋体" w:cs="宋体"/>
          <w:lang w:val="en-US" w:eastAsia="zh-CN"/>
        </w:rPr>
        <w:t>碎片大小及分布应</w:t>
      </w:r>
      <w:r>
        <w:rPr>
          <w:rFonts w:hint="eastAsia" w:ascii="宋体" w:hAnsi="宋体" w:eastAsia="宋体" w:cs="宋体"/>
          <w:lang w:val="en-US" w:eastAsia="zh-CN"/>
        </w:rPr>
        <w:t>均匀。</w:t>
      </w:r>
    </w:p>
    <w:p w14:paraId="0EB83109">
      <w:pPr>
        <w:pStyle w:val="3"/>
        <w:bidi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5</w:t>
      </w:r>
      <w:r>
        <w:rPr>
          <w:rFonts w:hint="eastAsia" w:ascii="黑体" w:hAnsi="黑体" w:eastAsia="黑体" w:cs="黑体"/>
          <w:lang w:val="en-US" w:eastAsia="zh-CN"/>
        </w:rPr>
        <w:t xml:space="preserve">  水提</w:t>
      </w:r>
      <w:r>
        <w:rPr>
          <w:rFonts w:hint="eastAsia" w:ascii="黑体" w:hAnsi="黑体" w:cs="黑体"/>
          <w:lang w:val="en-US" w:eastAsia="zh-CN"/>
        </w:rPr>
        <w:t>醇沉</w:t>
      </w:r>
    </w:p>
    <w:p w14:paraId="2D78C4F7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6.5.1 </w:t>
      </w:r>
      <w:r>
        <w:rPr>
          <w:rFonts w:hint="eastAsia" w:ascii="黑体" w:hAnsi="黑体" w:cs="黑体"/>
          <w:lang w:val="en-US" w:eastAsia="zh-CN"/>
        </w:rPr>
        <w:t>水提要求</w:t>
      </w:r>
    </w:p>
    <w:p w14:paraId="6D01DD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 w:firstLineChars="200"/>
        <w:textAlignment w:val="auto"/>
        <w:outlineLvl w:val="9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溶剂应为纯化水，料液比1∶10-1：12（g：mL），温度90-100℃，进行2-3次提取。</w:t>
      </w:r>
    </w:p>
    <w:p w14:paraId="3B79AAE5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6.5.2 </w:t>
      </w:r>
      <w:r>
        <w:rPr>
          <w:rFonts w:hint="eastAsia" w:ascii="黑体" w:hAnsi="黑体" w:cs="黑体"/>
          <w:lang w:val="en-US" w:eastAsia="zh-CN"/>
        </w:rPr>
        <w:t>水提</w:t>
      </w:r>
      <w:r>
        <w:rPr>
          <w:rFonts w:hint="eastAsia" w:ascii="黑体" w:hAnsi="黑体" w:eastAsia="黑体" w:cs="黑体"/>
          <w:lang w:val="en-US" w:eastAsia="zh-CN"/>
        </w:rPr>
        <w:t>步骤</w:t>
      </w:r>
    </w:p>
    <w:p w14:paraId="6FB55E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/>
        <w:textAlignment w:val="auto"/>
        <w:outlineLvl w:val="9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金线莲碎片置于多功能热回流提取罐中，首次加入12倍量纯化水，常温浸泡30分钟后加热至微沸，进行1.5-2小时回流。到达时间后，过滤分离提取液。药渣再次加入10倍量新鲜溶剂，第三次减少纯水量，重复上述操作。合并所有次数的水提液，药渣留存备用。</w:t>
      </w:r>
    </w:p>
    <w:p w14:paraId="309C4E3C">
      <w:pPr>
        <w:pStyle w:val="4"/>
        <w:bidi w:val="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6.5.3 </w:t>
      </w:r>
      <w:r>
        <w:rPr>
          <w:rFonts w:hint="eastAsia" w:ascii="黑体" w:hAnsi="黑体" w:cs="黑体"/>
          <w:lang w:val="en-US" w:eastAsia="zh-CN"/>
        </w:rPr>
        <w:t>浓缩</w:t>
      </w:r>
    </w:p>
    <w:p w14:paraId="473BB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对水提液进行真空减压浓缩</w:t>
      </w:r>
      <w:r>
        <w:rPr>
          <w:rFonts w:hint="eastAsia" w:ascii="宋体" w:hAnsi="宋体" w:cs="宋体"/>
          <w:lang w:val="en-US" w:eastAsia="zh-CN"/>
        </w:rPr>
        <w:t>。</w:t>
      </w:r>
    </w:p>
    <w:p w14:paraId="6DA94FD9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6.5.4 醇沉步骤</w:t>
      </w:r>
    </w:p>
    <w:p w14:paraId="2F392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溶剂应为食用级95%乙醇或无水乙醇，在浓缩水提液中缓慢加入乙醇并搅拌，使浓缩水提取液中的乙醇浓度达到70%-75%。静置于4-1</w:t>
      </w:r>
      <w:r>
        <w:rPr>
          <w:rFonts w:hint="eastAsia" w:ascii="宋体" w:hAnsi="宋体" w:cs="宋体"/>
          <w:lang w:val="en-US" w:eastAsia="zh-CN"/>
        </w:rPr>
        <w:t>0℃</w:t>
      </w:r>
      <w:r>
        <w:rPr>
          <w:rFonts w:hint="eastAsia" w:ascii="宋体" w:hAnsi="宋体" w:eastAsia="宋体" w:cs="宋体"/>
          <w:lang w:val="en-US" w:eastAsia="zh-CN"/>
        </w:rPr>
        <w:t>低温环境中12-24小时。静置完取上清液，下层沉淀进行离心，回收上清液与前述上清液合并。下层沉淀为多糖粗品，留存备用。</w:t>
      </w:r>
    </w:p>
    <w:p w14:paraId="6DD85C04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6.6  醇提</w:t>
      </w:r>
    </w:p>
    <w:p w14:paraId="6DE0CD7C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6</w:t>
      </w:r>
      <w:r>
        <w:rPr>
          <w:rFonts w:hint="eastAsia" w:ascii="黑体" w:hAnsi="黑体" w:eastAsia="黑体" w:cs="黑体"/>
          <w:lang w:val="en-US" w:eastAsia="zh-CN"/>
        </w:rPr>
        <w:t>.1 醇提要求</w:t>
      </w:r>
    </w:p>
    <w:p w14:paraId="1339C4EE">
      <w:pPr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溶剂应为60%-70%乙醇，与6.5.2中留存的药渣料液比1∶8-1∶10（g∶mL，以原始干药材重量计），温度70-85℃，提取2次。</w:t>
      </w:r>
    </w:p>
    <w:p w14:paraId="18305DF8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6</w:t>
      </w:r>
      <w:r>
        <w:rPr>
          <w:rFonts w:hint="eastAsia" w:ascii="黑体" w:hAnsi="黑体" w:eastAsia="黑体" w:cs="黑体"/>
          <w:lang w:val="en-US" w:eastAsia="zh-CN"/>
        </w:rPr>
        <w:t>.2 醇提步骤</w:t>
      </w:r>
    </w:p>
    <w:p w14:paraId="018BB0B8">
      <w:pPr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将药渣置于多功能热回流提取罐中，首次加入10倍量的乙醇，加热至70-85℃，进行</w:t>
      </w:r>
      <w:r>
        <w:rPr>
          <w:rFonts w:hint="eastAsia" w:ascii="宋体" w:hAnsi="宋体" w:cs="宋体"/>
          <w:lang w:val="en-US" w:eastAsia="zh-CN"/>
        </w:rPr>
        <w:t>1.5-2小时回流。到达时间后，过滤分离提取液。第2次药渣加入6-8倍量新鲜溶剂，提取1小时，过滤分离提取液，合并两次醇提液。</w:t>
      </w:r>
    </w:p>
    <w:p w14:paraId="0A5FFDA6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6</w:t>
      </w:r>
      <w:r>
        <w:rPr>
          <w:rFonts w:hint="eastAsia" w:ascii="黑体" w:hAnsi="黑体" w:eastAsia="黑体" w:cs="黑体"/>
          <w:lang w:val="en-US" w:eastAsia="zh-CN"/>
        </w:rPr>
        <w:t>.3 精制</w:t>
      </w:r>
      <w:r>
        <w:rPr>
          <w:rFonts w:hint="eastAsia" w:ascii="黑体" w:hAnsi="黑体" w:cs="黑体"/>
          <w:lang w:val="en-US" w:eastAsia="zh-CN"/>
        </w:rPr>
        <w:t>（可选性）</w:t>
      </w:r>
    </w:p>
    <w:p w14:paraId="5A207C91">
      <w:pPr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将醇沉后的上清液和醇提液充分合并，</w:t>
      </w:r>
      <w:r>
        <w:rPr>
          <w:rFonts w:hint="eastAsia" w:ascii="宋体" w:hAnsi="宋体" w:eastAsia="宋体" w:cs="宋体"/>
          <w:lang w:val="en-US" w:eastAsia="zh-CN"/>
        </w:rPr>
        <w:t>采用大孔树脂纯化技术，选用60-70%乙醇洗脱，收集乙醇洗脱液。</w:t>
      </w:r>
    </w:p>
    <w:p w14:paraId="0BBDA2EB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</w:t>
      </w:r>
      <w:r>
        <w:rPr>
          <w:rFonts w:hint="eastAsia" w:ascii="黑体" w:hAnsi="黑体" w:cs="黑体"/>
          <w:lang w:val="en-US" w:eastAsia="zh-CN"/>
        </w:rPr>
        <w:t>6</w:t>
      </w:r>
      <w:r>
        <w:rPr>
          <w:rFonts w:hint="eastAsia" w:ascii="黑体" w:hAnsi="黑体" w:eastAsia="黑体" w:cs="黑体"/>
          <w:lang w:val="en-US" w:eastAsia="zh-CN"/>
        </w:rPr>
        <w:t>.4 乙醇回收</w:t>
      </w:r>
    </w:p>
    <w:p w14:paraId="1491707A">
      <w:pPr>
        <w:ind w:firstLine="42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对洗脱液进行真空减压浓缩。根据不同的产品性状浓缩至相应的相对密度。</w:t>
      </w:r>
    </w:p>
    <w:p w14:paraId="1A72CAD1">
      <w:pPr>
        <w:pStyle w:val="4"/>
        <w:bidi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6.7  液体状产品</w:t>
      </w:r>
      <w:r>
        <w:rPr>
          <w:rFonts w:hint="eastAsia" w:ascii="黑体" w:hAnsi="黑体" w:cs="黑体"/>
          <w:lang w:val="en-US" w:eastAsia="zh-CN"/>
        </w:rPr>
        <w:t>工艺</w:t>
      </w:r>
    </w:p>
    <w:p w14:paraId="1505D031">
      <w:pPr>
        <w:ind w:firstLine="42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将浓缩后的洗脱液与多糖粗品合并搅拌至均匀，根据产品要求用纯化水进行定容至标准体积，再进行辅料调配，精滤，灌装与灭菌。</w:t>
      </w:r>
    </w:p>
    <w:p w14:paraId="68B7FA74">
      <w:pPr>
        <w:pStyle w:val="4"/>
        <w:bidi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6.8  </w:t>
      </w:r>
      <w:r>
        <w:rPr>
          <w:rFonts w:hint="eastAsia" w:ascii="黑体" w:hAnsi="黑体" w:cs="黑体"/>
          <w:lang w:val="en-US" w:eastAsia="zh-CN"/>
        </w:rPr>
        <w:t>膏状产品工艺</w:t>
      </w:r>
    </w:p>
    <w:p w14:paraId="4CF30446">
      <w:pPr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将浓缩后的洗脱液与多糖粗品合并搅拌至均匀，采用真空浓缩器浓缩，浓缩过程中定期搅拌，防止局部过热。若膏体含水量较高，可根据产品要求添加防腐剂。</w:t>
      </w:r>
    </w:p>
    <w:p w14:paraId="62DE044F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6.9  粉末状产品工艺</w:t>
      </w:r>
    </w:p>
    <w:p w14:paraId="622BA70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6.9.1 喷雾干燥</w:t>
      </w:r>
    </w:p>
    <w:p w14:paraId="12837A35">
      <w:pPr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将浓缩后的洗脱液与多糖粗品合并搅拌至均匀，采用真空浓缩器浓缩。将浓缩液与</w:t>
      </w:r>
      <w:r>
        <w:rPr>
          <w:rFonts w:hint="eastAsia" w:ascii="宋体" w:hAnsi="宋体" w:cs="宋体"/>
          <w:lang w:val="en-US" w:eastAsia="zh-CN"/>
        </w:rPr>
        <w:t>适量</w:t>
      </w:r>
      <w:r>
        <w:rPr>
          <w:rFonts w:hint="eastAsia" w:ascii="宋体" w:hAnsi="宋体" w:eastAsia="宋体" w:cs="宋体"/>
          <w:lang w:val="en-US" w:eastAsia="zh-CN"/>
        </w:rPr>
        <w:t>20%-30% 的麦芽糊精混合均匀后通过雾化器，进料速度根据设备产能调整，确保干燥后成品为均匀粉末。</w:t>
      </w:r>
    </w:p>
    <w:p w14:paraId="6A98059C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6.9.2 真空干燥</w:t>
      </w:r>
    </w:p>
    <w:p w14:paraId="40530411">
      <w:pPr>
        <w:ind w:firstLine="42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将浸膏铺在托盘上，放入真空干燥箱</w:t>
      </w:r>
      <w:r>
        <w:rPr>
          <w:rFonts w:hint="eastAsia" w:ascii="宋体" w:hAnsi="宋体" w:cs="宋体"/>
          <w:lang w:val="en-US" w:eastAsia="zh-CN"/>
        </w:rPr>
        <w:t>进行干燥。</w:t>
      </w:r>
    </w:p>
    <w:p w14:paraId="24EC17A2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6.9.3 冷冻干燥</w:t>
      </w:r>
    </w:p>
    <w:p w14:paraId="489CA710">
      <w:pPr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在真空度环境下</w:t>
      </w:r>
      <w:r>
        <w:rPr>
          <w:rFonts w:hint="eastAsia" w:ascii="宋体" w:hAnsi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将浓缩液或浸膏</w:t>
      </w:r>
      <w:r>
        <w:rPr>
          <w:rFonts w:hint="eastAsia" w:ascii="宋体" w:hAnsi="宋体" w:cs="宋体"/>
          <w:lang w:val="en-US" w:eastAsia="zh-CN"/>
        </w:rPr>
        <w:t>置于</w:t>
      </w:r>
      <w:r>
        <w:rPr>
          <w:rFonts w:hint="eastAsia" w:ascii="宋体" w:hAnsi="宋体" w:eastAsia="宋体" w:cs="宋体"/>
          <w:lang w:val="en-US" w:eastAsia="zh-CN"/>
        </w:rPr>
        <w:t>-40℃下冷冻成固体，形成蓬松多孔的海绵状干品</w:t>
      </w:r>
      <w:r>
        <w:rPr>
          <w:rFonts w:hint="eastAsia" w:ascii="宋体" w:hAnsi="宋体" w:cs="宋体"/>
          <w:lang w:val="en-US" w:eastAsia="zh-CN"/>
        </w:rPr>
        <w:t>后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cs="宋体"/>
          <w:lang w:val="en-US" w:eastAsia="zh-CN"/>
        </w:rPr>
        <w:t>应</w:t>
      </w:r>
      <w:r>
        <w:rPr>
          <w:rFonts w:hint="eastAsia" w:ascii="宋体" w:hAnsi="宋体" w:eastAsia="宋体" w:cs="宋体"/>
          <w:lang w:val="en-US" w:eastAsia="zh-CN"/>
        </w:rPr>
        <w:t>迅速在低温干燥环境下包装。</w:t>
      </w:r>
    </w:p>
    <w:p w14:paraId="1B6A8184">
      <w:pPr>
        <w:pStyle w:val="2"/>
        <w:bidi w:val="0"/>
        <w:rPr>
          <w:rFonts w:hint="eastAsia" w:ascii="黑体" w:hAnsi="黑体" w:eastAsia="黑体" w:cs="黑体"/>
          <w:lang w:val="en-US" w:eastAsia="zh-CN"/>
        </w:rPr>
      </w:pPr>
      <w:bookmarkStart w:id="5" w:name="_Toc9595"/>
      <w:r>
        <w:rPr>
          <w:rFonts w:hint="eastAsia" w:ascii="黑体" w:hAnsi="黑体" w:eastAsia="黑体" w:cs="黑体"/>
          <w:lang w:val="en-US" w:eastAsia="zh-CN"/>
        </w:rPr>
        <w:t>7  质量管理</w:t>
      </w:r>
      <w:bookmarkEnd w:id="5"/>
    </w:p>
    <w:p w14:paraId="74CD7765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7.1 感官要求</w:t>
      </w:r>
    </w:p>
    <w:p w14:paraId="1E5A99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应符合表1的要求。</w:t>
      </w:r>
    </w:p>
    <w:p w14:paraId="1E88A9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jc w:val="center"/>
        <w:textAlignment w:val="auto"/>
        <w:outlineLvl w:val="9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表1：感官要求</w:t>
      </w:r>
    </w:p>
    <w:tbl>
      <w:tblPr>
        <w:tblStyle w:val="11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981"/>
        <w:gridCol w:w="2331"/>
        <w:gridCol w:w="2505"/>
        <w:gridCol w:w="3543"/>
      </w:tblGrid>
      <w:tr w14:paraId="769C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981" w:type="dxa"/>
            <w:noWrap w:val="0"/>
            <w:vAlign w:val="center"/>
          </w:tcPr>
          <w:p w14:paraId="0EB231C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2331" w:type="dxa"/>
            <w:noWrap w:val="0"/>
            <w:vAlign w:val="center"/>
          </w:tcPr>
          <w:p w14:paraId="519EE9D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vertAlign w:val="baseline"/>
                <w:lang w:val="en-US" w:eastAsia="zh-CN"/>
              </w:rPr>
              <w:t>液体状产品</w:t>
            </w:r>
          </w:p>
        </w:tc>
        <w:tc>
          <w:tcPr>
            <w:tcW w:w="2505" w:type="dxa"/>
            <w:noWrap w:val="0"/>
            <w:vAlign w:val="center"/>
          </w:tcPr>
          <w:p w14:paraId="0517003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vertAlign w:val="baseline"/>
                <w:lang w:val="en-US" w:eastAsia="zh-CN"/>
              </w:rPr>
              <w:t>膏状产品</w:t>
            </w:r>
          </w:p>
        </w:tc>
        <w:tc>
          <w:tcPr>
            <w:tcW w:w="3543" w:type="dxa"/>
            <w:noWrap w:val="0"/>
            <w:vAlign w:val="center"/>
          </w:tcPr>
          <w:p w14:paraId="79DAC36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vertAlign w:val="baseline"/>
                <w:lang w:val="en-US" w:eastAsia="zh-CN"/>
              </w:rPr>
              <w:t>粉末状产品</w:t>
            </w:r>
          </w:p>
        </w:tc>
      </w:tr>
      <w:tr w14:paraId="62DC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81" w:type="dxa"/>
            <w:noWrap w:val="0"/>
            <w:vAlign w:val="center"/>
          </w:tcPr>
          <w:p w14:paraId="15D61B3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色泽</w:t>
            </w:r>
          </w:p>
        </w:tc>
        <w:tc>
          <w:tcPr>
            <w:tcW w:w="2331" w:type="dxa"/>
            <w:noWrap w:val="0"/>
            <w:vAlign w:val="center"/>
          </w:tcPr>
          <w:p w14:paraId="65C8CCA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黄褐色至深褐色，均匀一致。</w:t>
            </w:r>
          </w:p>
        </w:tc>
        <w:tc>
          <w:tcPr>
            <w:tcW w:w="2505" w:type="dxa"/>
            <w:noWrap w:val="0"/>
            <w:vAlign w:val="center"/>
          </w:tcPr>
          <w:p w14:paraId="2DC8ACE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棕褐色至黑褐色，均匀一致。</w:t>
            </w:r>
          </w:p>
        </w:tc>
        <w:tc>
          <w:tcPr>
            <w:tcW w:w="3543" w:type="dxa"/>
            <w:noWrap w:val="0"/>
            <w:vAlign w:val="center"/>
          </w:tcPr>
          <w:p w14:paraId="4EE7EFC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浅棕色至黄棕色（喷雾干燥）：鲜黄绿色（冷冻干燥）。</w:t>
            </w:r>
          </w:p>
        </w:tc>
      </w:tr>
      <w:tr w14:paraId="39C5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81" w:type="dxa"/>
            <w:noWrap w:val="0"/>
            <w:vAlign w:val="center"/>
          </w:tcPr>
          <w:p w14:paraId="74A89F0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形态</w:t>
            </w:r>
          </w:p>
        </w:tc>
        <w:tc>
          <w:tcPr>
            <w:tcW w:w="2331" w:type="dxa"/>
            <w:noWrap w:val="0"/>
            <w:vAlign w:val="center"/>
          </w:tcPr>
          <w:p w14:paraId="6985FF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澄清液体，无分层、沉淀或絮状物</w:t>
            </w:r>
          </w:p>
        </w:tc>
        <w:tc>
          <w:tcPr>
            <w:tcW w:w="2505" w:type="dxa"/>
            <w:noWrap w:val="0"/>
            <w:vAlign w:val="center"/>
          </w:tcPr>
          <w:p w14:paraId="2AF0DB1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浓稠、半流动的糖浆状或蜂蜜状物，有粘性和光泽。</w:t>
            </w:r>
          </w:p>
        </w:tc>
        <w:tc>
          <w:tcPr>
            <w:tcW w:w="3543" w:type="dxa"/>
            <w:noWrap w:val="0"/>
            <w:vAlign w:val="center"/>
          </w:tcPr>
          <w:p w14:paraId="5718E1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细腻、疏松干燥粉末，无结块。</w:t>
            </w:r>
          </w:p>
        </w:tc>
      </w:tr>
      <w:tr w14:paraId="3EF9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81" w:type="dxa"/>
            <w:noWrap w:val="0"/>
            <w:vAlign w:val="center"/>
          </w:tcPr>
          <w:p w14:paraId="1B9A93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气味</w:t>
            </w:r>
          </w:p>
        </w:tc>
        <w:tc>
          <w:tcPr>
            <w:tcW w:w="2331" w:type="dxa"/>
            <w:noWrap w:val="0"/>
            <w:vAlign w:val="center"/>
          </w:tcPr>
          <w:p w14:paraId="7090377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清新的草本香气夹杂着蒸煮味，最原始的气味。</w:t>
            </w:r>
          </w:p>
        </w:tc>
        <w:tc>
          <w:tcPr>
            <w:tcW w:w="2505" w:type="dxa"/>
            <w:noWrap w:val="0"/>
            <w:vAlign w:val="center"/>
          </w:tcPr>
          <w:p w14:paraId="24FC1A0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浓郁的焦糖香、熟药香，清新草香减弱。</w:t>
            </w:r>
          </w:p>
        </w:tc>
        <w:tc>
          <w:tcPr>
            <w:tcW w:w="3543" w:type="dxa"/>
            <w:noWrap w:val="0"/>
            <w:vAlign w:val="center"/>
          </w:tcPr>
          <w:p w14:paraId="7D0177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纯正的特征香气。喷雾干燥粉带熟香；冻干粉为高扬的清新草本香。</w:t>
            </w:r>
          </w:p>
        </w:tc>
      </w:tr>
      <w:tr w14:paraId="0907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672" w:hRule="atLeast"/>
          <w:jc w:val="center"/>
        </w:trPr>
        <w:tc>
          <w:tcPr>
            <w:tcW w:w="981" w:type="dxa"/>
            <w:noWrap w:val="0"/>
            <w:vAlign w:val="center"/>
          </w:tcPr>
          <w:p w14:paraId="450464A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滋味</w:t>
            </w:r>
          </w:p>
        </w:tc>
        <w:tc>
          <w:tcPr>
            <w:tcW w:w="2331" w:type="dxa"/>
            <w:noWrap w:val="0"/>
            <w:vAlign w:val="center"/>
          </w:tcPr>
          <w:p w14:paraId="3E19C1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left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味甘，微苦，有明显草本味略带涩感</w:t>
            </w:r>
          </w:p>
        </w:tc>
        <w:tc>
          <w:tcPr>
            <w:tcW w:w="2505" w:type="dxa"/>
            <w:noWrap w:val="0"/>
            <w:vAlign w:val="center"/>
          </w:tcPr>
          <w:p w14:paraId="686779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left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味极甘甜，后味微苦，醇厚浓郁，粘口</w:t>
            </w:r>
          </w:p>
        </w:tc>
        <w:tc>
          <w:tcPr>
            <w:tcW w:w="3543" w:type="dxa"/>
            <w:noWrap w:val="0"/>
            <w:vAlign w:val="center"/>
          </w:tcPr>
          <w:p w14:paraId="70E927C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left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甘苦协调，纯正醇和。喷雾干燥粉滋味均匀；冻干粉鲜爽甘淡，回甘强</w:t>
            </w:r>
          </w:p>
        </w:tc>
      </w:tr>
      <w:tr w14:paraId="3F14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81" w:type="dxa"/>
            <w:noWrap w:val="0"/>
            <w:vAlign w:val="center"/>
          </w:tcPr>
          <w:p w14:paraId="3C4480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杂质</w:t>
            </w:r>
          </w:p>
        </w:tc>
        <w:tc>
          <w:tcPr>
            <w:tcW w:w="8379" w:type="dxa"/>
            <w:gridSpan w:val="3"/>
            <w:noWrap w:val="0"/>
            <w:vAlign w:val="center"/>
          </w:tcPr>
          <w:p w14:paraId="12FDBB9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vertAlign w:val="baseline"/>
                <w:lang w:val="en-US" w:eastAsia="zh-CN"/>
              </w:rPr>
              <w:t>无正常视力可见外来异物</w:t>
            </w:r>
          </w:p>
        </w:tc>
      </w:tr>
    </w:tbl>
    <w:p w14:paraId="566B168B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7.</w:t>
      </w:r>
      <w:r>
        <w:rPr>
          <w:rFonts w:hint="eastAsia" w:ascii="黑体" w:hAnsi="黑体" w:cs="黑体"/>
          <w:lang w:val="en-US" w:eastAsia="zh-CN"/>
        </w:rPr>
        <w:t>2</w:t>
      </w:r>
      <w:r>
        <w:rPr>
          <w:rFonts w:hint="eastAsia" w:ascii="黑体" w:hAnsi="黑体" w:eastAsia="黑体" w:cs="黑体"/>
          <w:lang w:val="en-US" w:eastAsia="zh-CN"/>
        </w:rPr>
        <w:t xml:space="preserve"> 安全指标</w:t>
      </w:r>
    </w:p>
    <w:p w14:paraId="05D125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/>
        <w:textAlignment w:val="auto"/>
        <w:outlineLvl w:val="9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应符合表</w:t>
      </w:r>
      <w:r>
        <w:rPr>
          <w:rFonts w:hint="eastAsia" w:ascii="宋体" w:hAnsi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val="en-US" w:eastAsia="zh-CN"/>
        </w:rPr>
        <w:t>的要求</w:t>
      </w:r>
      <w:r>
        <w:rPr>
          <w:rFonts w:hint="eastAsia" w:ascii="宋体" w:hAnsi="宋体" w:cs="宋体"/>
          <w:lang w:val="en-US" w:eastAsia="zh-CN"/>
        </w:rPr>
        <w:t>。</w:t>
      </w:r>
    </w:p>
    <w:p w14:paraId="0DC089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jc w:val="center"/>
        <w:textAlignment w:val="auto"/>
        <w:outlineLvl w:val="9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表2：安全指标</w:t>
      </w:r>
    </w:p>
    <w:tbl>
      <w:tblPr>
        <w:tblStyle w:val="11"/>
        <w:tblW w:w="0" w:type="auto"/>
        <w:tblInd w:w="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2841"/>
        <w:gridCol w:w="3786"/>
      </w:tblGrid>
      <w:tr w14:paraId="4034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3398472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项目</w:t>
            </w:r>
          </w:p>
        </w:tc>
        <w:tc>
          <w:tcPr>
            <w:tcW w:w="2841" w:type="dxa"/>
            <w:noWrap w:val="0"/>
            <w:vAlign w:val="top"/>
          </w:tcPr>
          <w:p w14:paraId="51E7DE6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指标</w:t>
            </w:r>
          </w:p>
        </w:tc>
        <w:tc>
          <w:tcPr>
            <w:tcW w:w="3786" w:type="dxa"/>
            <w:noWrap w:val="0"/>
            <w:vAlign w:val="top"/>
          </w:tcPr>
          <w:p w14:paraId="05BB24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检验方法</w:t>
            </w:r>
          </w:p>
        </w:tc>
      </w:tr>
      <w:tr w14:paraId="7ADE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1D3FEE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铅（以Pb计），mg/kg</w:t>
            </w:r>
          </w:p>
        </w:tc>
        <w:tc>
          <w:tcPr>
            <w:tcW w:w="2841" w:type="dxa"/>
            <w:noWrap w:val="0"/>
            <w:vAlign w:val="top"/>
          </w:tcPr>
          <w:p w14:paraId="2D8175A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≤5.0</w:t>
            </w:r>
          </w:p>
        </w:tc>
        <w:tc>
          <w:tcPr>
            <w:tcW w:w="3786" w:type="dxa"/>
            <w:noWrap w:val="0"/>
            <w:vAlign w:val="top"/>
          </w:tcPr>
          <w:p w14:paraId="1CCA7E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按GB 5009.12规定执行</w:t>
            </w:r>
          </w:p>
        </w:tc>
      </w:tr>
      <w:tr w14:paraId="40F8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48CDC6A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镉（以Cd计），mg/kg</w:t>
            </w:r>
          </w:p>
        </w:tc>
        <w:tc>
          <w:tcPr>
            <w:tcW w:w="2841" w:type="dxa"/>
            <w:noWrap w:val="0"/>
            <w:vAlign w:val="top"/>
          </w:tcPr>
          <w:p w14:paraId="074EF7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≤1.0</w:t>
            </w:r>
          </w:p>
        </w:tc>
        <w:tc>
          <w:tcPr>
            <w:tcW w:w="3786" w:type="dxa"/>
            <w:noWrap w:val="0"/>
            <w:vAlign w:val="top"/>
          </w:tcPr>
          <w:p w14:paraId="54E4B49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按GB 5009.15规定执行</w:t>
            </w:r>
          </w:p>
        </w:tc>
      </w:tr>
      <w:tr w14:paraId="1599B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4191EA0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总砷（以As计），mg/kg</w:t>
            </w:r>
          </w:p>
        </w:tc>
        <w:tc>
          <w:tcPr>
            <w:tcW w:w="2841" w:type="dxa"/>
            <w:noWrap w:val="0"/>
            <w:vAlign w:val="top"/>
          </w:tcPr>
          <w:p w14:paraId="3803859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≤2.0</w:t>
            </w:r>
          </w:p>
        </w:tc>
        <w:tc>
          <w:tcPr>
            <w:tcW w:w="3786" w:type="dxa"/>
            <w:noWrap w:val="0"/>
            <w:vAlign w:val="top"/>
          </w:tcPr>
          <w:p w14:paraId="4E9AD2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按GB 5009. 9规定执行</w:t>
            </w:r>
          </w:p>
        </w:tc>
      </w:tr>
      <w:tr w14:paraId="2FC1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5FE863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总汞（以Hg计），mg/kg</w:t>
            </w:r>
          </w:p>
        </w:tc>
        <w:tc>
          <w:tcPr>
            <w:tcW w:w="2841" w:type="dxa"/>
            <w:noWrap w:val="0"/>
            <w:vAlign w:val="top"/>
          </w:tcPr>
          <w:p w14:paraId="0F56A3C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≤0.2</w:t>
            </w:r>
          </w:p>
        </w:tc>
        <w:tc>
          <w:tcPr>
            <w:tcW w:w="3786" w:type="dxa"/>
            <w:noWrap w:val="0"/>
            <w:vAlign w:val="top"/>
          </w:tcPr>
          <w:p w14:paraId="604C3E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按GB 5009.17规定执行</w:t>
            </w:r>
          </w:p>
        </w:tc>
      </w:tr>
      <w:tr w14:paraId="11F91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0E363E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农药残留</w:t>
            </w:r>
          </w:p>
        </w:tc>
        <w:tc>
          <w:tcPr>
            <w:tcW w:w="2841" w:type="dxa"/>
            <w:noWrap w:val="0"/>
            <w:vAlign w:val="top"/>
          </w:tcPr>
          <w:p w14:paraId="40D0940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符合GB 2763规定</w:t>
            </w:r>
          </w:p>
        </w:tc>
        <w:tc>
          <w:tcPr>
            <w:tcW w:w="3786" w:type="dxa"/>
            <w:noWrap w:val="0"/>
            <w:vAlign w:val="top"/>
          </w:tcPr>
          <w:p w14:paraId="63E49B7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按GB 2763规定执行</w:t>
            </w:r>
          </w:p>
        </w:tc>
      </w:tr>
      <w:tr w14:paraId="3E26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53B8F5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菌落总数，CFU/g</w:t>
            </w:r>
          </w:p>
        </w:tc>
        <w:tc>
          <w:tcPr>
            <w:tcW w:w="2841" w:type="dxa"/>
            <w:noWrap w:val="0"/>
            <w:vAlign w:val="top"/>
          </w:tcPr>
          <w:p w14:paraId="752960E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≤1000</w:t>
            </w:r>
          </w:p>
        </w:tc>
        <w:tc>
          <w:tcPr>
            <w:tcW w:w="3786" w:type="dxa"/>
            <w:noWrap w:val="0"/>
            <w:vAlign w:val="top"/>
          </w:tcPr>
          <w:p w14:paraId="7C1DD0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按GB 4789.2规定执行</w:t>
            </w:r>
          </w:p>
        </w:tc>
      </w:tr>
      <w:tr w14:paraId="3A2A5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134F57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大肠菌群，MPN/g</w:t>
            </w:r>
          </w:p>
        </w:tc>
        <w:tc>
          <w:tcPr>
            <w:tcW w:w="2841" w:type="dxa"/>
            <w:noWrap w:val="0"/>
            <w:vAlign w:val="top"/>
          </w:tcPr>
          <w:p w14:paraId="34AEDC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≤0.92</w:t>
            </w:r>
          </w:p>
        </w:tc>
        <w:tc>
          <w:tcPr>
            <w:tcW w:w="3786" w:type="dxa"/>
            <w:noWrap w:val="0"/>
            <w:vAlign w:val="top"/>
          </w:tcPr>
          <w:p w14:paraId="577B8E2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按GB 4789.3规定执行</w:t>
            </w:r>
          </w:p>
        </w:tc>
      </w:tr>
      <w:tr w14:paraId="091A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3655C9E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霉菌和酵母菌，CFU/g</w:t>
            </w:r>
          </w:p>
        </w:tc>
        <w:tc>
          <w:tcPr>
            <w:tcW w:w="2841" w:type="dxa"/>
            <w:noWrap w:val="0"/>
            <w:vAlign w:val="top"/>
          </w:tcPr>
          <w:p w14:paraId="0E08C8B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≤100</w:t>
            </w:r>
          </w:p>
        </w:tc>
        <w:tc>
          <w:tcPr>
            <w:tcW w:w="3786" w:type="dxa"/>
            <w:noWrap w:val="0"/>
            <w:vAlign w:val="top"/>
          </w:tcPr>
          <w:p w14:paraId="107F6D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按GB 4789.15规定执行</w:t>
            </w:r>
          </w:p>
        </w:tc>
      </w:tr>
      <w:tr w14:paraId="5DB4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0960110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大肠埃希氏菌</w:t>
            </w:r>
          </w:p>
        </w:tc>
        <w:tc>
          <w:tcPr>
            <w:tcW w:w="2841" w:type="dxa"/>
            <w:noWrap w:val="0"/>
            <w:vAlign w:val="top"/>
          </w:tcPr>
          <w:p w14:paraId="64DF522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不得检出</w:t>
            </w:r>
          </w:p>
        </w:tc>
        <w:tc>
          <w:tcPr>
            <w:tcW w:w="3786" w:type="dxa"/>
            <w:noWrap w:val="0"/>
            <w:vAlign w:val="top"/>
          </w:tcPr>
          <w:p w14:paraId="587408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按GB 4789.38规定执行</w:t>
            </w:r>
          </w:p>
        </w:tc>
      </w:tr>
      <w:tr w14:paraId="5479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  <w:noWrap w:val="0"/>
            <w:vAlign w:val="top"/>
          </w:tcPr>
          <w:p w14:paraId="590A756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沙门氏菌</w:t>
            </w:r>
          </w:p>
        </w:tc>
        <w:tc>
          <w:tcPr>
            <w:tcW w:w="2841" w:type="dxa"/>
            <w:noWrap w:val="0"/>
            <w:vAlign w:val="top"/>
          </w:tcPr>
          <w:p w14:paraId="36582D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不得检出</w:t>
            </w:r>
          </w:p>
        </w:tc>
        <w:tc>
          <w:tcPr>
            <w:tcW w:w="3786" w:type="dxa"/>
            <w:noWrap w:val="0"/>
            <w:vAlign w:val="top"/>
          </w:tcPr>
          <w:p w14:paraId="5B958C3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按GB 4789.4规定执行</w:t>
            </w:r>
          </w:p>
        </w:tc>
      </w:tr>
    </w:tbl>
    <w:p w14:paraId="65494F64">
      <w:pPr>
        <w:pStyle w:val="2"/>
        <w:bidi w:val="0"/>
        <w:rPr>
          <w:rFonts w:hint="eastAsia" w:ascii="黑体" w:hAnsi="黑体" w:cs="黑体"/>
          <w:lang w:val="en-US" w:eastAsia="zh-CN"/>
        </w:rPr>
      </w:pPr>
      <w:bookmarkStart w:id="6" w:name="_Toc29356"/>
      <w:r>
        <w:rPr>
          <w:rFonts w:hint="eastAsia" w:ascii="黑体" w:hAnsi="黑体" w:cs="黑体"/>
          <w:lang w:val="en-US" w:eastAsia="zh-CN"/>
        </w:rPr>
        <w:t>7.3  净含量</w:t>
      </w:r>
    </w:p>
    <w:p w14:paraId="1158EA34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净含量应符合《定量包装商品计量监督管理办法》的规定，并按JJF 1070规定的方法检验。</w:t>
      </w:r>
    </w:p>
    <w:p w14:paraId="49ECBE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8  标志、包装</w:t>
      </w:r>
      <w:r>
        <w:rPr>
          <w:rFonts w:hint="eastAsia" w:ascii="黑体" w:hAnsi="黑体" w:cs="黑体"/>
          <w:lang w:val="en-US" w:eastAsia="zh-CN"/>
        </w:rPr>
        <w:t>与</w:t>
      </w:r>
      <w:r>
        <w:rPr>
          <w:rFonts w:hint="eastAsia" w:ascii="黑体" w:hAnsi="黑体" w:eastAsia="黑体" w:cs="黑体"/>
          <w:lang w:val="en-US" w:eastAsia="zh-CN"/>
        </w:rPr>
        <w:t>贮存</w:t>
      </w:r>
      <w:bookmarkEnd w:id="6"/>
    </w:p>
    <w:p w14:paraId="771E23A9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8.1 </w:t>
      </w:r>
      <w:r>
        <w:rPr>
          <w:rFonts w:hint="eastAsia" w:ascii="黑体" w:hAnsi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标志</w:t>
      </w:r>
    </w:p>
    <w:p w14:paraId="2BDED3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按SB/T 11182中的规定执行。</w:t>
      </w:r>
    </w:p>
    <w:p w14:paraId="6E6E7816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8.2 </w:t>
      </w:r>
      <w:r>
        <w:rPr>
          <w:rFonts w:hint="eastAsia" w:ascii="黑体" w:hAnsi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包装</w:t>
      </w:r>
    </w:p>
    <w:p w14:paraId="441175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 w:firstLineChars="200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按SB/T 11182中的规定执行</w:t>
      </w:r>
      <w:r>
        <w:rPr>
          <w:rFonts w:hint="eastAsia" w:ascii="宋体" w:hAnsi="宋体" w:cs="宋体"/>
          <w:lang w:val="en-US" w:eastAsia="zh-CN"/>
        </w:rPr>
        <w:t>，产品应采用符合食品安全标准的包装材料。</w:t>
      </w:r>
    </w:p>
    <w:p w14:paraId="09A90AE5">
      <w:pPr>
        <w:pStyle w:val="3"/>
        <w:bidi w:val="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8.3  运输</w:t>
      </w:r>
    </w:p>
    <w:p w14:paraId="4AEBBB1D">
      <w:pPr>
        <w:rPr>
          <w:rFonts w:hint="default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装运前运输工具应清理干净并消毒，保持干燥、清洁、无污染、无异物。运输过程中避免暴晒雨淋，不能与任何有毒、有害、有气味的物品一起运输。装卸时应轻拿轻放，防止强烈挤压和剧烈晃动，以免破坏包装。</w:t>
      </w:r>
    </w:p>
    <w:p w14:paraId="5CE42C3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8.4 </w:t>
      </w:r>
      <w:r>
        <w:rPr>
          <w:rFonts w:hint="eastAsia" w:ascii="黑体" w:hAnsi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贮存</w:t>
      </w:r>
    </w:p>
    <w:p w14:paraId="453E0B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firstLine="42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应设有专用封闭的贮存场所，环境温度≤25℃，相对湿度≤65℃。保持清洁、干燥、无异味，做好避光、防潮、防火、防虫、防鼠设施。定期清洁打扫消毒，检查包装及内装物是否完好有无变质。</w:t>
      </w:r>
    </w:p>
    <w:p w14:paraId="24B215E7">
      <w:pPr>
        <w:rPr>
          <w:rFonts w:hint="default" w:ascii="宋体" w:hAnsi="宋体" w:eastAsia="宋体" w:cs="宋体"/>
          <w:lang w:val="en-US" w:eastAsia="zh-CN"/>
        </w:rPr>
      </w:pPr>
    </w:p>
    <w:p w14:paraId="3045E1AE">
      <w:pPr>
        <w:rPr>
          <w:rFonts w:hint="default" w:ascii="宋体" w:hAnsi="宋体" w:eastAsia="宋体" w:cs="宋体"/>
          <w:lang w:val="en-US" w:eastAsia="zh-CN"/>
        </w:rPr>
      </w:pPr>
    </w:p>
    <w:p w14:paraId="391C32B4">
      <w:pPr>
        <w:rPr>
          <w:rFonts w:hint="default" w:ascii="宋体" w:hAnsi="宋体" w:eastAsia="宋体" w:cs="宋体"/>
          <w:lang w:val="en-US" w:eastAsia="zh-CN"/>
        </w:rPr>
      </w:pPr>
    </w:p>
    <w:p w14:paraId="003B3E75">
      <w:pPr>
        <w:rPr>
          <w:rFonts w:hint="default" w:ascii="宋体" w:hAnsi="宋体" w:eastAsia="宋体" w:cs="宋体"/>
          <w:lang w:val="en-US" w:eastAsia="zh-CN"/>
        </w:rPr>
      </w:pPr>
    </w:p>
    <w:p w14:paraId="4BD5EFEE">
      <w:pPr>
        <w:rPr>
          <w:rFonts w:hint="default" w:ascii="宋体" w:hAnsi="宋体" w:eastAsia="宋体" w:cs="宋体"/>
          <w:lang w:val="en-US" w:eastAsia="zh-CN"/>
        </w:rPr>
      </w:pPr>
    </w:p>
    <w:p w14:paraId="32297C9A">
      <w:pPr>
        <w:rPr>
          <w:rFonts w:hint="default" w:ascii="宋体" w:hAnsi="宋体" w:eastAsia="宋体" w:cs="宋体"/>
          <w:lang w:val="en-US" w:eastAsia="zh-CN"/>
        </w:rPr>
      </w:pPr>
    </w:p>
    <w:p w14:paraId="6AD6091E">
      <w:pPr>
        <w:rPr>
          <w:rFonts w:hint="default" w:ascii="宋体" w:hAnsi="宋体" w:eastAsia="宋体" w:cs="宋体"/>
          <w:lang w:val="en-US" w:eastAsia="zh-CN"/>
        </w:rPr>
      </w:pPr>
    </w:p>
    <w:p w14:paraId="41919474">
      <w:pPr>
        <w:rPr>
          <w:rFonts w:hint="default" w:ascii="宋体" w:hAnsi="宋体" w:eastAsia="宋体" w:cs="宋体"/>
          <w:lang w:val="en-US" w:eastAsia="zh-CN"/>
        </w:rPr>
      </w:pPr>
    </w:p>
    <w:p w14:paraId="19D3ECC3">
      <w:pPr>
        <w:rPr>
          <w:rFonts w:hint="default" w:ascii="宋体" w:hAnsi="宋体" w:eastAsia="宋体" w:cs="宋体"/>
          <w:lang w:val="en-US" w:eastAsia="zh-CN"/>
        </w:rPr>
      </w:pPr>
    </w:p>
    <w:p w14:paraId="69D85431">
      <w:pPr>
        <w:rPr>
          <w:rFonts w:hint="default" w:ascii="宋体" w:hAnsi="宋体" w:eastAsia="宋体" w:cs="宋体"/>
          <w:lang w:val="en-US" w:eastAsia="zh-CN"/>
        </w:rPr>
      </w:pPr>
    </w:p>
    <w:p w14:paraId="3667DF86">
      <w:pPr>
        <w:rPr>
          <w:rFonts w:hint="default" w:ascii="宋体" w:hAnsi="宋体" w:eastAsia="宋体" w:cs="宋体"/>
          <w:lang w:val="en-US" w:eastAsia="zh-CN"/>
        </w:rPr>
      </w:pPr>
    </w:p>
    <w:p w14:paraId="7FEBCDCE">
      <w:pPr>
        <w:rPr>
          <w:rFonts w:hint="default" w:ascii="宋体" w:hAnsi="宋体" w:eastAsia="宋体" w:cs="宋体"/>
          <w:lang w:val="en-US" w:eastAsia="zh-CN"/>
        </w:rPr>
      </w:pPr>
    </w:p>
    <w:p w14:paraId="323FAAE1">
      <w:pPr>
        <w:rPr>
          <w:rFonts w:hint="default" w:ascii="宋体" w:hAnsi="宋体" w:eastAsia="宋体" w:cs="宋体"/>
          <w:lang w:val="en-US" w:eastAsia="zh-CN"/>
        </w:rPr>
      </w:pPr>
    </w:p>
    <w:p w14:paraId="122A921D">
      <w:pPr>
        <w:rPr>
          <w:rFonts w:hint="default" w:ascii="宋体" w:hAnsi="宋体" w:eastAsia="宋体" w:cs="宋体"/>
          <w:lang w:val="en-US" w:eastAsia="zh-CN"/>
        </w:rPr>
      </w:pPr>
    </w:p>
    <w:p w14:paraId="14D70581">
      <w:pPr>
        <w:rPr>
          <w:rFonts w:hint="default" w:ascii="宋体" w:hAnsi="宋体" w:eastAsia="宋体" w:cs="宋体"/>
          <w:lang w:val="en-US" w:eastAsia="zh-CN"/>
        </w:rPr>
      </w:pPr>
    </w:p>
    <w:p w14:paraId="10C6BCB4">
      <w:pPr>
        <w:rPr>
          <w:rFonts w:hint="default" w:ascii="宋体" w:hAnsi="宋体" w:eastAsia="宋体" w:cs="宋体"/>
          <w:lang w:val="en-US" w:eastAsia="zh-CN"/>
        </w:rPr>
      </w:pPr>
    </w:p>
    <w:p w14:paraId="2B2722F8">
      <w:pPr>
        <w:rPr>
          <w:rFonts w:hint="default" w:ascii="宋体" w:hAnsi="宋体" w:eastAsia="宋体" w:cs="宋体"/>
          <w:lang w:val="en-US" w:eastAsia="zh-CN"/>
        </w:rPr>
      </w:pPr>
    </w:p>
    <w:p w14:paraId="090707F2"/>
    <w:p w14:paraId="6A29B72B"/>
    <w:sectPr>
      <w:pgSz w:w="11906" w:h="16838"/>
      <w:pgMar w:top="1417" w:right="1134" w:bottom="1134" w:left="1417" w:header="1417" w:footer="992" w:gutter="0"/>
      <w:pgNumType w:fmt="decimal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E5AC7">
    <w:pPr>
      <w:pStyle w:val="6"/>
      <w:jc w:val="center"/>
    </w:pPr>
  </w:p>
  <w:p w14:paraId="19D948C0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F9F52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46561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46561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98FD549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16F9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FDE0D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FDE0D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ED2E8">
    <w:pPr>
      <w:pStyle w:val="7"/>
      <w:pBdr>
        <w:bottom w:val="none" w:color="auto" w:sz="0" w:space="1"/>
      </w:pBdr>
      <w:jc w:val="right"/>
      <w:rPr>
        <w:rFonts w:hint="default" w:ascii="黑体" w:hAnsi="黑体" w:eastAsia="黑体" w:cs="黑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sz w:val="18"/>
      </w:rPr>
      <w:pict>
        <v:shape id="PowerPlusWaterMarkObject29038" o:spid="_x0000_s4098" o:spt="136" type="#_x0000_t136" style="position:absolute;left:0pt;height:47pt;width:540.2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国食品药品企业质量安全促进会" style="font-family:微软雅黑;font-size:36pt;v-same-letter-heights:f;v-text-align:center;"/>
        </v:shape>
      </w:pict>
    </w:r>
    <w:r>
      <w:rPr>
        <w:rFonts w:hint="eastAsia" w:ascii="黑体" w:hAnsi="黑体" w:eastAsia="黑体" w:cs="黑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T/XXX 001-2025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7E9A7">
    <w:pPr>
      <w:pStyle w:val="7"/>
      <w:pBdr>
        <w:bottom w:val="none" w:color="auto" w:sz="0" w:space="1"/>
      </w:pBdr>
      <w:jc w:val="right"/>
      <w:rPr>
        <w:rFonts w:hint="eastAsia" w:ascii="黑体" w:hAnsi="黑体" w:eastAsia="黑体" w:cs="黑体"/>
        <w:lang w:val="en-US" w:eastAsia="zh-CN"/>
      </w:rPr>
    </w:pPr>
    <w:r>
      <w:rPr>
        <w:sz w:val="18"/>
      </w:rPr>
      <w:pict>
        <v:shape id="_x0000_s4097" o:spid="_x0000_s4097" o:spt="136" type="#_x0000_t136" style="position:absolute;left:0pt;height:47pt;width:540.25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国食品药品企业质量安全促进会" style="font-family:微软雅黑;font-size:36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6F2E9">
    <w:pPr>
      <w:pStyle w:val="7"/>
      <w:pBdr>
        <w:bottom w:val="none" w:color="auto" w:sz="0" w:space="1"/>
      </w:pBdr>
      <w:jc w:val="right"/>
      <w:rPr>
        <w:rFonts w:hint="eastAsia" w:ascii="黑体" w:hAnsi="黑体" w:eastAsia="黑体" w:cs="黑体"/>
        <w:lang w:val="en-US" w:eastAsia="zh-CN"/>
      </w:rPr>
    </w:pPr>
    <w:r>
      <w:rPr>
        <w:rFonts w:hint="eastAsia" w:ascii="黑体" w:hAnsi="黑体" w:eastAsia="黑体" w:cs="黑体"/>
        <w:lang w:val="en-US" w:eastAsia="zh-CN"/>
      </w:rPr>
      <w:t>T/XXX 001-2025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1300E"/>
    <w:rsid w:val="0273010D"/>
    <w:rsid w:val="040711F0"/>
    <w:rsid w:val="04AF4AC9"/>
    <w:rsid w:val="070D6251"/>
    <w:rsid w:val="072E2450"/>
    <w:rsid w:val="12E50BB3"/>
    <w:rsid w:val="154A2033"/>
    <w:rsid w:val="160F349C"/>
    <w:rsid w:val="24A0493A"/>
    <w:rsid w:val="30BC0EC9"/>
    <w:rsid w:val="32175B99"/>
    <w:rsid w:val="3240775C"/>
    <w:rsid w:val="3411300E"/>
    <w:rsid w:val="39A1303D"/>
    <w:rsid w:val="43436F10"/>
    <w:rsid w:val="49307D29"/>
    <w:rsid w:val="4E2E6E5A"/>
    <w:rsid w:val="4F546A2F"/>
    <w:rsid w:val="55B04E5E"/>
    <w:rsid w:val="5E9F5BCB"/>
    <w:rsid w:val="702F7E1B"/>
    <w:rsid w:val="727A314B"/>
    <w:rsid w:val="7BF03D0D"/>
    <w:rsid w:val="7FE0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9"/>
    <w:pPr>
      <w:keepNext/>
      <w:keepLines/>
      <w:spacing w:before="260" w:line="360" w:lineRule="auto"/>
      <w:outlineLvl w:val="1"/>
    </w:pPr>
    <w:rPr>
      <w:rFonts w:ascii="Cambria" w:hAnsi="Cambria" w:eastAsia="黑体"/>
      <w:bCs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ascii="Times New Roman" w:hAnsi="Times New Roman" w:eastAsia="黑体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5" w:beforeLines="25" w:beforeAutospacing="0" w:after="25" w:afterLines="25" w:afterAutospacing="0" w:line="240" w:lineRule="auto"/>
      <w:outlineLvl w:val="3"/>
    </w:pPr>
    <w:rPr>
      <w:rFonts w:ascii="Arial" w:hAnsi="Arial" w:eastAsia="黑体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qFormat/>
    <w:uiPriority w:val="0"/>
    <w:rPr>
      <w:rFonts w:ascii="宋体" w:hAnsi="Courier New"/>
      <w:szCs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仿宋_GB2312"/>
      <w:kern w:val="0"/>
      <w:sz w:val="18"/>
      <w:szCs w:val="20"/>
    </w:rPr>
  </w:style>
  <w:style w:type="paragraph" w:styleId="7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tabs>
        <w:tab w:val="right" w:leader="dot" w:pos="8302"/>
      </w:tabs>
      <w:spacing w:line="360" w:lineRule="auto"/>
    </w:p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"/>
    </customSectPr>
    <customSectPr>
      <sectNamePr val="目录"/>
    </customSectPr>
  </customSectProps>
  <customShpExts>
    <customShpInfo spid="_x0000_s4098"/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3078</Words>
  <Characters>3670</Characters>
  <Lines>0</Lines>
  <Paragraphs>0</Paragraphs>
  <TotalTime>0</TotalTime>
  <ScaleCrop>false</ScaleCrop>
  <LinksUpToDate>false</LinksUpToDate>
  <CharactersWithSpaces>4085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2025-10-16T03:11:00Z</dcterms:created>
  <dc:creator>ᴘʟᴜᴛᴏ</dc:creator>
  <cp:lastModifiedBy>1</cp:lastModifiedBy>
  <dcterms:modified xsi:type="dcterms:W3CDTF">2026-01-06T03:01:17Z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8304D9C3FEA34F1DA3CCCA81E2D4F509_13</vt:lpwstr>
  </property>
  <property fmtid="{D5CDD505-2E9C-101B-9397-08002B2CF9AE}" pid="4" name="KSOTemplateDocerSaveRecord">
    <vt:lpwstr>eyJoZGlkIjoiZTU4NjdiYzEyOGI1YTM4MDQ4MDM2MDE1MzZjM2I5MTUiLCJ1c2VySWQiOiI4MTA4NTQ2NjEifQ==</vt:lpwstr>
  </property>
</Properties>
</file>