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sz w:val="32"/>
        </w:rPr>
        <w:t>面向跨链语义查询的智能合约可信调用链下智能体协议</w:t>
      </w:r>
    </w:p>
    <w:p>
      <w:pPr>
        <w:pStyle w:val="Heading1"/>
      </w:pPr>
      <w:r>
        <w:t>摘要</w:t>
      </w:r>
    </w:p>
    <w:p>
      <w:r>
        <w:rPr>
          <w:rFonts w:ascii="Times New Roman" w:hAnsi="Times New Roman" w:eastAsia="宋体"/>
          <w:sz w:val="20"/>
        </w:rPr>
        <w:t>跨链证明能够确认状态已被源链提交，却不能判定其是否满足目标链的业务语义。将判断交给单一中继或单个大语言模型（LLM）会引入错误、串谋、沉默和相关失败。本文提出一种面向跨链语义查询的智能合约可信调用链下智能体协议：确定性门控检查密码与结构完整性，概率性语义层采用可验证选组、commit-reveal、信誉—置信度加权、分歧仲裁和签名审计。原型以 Hyperledger Fabric 为源链、FISCO-BCOS 为目标链，链下生成审计包，链上仅锚定结果与摘要。在独立诚实误差假设下，40% 恶意智能体时协议正确率为 95.9%（等权投票为 67.8%），误受率为 1.8%（等权投票为 16.3%）；真实双模型实验测得同模型和跨模型错误相关系数分别为 0.79 和 0.44。该协议不证明语义真值，而是在明确假设下限制错误输出并提供可审计的失败处理路径。</w:t>
      </w:r>
    </w:p>
    <w:p>
      <w:r>
        <w:rPr>
          <w:rFonts w:ascii="Times New Roman" w:hAnsi="Times New Roman" w:eastAsia="宋体"/>
          <w:b/>
          <w:sz w:val="20"/>
        </w:rPr>
        <w:t>关键词：</w:t>
      </w:r>
      <w:r>
        <w:rPr>
          <w:rFonts w:ascii="Times New Roman" w:hAnsi="Times New Roman" w:eastAsia="宋体"/>
          <w:sz w:val="20"/>
        </w:rPr>
        <w:t xml:space="preserve"> 跨链语义查询；智能合约可信调用；链下智能体；拜占庭鲁棒聚合；commit-reveal；可问责性</w:t>
      </w:r>
    </w:p>
    <w:p>
      <w:r>
        <w:rPr>
          <w:rFonts w:ascii="Times New Roman" w:hAnsi="Times New Roman" w:eastAsia="宋体"/>
          <w:b/>
          <w:sz w:val="20"/>
        </w:rPr>
        <w:t>Index Terms:</w:t>
      </w:r>
      <w:r>
        <w:rPr>
          <w:rFonts w:ascii="Times New Roman" w:hAnsi="Times New Roman" w:eastAsia="宋体"/>
          <w:sz w:val="20"/>
        </w:rPr>
        <w:t xml:space="preserve"> smart-contract-to-agent invocation, cross-chain semantic query, Byzantine-robust multi-agent aggregation, commit-reveal, confidence-weighted aggregation, reputation and on-chain accountability, arbitration, consortium blockchain</w:t>
      </w:r>
    </w:p>
    <w:p>
      <w:pPr>
        <w:sectPr>
          <w:pgSz w:w="12240" w:h="15840"/>
          <w:pgMar w:top="1037" w:right="979" w:bottom="1037" w:left="979" w:header="720" w:footer="720" w:gutter="0"/>
          <w:cols w:space="720"/>
          <w:docGrid w:linePitch="360"/>
        </w:sectPr>
      </w:pPr>
    </w:p>
    <w:p>
      <w:pPr>
        <w:pStyle w:val="Heading1"/>
      </w:pPr>
      <w:r>
        <w:t>I. 引言</w:t>
      </w:r>
    </w:p>
    <w:p>
      <w:r>
        <w:rPr>
          <w:rFonts w:ascii="Times New Roman" w:hAnsi="Times New Roman" w:eastAsia="宋体"/>
          <w:sz w:val="20"/>
        </w:rPr>
        <w:t>智能合约确定性执行，不能在交易中直接调用外部 LLM 或链下业务系统；跨组织应用却需要判断供应链记录、时序约束或合规规则。预言机和跨链中继能够证明“状态已提交”，但不能证明现实事实真实或业务语义成立。当目标链据此执行操作时，单一中继、固定委员会以及共享模型的智能体均会形成新的失效边界。</w:t>
      </w:r>
    </w:p>
    <w:p>
      <w:r>
        <w:rPr>
          <w:rFonts w:ascii="Times New Roman" w:hAnsi="Times New Roman" w:eastAsia="宋体"/>
          <w:sz w:val="20"/>
        </w:rPr>
        <w:t>本文把“可信调用”限定为三个目标：限制错误判断越过接受阈值；让未决分歧进入显式处理路径；保留可归属的审计证据。协议将状态存在性、证明有效性和结构完整性交给确定性门控，仅对跨源关联、时序合理性和规则解释采用概率性多智能体聚合，因而不把聚合结果表述为语义真值证明。</w:t>
      </w:r>
    </w:p>
    <w:p>
      <w:r>
        <w:rPr>
          <w:rFonts w:ascii="Times New Roman" w:hAnsi="Times New Roman" w:eastAsia="宋体"/>
          <w:sz w:val="20"/>
        </w:rPr>
        <w:t>协议采用链下快速路径与链上锚定：协调服务执行选组、commit-reveal、信誉—置信度加权和仲裁，FISCO-BCOS 合约只记录最终结果、载荷哈希和审计摘要。该结构降低链上写入，但完整复核仍依赖链下审计包可用。</w:t>
      </w:r>
    </w:p>
    <w:p>
      <w:r>
        <w:rPr>
          <w:rFonts w:ascii="Times New Roman" w:hAnsi="Times New Roman" w:eastAsia="宋体"/>
          <w:sz w:val="20"/>
        </w:rPr>
        <w:t>本文的贡献如下：</w:t>
      </w:r>
    </w:p>
    <w:p>
      <w:pPr>
        <w:pStyle w:val="ListNumber"/>
      </w:pPr>
      <w:r>
        <w:rPr>
          <w:rFonts w:ascii="Times New Roman" w:hAnsi="Times New Roman" w:eastAsia="宋体"/>
          <w:b/>
          <w:sz w:val="20"/>
        </w:rPr>
        <w:t>问题与威胁模型。</w:t>
      </w:r>
      <w:r>
        <w:rPr>
          <w:rFonts w:ascii="Times New Roman" w:hAnsi="Times New Roman" w:eastAsia="宋体"/>
          <w:sz w:val="20"/>
        </w:rPr>
        <w:t xml:space="preserve"> 形式化“智能合约调用链下智能体”的系统边界，区分链上状态完整性、现实真实性和业务语义正确性，并覆盖恶意判断、沉默、串谋、策略性信誉积累以及同模型相关失败。</w:t>
      </w:r>
    </w:p>
    <w:p>
      <w:pPr>
        <w:pStyle w:val="ListNumber"/>
      </w:pPr>
      <w:r>
        <w:rPr>
          <w:rFonts w:ascii="Times New Roman" w:hAnsi="Times New Roman" w:eastAsia="宋体"/>
          <w:b/>
          <w:sz w:val="20"/>
        </w:rPr>
        <w:t>智能合约可信调用链下智能体协议。</w:t>
      </w:r>
      <w:r>
        <w:rPr>
          <w:rFonts w:ascii="Times New Roman" w:hAnsi="Times New Roman" w:eastAsia="宋体"/>
          <w:sz w:val="20"/>
        </w:rPr>
        <w:t xml:space="preserve"> 设计确定性前置门控、可验证选组、commit-reveal、信誉与置信度联合加权、风险阈值、独立仲裁及签名审计包，使业务合约通过链上事件发起调用，并明确链下协调与链上摘要锚定各自提供的保证。</w:t>
      </w:r>
    </w:p>
    <w:p>
      <w:pPr>
        <w:pStyle w:val="ListNumber"/>
      </w:pPr>
      <w:r>
        <w:rPr>
          <w:rFonts w:ascii="Times New Roman" w:hAnsi="Times New Roman" w:eastAsia="宋体"/>
          <w:b/>
          <w:sz w:val="20"/>
        </w:rPr>
        <w:t>条件化安全与激励分析。</w:t>
      </w:r>
      <w:r>
        <w:rPr>
          <w:rFonts w:ascii="Times New Roman" w:hAnsi="Times New Roman" w:eastAsia="宋体"/>
          <w:sz w:val="20"/>
        </w:rPr>
        <w:t xml:space="preserve"> 给出错误结果越过加权阈值的条件、独立误差下的概率界，以及验证、置信度分档和攻击成本的充分条件；避免把这些条件性结论表述为无条件 DSIC 或语义真值保证。</w:t>
      </w:r>
    </w:p>
    <w:p>
      <w:pPr>
        <w:pStyle w:val="ListNumber"/>
      </w:pPr>
      <w:r>
        <w:rPr>
          <w:rFonts w:ascii="Times New Roman" w:hAnsi="Times New Roman" w:eastAsia="宋体"/>
          <w:b/>
          <w:sz w:val="20"/>
        </w:rPr>
        <w:t>跨链原型与对抗评估。</w:t>
      </w:r>
      <w:r>
        <w:rPr>
          <w:rFonts w:ascii="Times New Roman" w:hAnsi="Times New Roman" w:eastAsia="宋体"/>
          <w:sz w:val="20"/>
        </w:rPr>
        <w:t xml:space="preserve"> 在 Fabric→FISCO-BCOS 原型上，以真实验证逻辑、真实 LLM 判断和参数化仿真评估恶意行为、相关失败、链上成本和延迟，并与单一中继、等权委员会、PBFT 及加权 BFT 比较。</w:t>
      </w:r>
    </w:p>
    <w:p>
      <w:r>
        <w:rPr>
          <w:rFonts w:ascii="Times New Roman" w:hAnsi="Times New Roman" w:eastAsia="宋体"/>
          <w:sz w:val="20"/>
        </w:rPr>
        <w:t>本文其余部分组织如下：第II节回顾相关工作；第III节定义系统模型和威胁模型；第IV节介绍协议设计；第V节提供博弈论分析；第VI节讨论残余安全性质；第VII节分析性能；第VIII节描述实验评估；第IX节总结全文。</w:t>
      </w:r>
    </w:p>
    <w:p>
      <w:pPr>
        <w:pStyle w:val="Heading1"/>
      </w:pPr>
      <w:r>
        <w:t>II. 相关工作</w:t>
      </w:r>
    </w:p>
    <w:p>
      <w:pPr>
        <w:pStyle w:val="Heading2"/>
      </w:pPr>
      <w:r>
        <w:t>A. 跨链互操作性</w:t>
      </w:r>
    </w:p>
    <w:p>
      <w:r>
        <w:rPr>
          <w:rFonts w:ascii="Times New Roman" w:hAnsi="Times New Roman" w:eastAsia="宋体"/>
          <w:sz w:val="20"/>
        </w:rPr>
        <w:t>跨链互操作性在公有链背景下已被广泛研究。基于公证人的方案依赖可信中介来确认跨链事件；基于中继的方法在目标链维护轻客户端或验证合约。IEEE 3221.01-2025 对跨链事务一致性协议给出标准化框架[10],集成执行方案则试图降低原子智能合约互操作的协调开销[13]。近期工作还提出可扩展的跨链桥[17]并对桥异常进行监测[18]。联盟链互操作的安全与隐私问题已有系统性综述[14][15]。</w:t>
      </w:r>
    </w:p>
    <w:p>
      <w:r>
        <w:rPr>
          <w:rFonts w:ascii="Times New Roman" w:hAnsi="Times New Roman" w:eastAsia="宋体"/>
          <w:sz w:val="20"/>
        </w:rPr>
        <w:t>针对联盟区块链，Hyperledger Cacti框架（前身为Weaver）[11]为Fabric到Fabric和Fabric到Besu的互操作提供中继基础设施。WeCross[12]通过统一资源模型支持FISCO-BCOS与Fabric之间的跨链交互。HMNG-CCM机制[1]在Fabric上引入了基于PageRank信誉评估的分层管理公证人组，PowerTrust 等算法亦被用于中继链的信誉治理[16]。然而，这些解决方案要么假设固定的中继拓扑，要么缺乏对中继不当行为的形式化处理。</w:t>
      </w:r>
    </w:p>
    <w:p>
      <w:r>
        <w:rPr>
          <w:rFonts w:ascii="Times New Roman" w:hAnsi="Times New Roman" w:eastAsia="宋体"/>
          <w:sz w:val="20"/>
        </w:rPr>
        <w:t>Proof of Repute Consensus（PoRC）框架[7]提出了一种两层架构，将链内共识与链间协作分离，使用行为驱动的信誉来治理跨链参与。虽然PoRC解决了中继选择问题，但它没有对验证过程本身进行建模，也没有提供解决中继节点间分歧的机制。</w:t>
      </w:r>
    </w:p>
    <w:p>
      <w:pPr>
        <w:pStyle w:val="Heading2"/>
      </w:pPr>
      <w:r>
        <w:t>B. 多智能体共识与可靠性</w:t>
      </w:r>
    </w:p>
    <w:p>
      <w:r>
        <w:rPr>
          <w:rFonts w:ascii="Times New Roman" w:hAnsi="Times New Roman" w:eastAsia="宋体"/>
          <w:sz w:val="20"/>
        </w:rPr>
        <w:t>随着基于LLM的智能体的出现，多智能体系统中的Byzantine容错受到了新的关注。Zheng等人[2]提出CP-WBFT，一种基于置信度探测的加权BFT机制，通过赋予对其判断具有更高置信度的智能体更大影响力，在极端故障条件下实现共识。Luo等人[3]将这一思想扩展到基于区块链的多LLM网络，采用加权BFT共识，其中投票权重结合了响应质量和历史信任。Jo和Park[4]提出DecentLLMs，一种无领导者架构，其中评估智能体独立评分工作者输出，截断均值聚合过滤Byzantine影响。Ding等人[8]与Qi等人[9]进一步研究了去中心化多智能体系统中的信任感知通信与激励相容协作。</w:t>
      </w:r>
    </w:p>
    <w:p>
      <w:r>
        <w:rPr>
          <w:rFonts w:ascii="Times New Roman" w:hAnsi="Times New Roman" w:eastAsia="宋体"/>
          <w:sz w:val="20"/>
        </w:rPr>
        <w:t>Six Sigma Agent架构[5]证明，冗余独立执行配合多数投票可实现指数级可靠性提升。对于n个具有个体错误率p的智能体，系统错误率的上界为O(p^{⌈n/2⌉})。这一理论结果激发了我们使用多个独立验证者进行跨链证据验证的设计。</w:t>
      </w:r>
    </w:p>
    <w:p>
      <w:r>
        <w:rPr>
          <w:rFonts w:ascii="Times New Roman" w:hAnsi="Times New Roman" w:eastAsia="宋体"/>
          <w:sz w:val="20"/>
        </w:rPr>
        <w:t>Cemri等人[6]基于 1,642 条执行轨迹构建了多智能体故障分类,识别出系统设计、智能体间不对齐和任务验证三类问题。该结果提示,多智能体冗余本身并不保证可靠性；本协议因而显式处理提交阶段的信息泄露、超时和未决状态。</w:t>
      </w:r>
    </w:p>
    <w:p>
      <w:pPr>
        <w:pStyle w:val="Heading2"/>
      </w:pPr>
      <w:r>
        <w:t>C. 本工作的定位</w:t>
      </w:r>
    </w:p>
    <w:p>
      <w:r>
        <w:rPr>
          <w:rFonts w:ascii="Times New Roman" w:hAnsi="Times New Roman" w:eastAsia="宋体"/>
          <w:sz w:val="20"/>
        </w:rPr>
        <w:t>现有跨链解决方案与预言机主要关注数据、消息与状态证明的传递；多智能体 BFT 工作则处理通用决策和响应聚合。二者都没有直接解决本文关注的组合问题：如何把可确定复核的链上证据与概率性业务语义分层处理，并让目标链只在满足明确阈值和审计条件时消费链下判断。本协议在链下完成选组、commit-reveal、聚合与仲裁，在接收结果的目标链上锚定最终结果和审计包摘要，由此换取 O(1) 链上写入，但也引入协调器和审计包可用性的残余信任。</w:t>
      </w:r>
    </w:p>
    <w:p>
      <w:r>
        <w:rPr>
          <w:rFonts w:ascii="Times New Roman" w:hAnsi="Times New Roman" w:eastAsia="宋体"/>
          <w:sz w:val="20"/>
        </w:rPr>
        <w:t>与上述工作相比，本文不提出新的底层跨链证明或通用 BFT 原语，而是面向联盟链语义查询组合确定性门控、概率聚合、争议升级和可审计锚定，并量化其收益与残余风险。</w:t>
      </w:r>
    </w:p>
    <w:p>
      <w:pPr>
        <w:pStyle w:val="Heading1"/>
      </w:pPr>
      <w:r>
        <w:t>III. 系统模型与威胁模型</w:t>
      </w:r>
    </w:p>
    <w:p>
      <w:pPr>
        <w:pStyle w:val="Heading2"/>
      </w:pPr>
      <w:r>
        <w:t>A. 系统模型</w:t>
      </w:r>
    </w:p>
    <w:p>
      <w:r>
        <w:rPr>
          <w:rFonts w:ascii="Times New Roman" w:hAnsi="Times New Roman" w:eastAsia="宋体"/>
          <w:sz w:val="20"/>
        </w:rPr>
        <w:t>原型以 Hyperledger Fabric 为源链、FISCO-BCOS 为目标链。Fabric 共识保证已提交状态的终局性，但不保证账本记录对应的现实事实真实。系统由三部分组成：</w:t>
      </w:r>
    </w:p>
    <w:p>
      <w:pPr>
        <w:pStyle w:val="ListNumber"/>
      </w:pPr>
      <w:r>
        <w:rPr>
          <w:rFonts w:ascii="Times New Roman" w:hAnsi="Times New Roman" w:eastAsia="宋体"/>
          <w:b/>
          <w:sz w:val="20"/>
        </w:rPr>
        <w:t>链上锚定层（On-chain Anchor Contract）</w:t>
      </w:r>
      <w:r>
        <w:rPr>
          <w:rFonts w:ascii="Times New Roman" w:hAnsi="Times New Roman" w:eastAsia="宋体"/>
          <w:sz w:val="20"/>
        </w:rPr>
        <w:t>：接收本次跨链结果的目标链合约发布或接收调用标识，并持久化最终结果、载荷哈希和审计包摘要。原型不把每条 commit/reveal 选票写入链上。</w:t>
      </w:r>
    </w:p>
    <w:p>
      <w:pPr>
        <w:pStyle w:val="ListNumber"/>
      </w:pPr>
      <w:r>
        <w:rPr>
          <w:rFonts w:ascii="Times New Roman" w:hAnsi="Times New Roman" w:eastAsia="宋体"/>
          <w:b/>
          <w:sz w:val="20"/>
        </w:rPr>
        <w:t>链下调用协调层（Off-chain Invocation Coordinator）</w:t>
      </w:r>
      <w:r>
        <w:rPr>
          <w:rFonts w:ascii="Times New Roman" w:hAnsi="Times New Roman" w:eastAsia="宋体"/>
          <w:sz w:val="20"/>
        </w:rPr>
        <w:t>：监听链上事件，执行证据归一化、委员会选择、commit-reveal 会话、加权聚合、信誉更新与仲裁编排，并输出包含签名判断、权重向量和阶段记录的审计包。</w:t>
      </w:r>
    </w:p>
    <w:p>
      <w:pPr>
        <w:pStyle w:val="ListNumber"/>
      </w:pPr>
      <w:r>
        <w:rPr>
          <w:rFonts w:ascii="Times New Roman" w:hAnsi="Times New Roman" w:eastAsia="宋体"/>
          <w:b/>
          <w:sz w:val="20"/>
        </w:rPr>
        <w:t>链下智能体网络（Off-chain Agent Network）</w:t>
      </w:r>
      <w:r>
        <w:rPr>
          <w:rFonts w:ascii="Times New Roman" w:hAnsi="Times New Roman" w:eastAsia="宋体"/>
          <w:sz w:val="20"/>
        </w:rPr>
        <w:t>：由不同组织运营的收集、验证和仲裁智能体组成；智能体独立处理证据并对输出签名。业务合约通过链上锚定结果异步消费该网络的判断。</w:t>
      </w:r>
    </w:p>
    <w:p>
      <w:pPr>
        <w:pStyle w:val="ListBullet"/>
      </w:pPr>
      <w:r>
        <w:rPr>
          <w:rFonts w:ascii="Times New Roman" w:hAnsi="Times New Roman" w:eastAsia="宋体"/>
          <w:b/>
          <w:sz w:val="20"/>
        </w:rPr>
        <w:t>源链</w:t>
      </w:r>
      <w:r>
        <w:rPr>
          <w:rFonts w:ascii="Times New Roman" w:hAnsi="Times New Roman" w:eastAsia="宋体"/>
          <w:sz w:val="20"/>
        </w:rPr>
        <w:t>：被查询状态信息的区块链，经其网关链码提供具确定性终局性的证据（读写集、背书签名、区块头）。</w:t>
      </w:r>
    </w:p>
    <w:p>
      <w:pPr>
        <w:pStyle w:val="ListBullet"/>
      </w:pPr>
      <w:r>
        <w:rPr>
          <w:rFonts w:ascii="Times New Roman" w:hAnsi="Times New Roman" w:eastAsia="宋体"/>
          <w:b/>
          <w:sz w:val="20"/>
        </w:rPr>
        <w:t>目标链</w:t>
      </w:r>
      <w:r>
        <w:rPr>
          <w:rFonts w:ascii="Times New Roman" w:hAnsi="Times New Roman" w:eastAsia="宋体"/>
          <w:sz w:val="20"/>
        </w:rPr>
        <w:t>：发起调用并消费智能体输出的区块链，托管结果接收与摘要锚定逻辑。</w:t>
      </w:r>
    </w:p>
    <w:p>
      <w:r>
        <w:rPr>
          <w:rFonts w:ascii="Times New Roman" w:hAnsi="Times New Roman" w:eastAsia="宋体"/>
          <w:sz w:val="20"/>
        </w:rPr>
        <w:t>系统架构与调用时序见图 1、图 2。图中的“协调合约”是逻辑边界；原型采用链下协调服务与链上摘要锚定合约的混合实现。</w:t>
      </w:r>
    </w:p>
    <w:p>
      <w:pPr>
        <w:jc w:val="center"/>
      </w:pPr>
      <w:r>
        <w:drawing>
          <wp:inline xmlns:a="http://schemas.openxmlformats.org/drawingml/2006/main" xmlns:pic="http://schemas.openxmlformats.org/drawingml/2006/picture">
            <wp:extent cx="2971800" cy="196959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2971800" cy="1969597"/>
                    </a:xfrm>
                    <a:prstGeom prst="rect"/>
                  </pic:spPr>
                </pic:pic>
              </a:graphicData>
            </a:graphic>
          </wp:inline>
        </w:drawing>
      </w:r>
    </w:p>
    <w:p>
      <w:r>
        <w:rPr>
          <w:rFonts w:ascii="Times New Roman" w:hAnsi="Times New Roman" w:eastAsia="宋体"/>
          <w:b/>
          <w:sz w:val="20"/>
        </w:rPr>
        <w:t>图 1.</w:t>
      </w:r>
      <w:r>
        <w:rPr>
          <w:rFonts w:ascii="Times New Roman" w:hAnsi="Times New Roman" w:eastAsia="宋体"/>
          <w:sz w:val="20"/>
        </w:rPr>
        <w:t xml:space="preserve"> 系统架构。Fabric 经 </w:t>
      </w:r>
      <w:r>
        <w:rPr>
          <w:rFonts w:ascii="Courier New" w:hAnsi="Courier New" w:eastAsia="宋体"/>
          <w:sz w:val="18"/>
        </w:rPr>
        <w:t>gateway_cc</w:t>
      </w:r>
      <w:r>
        <w:rPr>
          <w:rFonts w:ascii="Times New Roman" w:hAnsi="Times New Roman" w:eastAsia="宋体"/>
          <w:sz w:val="20"/>
        </w:rPr>
        <w:t xml:space="preserve"> 提供证据，链下协调服务组织收集、执行与仲裁，FISCO-BCOS 锚定最终结果和审计摘要。</w:t>
      </w:r>
    </w:p>
    <w:p>
      <w:pPr>
        <w:jc w:val="center"/>
      </w:pPr>
      <w:r>
        <w:drawing>
          <wp:inline xmlns:a="http://schemas.openxmlformats.org/drawingml/2006/main" xmlns:pic="http://schemas.openxmlformats.org/drawingml/2006/picture">
            <wp:extent cx="2971800" cy="1449968"/>
            <wp:docPr id="2" name="Picture 2"/>
            <wp:cNvGraphicFramePr>
              <a:graphicFrameLocks noChangeAspect="1"/>
            </wp:cNvGraphicFramePr>
            <a:graphic>
              <a:graphicData uri="http://schemas.openxmlformats.org/drawingml/2006/picture">
                <pic:pic>
                  <pic:nvPicPr>
                    <pic:cNvPr id="0" name="fig_invocation_flow.png"/>
                    <pic:cNvPicPr/>
                  </pic:nvPicPr>
                  <pic:blipFill>
                    <a:blip r:embed="rId10"/>
                    <a:stretch>
                      <a:fillRect/>
                    </a:stretch>
                  </pic:blipFill>
                  <pic:spPr>
                    <a:xfrm>
                      <a:off x="0" y="0"/>
                      <a:ext cx="2971800" cy="1449968"/>
                    </a:xfrm>
                    <a:prstGeom prst="rect"/>
                  </pic:spPr>
                </pic:pic>
              </a:graphicData>
            </a:graphic>
          </wp:inline>
        </w:drawing>
      </w:r>
    </w:p>
    <w:p>
      <w:r>
        <w:rPr>
          <w:rFonts w:ascii="Times New Roman" w:hAnsi="Times New Roman" w:eastAsia="宋体"/>
          <w:b/>
          <w:sz w:val="20"/>
        </w:rPr>
        <w:t>图 2.</w:t>
      </w:r>
      <w:r>
        <w:rPr>
          <w:rFonts w:ascii="Times New Roman" w:hAnsi="Times New Roman" w:eastAsia="宋体"/>
          <w:sz w:val="20"/>
        </w:rPr>
        <w:t xml:space="preserve"> 调用时序。业务合约触发链下协调，委员会收集并验证证据，通过 commit-reveal 提交判断；协调服务完成 </w:t>
      </w:r>
      <w:r>
        <w:rPr>
          <w:rFonts w:ascii="Courier New" w:hAnsi="Courier New" w:eastAsia="宋体"/>
          <w:sz w:val="18"/>
        </w:rPr>
        <w:t>rep×conf</w:t>
      </w:r>
      <w:r>
        <w:rPr>
          <w:rFonts w:ascii="Times New Roman" w:hAnsi="Times New Roman" w:eastAsia="宋体"/>
          <w:sz w:val="20"/>
        </w:rPr>
        <w:t xml:space="preserve"> 聚合，必要时仲裁，并将结果与审计摘要写入 FISCO-BCOS。</w:t>
      </w:r>
    </w:p>
    <w:p>
      <w:r>
        <w:rPr>
          <w:rFonts w:ascii="Times New Roman" w:hAnsi="Times New Roman" w:eastAsia="宋体"/>
          <w:sz w:val="20"/>
        </w:rPr>
        <w:t>链下智能体（统称</w:t>
      </w:r>
      <w:r>
        <w:rPr>
          <w:rFonts w:ascii="Times New Roman" w:hAnsi="Times New Roman" w:eastAsia="宋体"/>
          <w:i/>
          <w:sz w:val="20"/>
        </w:rPr>
        <w:t>执行智能体</w:t>
      </w:r>
      <w:r>
        <w:rPr>
          <w:rFonts w:ascii="Times New Roman" w:hAnsi="Times New Roman" w:eastAsia="宋体"/>
          <w:sz w:val="20"/>
        </w:rPr>
        <w:t>）按职责分为三种角色：</w:t>
      </w:r>
    </w:p>
    <w:p>
      <w:pPr>
        <w:pStyle w:val="ListBullet"/>
      </w:pPr>
      <w:r>
        <w:rPr>
          <w:rFonts w:ascii="Times New Roman" w:hAnsi="Times New Roman" w:eastAsia="宋体"/>
          <w:i/>
          <w:sz w:val="20"/>
        </w:rPr>
        <w:t>收集智能体</w:t>
      </w:r>
      <w:r>
        <w:rPr>
          <w:rFonts w:ascii="Times New Roman" w:hAnsi="Times New Roman" w:eastAsia="宋体"/>
          <w:sz w:val="20"/>
        </w:rPr>
        <w:t>与源链节点交互以检索证据（交易回执、状态证明、区块头）。</w:t>
      </w:r>
    </w:p>
    <w:p>
      <w:pPr>
        <w:pStyle w:val="ListBullet"/>
      </w:pPr>
      <w:r>
        <w:rPr>
          <w:rFonts w:ascii="Times New Roman" w:hAnsi="Times New Roman" w:eastAsia="宋体"/>
          <w:i/>
          <w:sz w:val="20"/>
        </w:rPr>
        <w:t>验证智能体</w:t>
      </w:r>
      <w:r>
        <w:rPr>
          <w:rFonts w:ascii="Times New Roman" w:hAnsi="Times New Roman" w:eastAsia="宋体"/>
          <w:sz w:val="20"/>
        </w:rPr>
        <w:t>通过双层过程处理收集的证据：(1) 对证明和签名的密码学验证（确定性），(2) 使用大语言模型对业务逻辑一致性进行语义推理（概率性）。多智能体聚合作用于第二层，在该层中 LLM 推理可能产生不同判断。第 VIII-D.3 节在当前构造样本上比较了单层与双层路径；这一消融支持把密码和结构检查保留在确定性代码中,但不用于估计一般任务上的模型误差。</w:t>
      </w:r>
    </w:p>
    <w:p>
      <w:pPr>
        <w:pStyle w:val="ListBullet"/>
      </w:pPr>
      <w:r>
        <w:rPr>
          <w:rFonts w:ascii="Times New Roman" w:hAnsi="Times New Roman" w:eastAsia="宋体"/>
          <w:i/>
          <w:sz w:val="20"/>
        </w:rPr>
        <w:t>仲裁智能体</w:t>
      </w:r>
      <w:r>
        <w:rPr>
          <w:rFonts w:ascii="Times New Roman" w:hAnsi="Times New Roman" w:eastAsia="宋体"/>
          <w:sz w:val="20"/>
        </w:rPr>
        <w:t>仅在标准调用流程未能达成一致时被激活。仲裁者以增强的上下文同时执行密码学验证和语义推理。</w:t>
      </w:r>
    </w:p>
    <w:p>
      <w:r>
        <w:rPr>
          <w:rFonts w:ascii="Times New Roman" w:hAnsi="Times New Roman" w:eastAsia="宋体"/>
          <w:sz w:val="20"/>
        </w:rPr>
        <w:t>验证智能体采用三种互补策略：</w:t>
      </w:r>
    </w:p>
    <w:p>
      <w:pPr>
        <w:pStyle w:val="ListBullet"/>
      </w:pPr>
      <w:r>
        <w:rPr>
          <w:rFonts w:ascii="Times New Roman" w:hAnsi="Times New Roman" w:eastAsia="宋体"/>
          <w:i/>
          <w:sz w:val="20"/>
        </w:rPr>
        <w:t>A类型（证明验证器）</w:t>
      </w:r>
      <w:r>
        <w:rPr>
          <w:rFonts w:ascii="Times New Roman" w:hAnsi="Times New Roman" w:eastAsia="宋体"/>
          <w:sz w:val="20"/>
        </w:rPr>
        <w:t>：执行确定性密码学验证——Merkle proof重构、背书签名校验和数据完整性检查。该层作为前置门控：若密码学验证失败，任务立即被拒绝，无需进入共识。</w:t>
      </w:r>
    </w:p>
    <w:p>
      <w:pPr>
        <w:pStyle w:val="ListBullet"/>
      </w:pPr>
      <w:r>
        <w:rPr>
          <w:rFonts w:ascii="Times New Roman" w:hAnsi="Times New Roman" w:eastAsia="宋体"/>
          <w:i/>
          <w:sz w:val="20"/>
        </w:rPr>
        <w:t>B类型（策略检查器）</w:t>
      </w:r>
      <w:r>
        <w:rPr>
          <w:rFonts w:ascii="Times New Roman" w:hAnsi="Times New Roman" w:eastAsia="宋体"/>
          <w:sz w:val="20"/>
        </w:rPr>
        <w:t>：验证背书策略合规性并应用基于规则的业务约束。结合确定性策略匹配与LLM辅助的复杂多条款策略解释。</w:t>
      </w:r>
    </w:p>
    <w:p>
      <w:pPr>
        <w:pStyle w:val="ListBullet"/>
      </w:pPr>
      <w:r>
        <w:rPr>
          <w:rFonts w:ascii="Times New Roman" w:hAnsi="Times New Roman" w:eastAsia="宋体"/>
          <w:i/>
          <w:sz w:val="20"/>
        </w:rPr>
        <w:t>C类型（语义推理器）</w:t>
      </w:r>
      <w:r>
        <w:rPr>
          <w:rFonts w:ascii="Times New Roman" w:hAnsi="Times New Roman" w:eastAsia="宋体"/>
          <w:sz w:val="20"/>
        </w:rPr>
        <w:t>：使用LLM执行概率性语义验证——跨源数据关联分析、时序一致性分析、异常模式检测和业务逻辑推理。这是产生判断多样性的主要来源，也是多智能体共识存在的根本理由。</w:t>
      </w:r>
    </w:p>
    <w:p>
      <w:r>
        <w:rPr>
          <w:rFonts w:ascii="Times New Roman" w:hAnsi="Times New Roman" w:eastAsia="宋体"/>
          <w:sz w:val="20"/>
        </w:rPr>
        <w:t>三类策略旨在降低共模失败，但不能保证统计独立。A 类型主要受适配器实现影响，B 类型受规则编码与解释影响，C 类型受模型推理能力影响；其中任何两类仍可能共享数据、代码或模型提供商。尤其是不同组织调用同一模型或同一 provider 时，错误可能高度相关。本协议因此在选组时同时约束运营组织与模型来源，并在第 VIII 节单独测量相关失败，而不把“多智能体”等同于“独立样本”。</w:t>
      </w:r>
    </w:p>
    <w:p>
      <w:pPr>
        <w:pStyle w:val="Heading2"/>
      </w:pPr>
      <w:r>
        <w:t>B. 威胁模型</w:t>
      </w:r>
    </w:p>
    <w:p>
      <w:r>
        <w:rPr>
          <w:rFonts w:ascii="Times New Roman" w:hAnsi="Times New Roman" w:eastAsia="宋体"/>
          <w:b/>
          <w:sz w:val="20"/>
        </w:rPr>
        <w:t>信任与可用性假设：</w:t>
      </w:r>
    </w:p>
    <w:p>
      <w:pPr>
        <w:pStyle w:val="ListNumber"/>
      </w:pPr>
      <w:r>
        <w:rPr>
          <w:rFonts w:ascii="Times New Roman" w:hAnsi="Times New Roman" w:eastAsia="宋体"/>
          <w:sz w:val="20"/>
        </w:rPr>
        <w:t>源链和目标链的共识、签名与哈希函数满足其标准安全性质。源链终局性保证所引用状态未被事后回滚，但不保证上链数据对应的现实事实真实。</w:t>
      </w:r>
    </w:p>
    <w:p>
      <w:pPr>
        <w:pStyle w:val="ListNumber"/>
      </w:pPr>
      <w:r>
        <w:rPr>
          <w:rFonts w:ascii="Times New Roman" w:hAnsi="Times New Roman" w:eastAsia="宋体"/>
          <w:sz w:val="20"/>
        </w:rPr>
        <w:t>委员会选择所用种子在任务创建前不可由对手预测或单独操纵；选择输入与结果写入审计包，以便事后复算。</w:t>
      </w:r>
    </w:p>
    <w:p>
      <w:pPr>
        <w:pStyle w:val="ListNumber"/>
      </w:pPr>
      <w:r>
        <w:rPr>
          <w:rFonts w:ascii="Times New Roman" w:hAnsi="Times New Roman" w:eastAsia="宋体"/>
          <w:sz w:val="20"/>
        </w:rPr>
        <w:t>完整审计包在挑战期内可获得，且签名可验证。链上摘要只能检测审计包是否被替换，不能在审计包不可用时恢复其内容。</w:t>
      </w:r>
    </w:p>
    <w:p>
      <w:pPr>
        <w:pStyle w:val="ListNumber"/>
      </w:pPr>
      <w:r>
        <w:rPr>
          <w:rFonts w:ascii="Times New Roman" w:hAnsi="Times New Roman" w:eastAsia="宋体"/>
          <w:sz w:val="20"/>
        </w:rPr>
        <w:t>活性要求源链 RPC、链下协调服务、足够数量的智能体及目标链在全局超时内可用。本文不把网络永久分区下的终结作为保证。</w:t>
      </w:r>
    </w:p>
    <w:p>
      <w:r>
        <w:rPr>
          <w:rFonts w:ascii="Times New Roman" w:hAnsi="Times New Roman" w:eastAsia="宋体"/>
          <w:b/>
          <w:sz w:val="20"/>
        </w:rPr>
        <w:t>对手能力：</w:t>
      </w:r>
      <w:r>
        <w:rPr>
          <w:rFonts w:ascii="Times New Roman" w:hAnsi="Times New Roman" w:eastAsia="宋体"/>
          <w:sz w:val="20"/>
        </w:rPr>
        <w:t xml:space="preserve"> 对手可控制部分链下智能体，也可尝试延迟、删减或重放链下消息。被控制的智能体可发动以下行为：</w:t>
      </w:r>
    </w:p>
    <w:p>
      <w:pPr>
        <w:pStyle w:val="ListNumber"/>
      </w:pPr>
      <w:r>
        <w:rPr>
          <w:rFonts w:ascii="Times New Roman" w:hAnsi="Times New Roman" w:eastAsia="宋体"/>
          <w:i/>
          <w:sz w:val="20"/>
        </w:rPr>
        <w:t>恶意判断</w:t>
      </w:r>
      <w:r>
        <w:rPr>
          <w:rFonts w:ascii="Times New Roman" w:hAnsi="Times New Roman" w:eastAsia="宋体"/>
          <w:sz w:val="20"/>
        </w:rPr>
        <w:t>：无论证据如何，恶意提交错误判断——对无效任务返回 ACCEPT（伪造接受）或对有效任务返回 REJECT（伪造拒绝）。</w:t>
      </w:r>
    </w:p>
    <w:p>
      <w:pPr>
        <w:pStyle w:val="ListNumber"/>
      </w:pPr>
      <w:r>
        <w:rPr>
          <w:rFonts w:ascii="Times New Roman" w:hAnsi="Times New Roman" w:eastAsia="宋体"/>
          <w:i/>
          <w:sz w:val="20"/>
        </w:rPr>
        <w:t>沉默攻击</w:t>
      </w:r>
      <w:r>
        <w:rPr>
          <w:rFonts w:ascii="Times New Roman" w:hAnsi="Times New Roman" w:eastAsia="宋体"/>
          <w:sz w:val="20"/>
        </w:rPr>
        <w:t>：提交承诺（commit）后扣留揭示（reveal），试图阻塞调用或拖延终结。</w:t>
      </w:r>
    </w:p>
    <w:p>
      <w:pPr>
        <w:pStyle w:val="ListNumber"/>
      </w:pPr>
      <w:r>
        <w:rPr>
          <w:rFonts w:ascii="Times New Roman" w:hAnsi="Times New Roman" w:eastAsia="宋体"/>
          <w:i/>
          <w:sz w:val="20"/>
        </w:rPr>
        <w:t>串谋</w:t>
      </w:r>
      <w:r>
        <w:rPr>
          <w:rFonts w:ascii="Times New Roman" w:hAnsi="Times New Roman" w:eastAsia="宋体"/>
          <w:sz w:val="20"/>
        </w:rPr>
        <w:t>：多个被控智能体协调其投票以放大影响。</w:t>
      </w:r>
    </w:p>
    <w:p>
      <w:pPr>
        <w:pStyle w:val="ListNumber"/>
      </w:pPr>
      <w:r>
        <w:rPr>
          <w:rFonts w:ascii="Times New Roman" w:hAnsi="Times New Roman" w:eastAsia="宋体"/>
          <w:i/>
          <w:sz w:val="20"/>
        </w:rPr>
        <w:t>同组织控制多个智能体</w:t>
      </w:r>
      <w:r>
        <w:rPr>
          <w:rFonts w:ascii="Times New Roman" w:hAnsi="Times New Roman" w:eastAsia="宋体"/>
          <w:sz w:val="20"/>
        </w:rPr>
        <w:t>：单一组织运营多个智能体以在委员会中获取超额权重，逼近或突破 Sybil 边界。</w:t>
      </w:r>
    </w:p>
    <w:p>
      <w:pPr>
        <w:pStyle w:val="ListNumber"/>
      </w:pPr>
      <w:r>
        <w:rPr>
          <w:rFonts w:ascii="Times New Roman" w:hAnsi="Times New Roman" w:eastAsia="宋体"/>
          <w:i/>
          <w:sz w:val="20"/>
        </w:rPr>
        <w:t>相关失败</w:t>
      </w:r>
      <w:r>
        <w:rPr>
          <w:rFonts w:ascii="Times New Roman" w:hAnsi="Times New Roman" w:eastAsia="宋体"/>
          <w:sz w:val="20"/>
        </w:rPr>
        <w:t>：多个智能体调用同一 LLM 模型或同一 provider，使其错误高度相关，从而以"看似独立的多数"绕过聚合容错。</w:t>
      </w:r>
    </w:p>
    <w:p>
      <w:pPr>
        <w:pStyle w:val="ListNumber"/>
      </w:pPr>
      <w:r>
        <w:rPr>
          <w:rFonts w:ascii="Times New Roman" w:hAnsi="Times New Roman" w:eastAsia="宋体"/>
          <w:i/>
          <w:sz w:val="20"/>
        </w:rPr>
        <w:t>虚报置信度</w:t>
      </w:r>
      <w:r>
        <w:rPr>
          <w:rFonts w:ascii="Times New Roman" w:hAnsi="Times New Roman" w:eastAsia="宋体"/>
          <w:sz w:val="20"/>
        </w:rPr>
        <w:t>：智能体夸大其判断的置信度以放大投票权重。</w:t>
      </w:r>
    </w:p>
    <w:p>
      <w:pPr>
        <w:pStyle w:val="ListNumber"/>
      </w:pPr>
      <w:r>
        <w:rPr>
          <w:rFonts w:ascii="Times New Roman" w:hAnsi="Times New Roman" w:eastAsia="宋体"/>
          <w:i/>
          <w:sz w:val="20"/>
        </w:rPr>
        <w:t>证据冲突</w:t>
      </w:r>
      <w:r>
        <w:rPr>
          <w:rFonts w:ascii="Times New Roman" w:hAnsi="Times New Roman" w:eastAsia="宋体"/>
          <w:sz w:val="20"/>
        </w:rPr>
        <w:t>：收集智能体提交过期、相互冲突或不完整的证据，试图误导后续语义推理。</w:t>
      </w:r>
    </w:p>
    <w:p>
      <w:pPr>
        <w:pStyle w:val="ListNumber"/>
      </w:pPr>
      <w:r>
        <w:rPr>
          <w:rFonts w:ascii="Times New Roman" w:hAnsi="Times New Roman" w:eastAsia="宋体"/>
          <w:i/>
          <w:sz w:val="20"/>
        </w:rPr>
        <w:t>策略性对手</w:t>
      </w:r>
      <w:r>
        <w:rPr>
          <w:rFonts w:ascii="Times New Roman" w:hAnsi="Times New Roman" w:eastAsia="宋体"/>
          <w:sz w:val="20"/>
        </w:rPr>
        <w:t>：通过诚实行为积累信誉后再发动上述攻击。</w:t>
      </w:r>
    </w:p>
    <w:p>
      <w:r>
        <w:rPr>
          <w:rFonts w:ascii="Times New Roman" w:hAnsi="Times New Roman" w:eastAsia="宋体"/>
          <w:sz w:val="20"/>
        </w:rPr>
        <w:t>对手不能在不破坏底层链或密码原语的前提下伪造已终局的源链状态证明，但可以利用真实的链上记录构造误导性语义上下文。</w:t>
      </w:r>
    </w:p>
    <w:p>
      <w:r>
        <w:rPr>
          <w:rFonts w:ascii="Times New Roman" w:hAnsi="Times New Roman" w:eastAsia="宋体"/>
          <w:b/>
          <w:sz w:val="20"/>
        </w:rPr>
        <w:t>保证成立的条件：</w:t>
      </w:r>
      <w:r>
        <w:rPr>
          <w:rFonts w:ascii="Times New Roman" w:hAnsi="Times New Roman" w:eastAsia="宋体"/>
          <w:sz w:val="20"/>
        </w:rPr>
        <w:t xml:space="preserve"> 本协议对执行委员会和仲裁组采用不同的条件。若恶意执行权重低于接受阈值，则错误结果不能在快速路径终结；当恶意智能体在某次执行委员会中占多数时，协议只保证把未达阈值的任务转入仲裁，而不保证快速路径正确。仲裁恢复进一步要求独立仲裁组中的诚实权重满足仲裁阈值。若执行委员会与仲裁组同时被足够恶意权重控制，或审计包被永久扣留，协议不提供安全或活性保证。第 VIII 节的 60% 恶意实验是此条件下的压力测试，不是无条件容错定理。</w:t>
      </w:r>
    </w:p>
    <w:p>
      <w:r>
        <w:rPr>
          <w:rFonts w:ascii="Times New Roman" w:hAnsi="Times New Roman" w:eastAsia="宋体"/>
          <w:b/>
          <w:sz w:val="20"/>
        </w:rPr>
        <w:t>安全目标：</w:t>
      </w:r>
    </w:p>
    <w:p>
      <w:pPr>
        <w:pStyle w:val="ListBullet"/>
      </w:pPr>
      <w:r>
        <w:rPr>
          <w:rFonts w:ascii="Times New Roman" w:hAnsi="Times New Roman" w:eastAsia="宋体"/>
          <w:i/>
          <w:sz w:val="20"/>
        </w:rPr>
        <w:t>错误接受/错误拒绝约束</w:t>
      </w:r>
      <w:r>
        <w:rPr>
          <w:rFonts w:ascii="Times New Roman" w:hAnsi="Times New Roman" w:eastAsia="宋体"/>
          <w:sz w:val="20"/>
        </w:rPr>
        <w:t>：在相应权重与独立性条件下，阻止错误判断越过终结阈值，并量化概率性诚实误差造成的残余风险。</w:t>
      </w:r>
    </w:p>
    <w:p>
      <w:pPr>
        <w:pStyle w:val="ListBullet"/>
      </w:pPr>
      <w:r>
        <w:rPr>
          <w:rFonts w:ascii="Times New Roman" w:hAnsi="Times New Roman" w:eastAsia="宋体"/>
          <w:i/>
          <w:sz w:val="20"/>
        </w:rPr>
        <w:t>条件活性</w:t>
      </w:r>
      <w:r>
        <w:rPr>
          <w:rFonts w:ascii="Times New Roman" w:hAnsi="Times New Roman" w:eastAsia="宋体"/>
          <w:sz w:val="20"/>
        </w:rPr>
        <w:t xml:space="preserve">：在网络与仲裁组可用时，任务于全局超时前进入 </w:t>
      </w:r>
      <w:r>
        <w:rPr>
          <w:rFonts w:ascii="Courier New" w:hAnsi="Courier New" w:eastAsia="宋体"/>
          <w:sz w:val="18"/>
        </w:rPr>
        <w:t>CONFIRMED</w:t>
      </w:r>
      <w:r>
        <w:rPr>
          <w:rFonts w:ascii="Times New Roman" w:hAnsi="Times New Roman" w:eastAsia="宋体"/>
          <w:sz w:val="20"/>
        </w:rPr>
        <w:t>、</w:t>
      </w:r>
      <w:r>
        <w:rPr>
          <w:rFonts w:ascii="Courier New" w:hAnsi="Courier New" w:eastAsia="宋体"/>
          <w:sz w:val="18"/>
        </w:rPr>
        <w:t>REJECTED</w:t>
      </w:r>
      <w:r>
        <w:rPr>
          <w:rFonts w:ascii="Times New Roman" w:hAnsi="Times New Roman" w:eastAsia="宋体"/>
          <w:sz w:val="20"/>
        </w:rPr>
        <w:t xml:space="preserve"> 或 </w:t>
      </w:r>
      <w:r>
        <w:rPr>
          <w:rFonts w:ascii="Courier New" w:hAnsi="Courier New" w:eastAsia="宋体"/>
          <w:sz w:val="18"/>
        </w:rPr>
        <w:t>TIMEOUT</w:t>
      </w:r>
      <w:r>
        <w:rPr>
          <w:rFonts w:ascii="Times New Roman" w:hAnsi="Times New Roman" w:eastAsia="宋体"/>
          <w:sz w:val="20"/>
        </w:rPr>
        <w:t>。</w:t>
      </w:r>
    </w:p>
    <w:p>
      <w:pPr>
        <w:pStyle w:val="ListBullet"/>
      </w:pPr>
      <w:r>
        <w:rPr>
          <w:rFonts w:ascii="Times New Roman" w:hAnsi="Times New Roman" w:eastAsia="宋体"/>
          <w:i/>
          <w:sz w:val="20"/>
        </w:rPr>
        <w:t>可问责性</w:t>
      </w:r>
      <w:r>
        <w:rPr>
          <w:rFonts w:ascii="Times New Roman" w:hAnsi="Times New Roman" w:eastAsia="宋体"/>
          <w:sz w:val="20"/>
        </w:rPr>
        <w:t>：每条判断与具体证据、模型标识和签名绑定；链上摘要能够检测审计包被替换，但问责仍依赖审计包可获得。</w:t>
      </w:r>
    </w:p>
    <w:p>
      <w:pPr>
        <w:pStyle w:val="Heading2"/>
      </w:pPr>
      <w:r>
        <w:t>C. 主要符号与参数</w:t>
      </w:r>
    </w:p>
    <w:p>
      <w:r>
        <w:rPr>
          <w:rFonts w:ascii="Times New Roman" w:hAnsi="Times New Roman" w:eastAsia="宋体"/>
          <w:sz w:val="20"/>
        </w:rPr>
        <w:t>本文主要符号及其默认取值汇总于下表(为命名法参考,不计入正文表序)。</w:t>
      </w:r>
    </w:p>
    <w:tbl>
      <w:tblPr>
        <w:tblStyle w:val="TableGrid"/>
        <w:tblW w:type="auto" w:w="0"/>
        <w:tblLayout w:type="autofit"/>
        <w:tblLook w:firstColumn="1" w:firstRow="1" w:lastColumn="0" w:lastRow="0" w:noHBand="0" w:noVBand="1" w:val="04A0"/>
      </w:tblPr>
      <w:tblGrid>
        <w:gridCol w:w="3427"/>
        <w:gridCol w:w="3427"/>
        <w:gridCol w:w="3427"/>
      </w:tblGrid>
      <w:tr>
        <w:tc>
          <w:tcPr>
            <w:tcW w:type="dxa" w:w="3427"/>
            <w:vAlign w:val="center"/>
            <w:shd w:fill="D9E2F3"/>
            <w:cantSplit/>
          </w:tcPr>
          <w:p>
            <w:pPr>
              <w:jc w:val="center"/>
            </w:pPr>
            <w:r>
              <w:rPr>
                <w:rFonts w:ascii="Times New Roman" w:hAnsi="Times New Roman" w:eastAsia="宋体"/>
                <w:b/>
                <w:sz w:val="14"/>
              </w:rPr>
              <w:t>符号</w:t>
            </w:r>
          </w:p>
        </w:tc>
        <w:tc>
          <w:tcPr>
            <w:tcW w:type="dxa" w:w="3427"/>
            <w:vAlign w:val="center"/>
            <w:shd w:fill="D9E2F3"/>
            <w:cantSplit/>
          </w:tcPr>
          <w:p>
            <w:pPr>
              <w:jc w:val="center"/>
            </w:pPr>
            <w:r>
              <w:rPr>
                <w:rFonts w:ascii="Times New Roman" w:hAnsi="Times New Roman" w:eastAsia="宋体"/>
                <w:b/>
                <w:sz w:val="14"/>
              </w:rPr>
              <w:t>含义</w:t>
            </w:r>
          </w:p>
        </w:tc>
        <w:tc>
          <w:tcPr>
            <w:tcW w:type="dxa" w:w="3427"/>
            <w:vAlign w:val="center"/>
            <w:shd w:fill="D9E2F3"/>
            <w:cantSplit/>
          </w:tcPr>
          <w:p>
            <w:pPr>
              <w:jc w:val="center"/>
            </w:pPr>
            <w:r>
              <w:rPr>
                <w:rFonts w:ascii="Times New Roman" w:hAnsi="Times New Roman" w:eastAsia="宋体"/>
                <w:b/>
                <w:sz w:val="14"/>
              </w:rPr>
              <w:t>默认值</w:t>
            </w:r>
          </w:p>
        </w:tc>
      </w:tr>
      <w:tr>
        <w:tc>
          <w:tcPr>
            <w:tcW w:type="dxa" w:w="3427"/>
            <w:vAlign w:val="center"/>
            <w:cantSplit/>
          </w:tcPr>
          <w:p>
            <w:pPr>
              <w:jc w:val="center"/>
            </w:pPr>
            <w:r>
              <w:rPr>
                <w:rFonts w:ascii="Times New Roman" w:hAnsi="Times New Roman" w:eastAsia="宋体"/>
                <w:sz w:val="14"/>
              </w:rPr>
              <w:t>n</w:t>
            </w:r>
          </w:p>
        </w:tc>
        <w:tc>
          <w:tcPr>
            <w:tcW w:type="dxa" w:w="3427"/>
            <w:vAlign w:val="center"/>
            <w:cantSplit/>
          </w:tcPr>
          <w:p>
            <w:pPr>
              <w:jc w:val="center"/>
            </w:pPr>
            <w:r>
              <w:rPr>
                <w:rFonts w:ascii="Times New Roman" w:hAnsi="Times New Roman" w:eastAsia="宋体"/>
                <w:sz w:val="14"/>
              </w:rPr>
              <w:t>调用委员会大小</w:t>
            </w:r>
          </w:p>
        </w:tc>
        <w:tc>
          <w:tcPr>
            <w:tcW w:type="dxa" w:w="3427"/>
            <w:vAlign w:val="center"/>
            <w:cantSplit/>
          </w:tcPr>
          <w:p>
            <w:pPr>
              <w:jc w:val="center"/>
            </w:pPr>
            <w:r>
              <w:rPr>
                <w:rFonts w:ascii="Times New Roman" w:hAnsi="Times New Roman" w:eastAsia="宋体"/>
                <w:sz w:val="14"/>
              </w:rPr>
              <w:t>5 (NORMAL) / 7 (CRITICAL)</w:t>
            </w:r>
          </w:p>
        </w:tc>
      </w:tr>
      <w:tr>
        <w:tc>
          <w:tcPr>
            <w:tcW w:type="dxa" w:w="3427"/>
            <w:vAlign w:val="center"/>
            <w:cantSplit/>
          </w:tcPr>
          <w:p>
            <w:pPr>
              <w:jc w:val="center"/>
            </w:pPr>
            <w:r>
              <w:rPr>
                <w:rFonts w:ascii="Times New Roman" w:hAnsi="Times New Roman" w:eastAsia="宋体"/>
                <w:sz w:val="14"/>
              </w:rPr>
              <w:t>f</w:t>
            </w:r>
          </w:p>
        </w:tc>
        <w:tc>
          <w:tcPr>
            <w:tcW w:type="dxa" w:w="3427"/>
            <w:vAlign w:val="center"/>
            <w:cantSplit/>
          </w:tcPr>
          <w:p>
            <w:pPr>
              <w:jc w:val="center"/>
            </w:pPr>
            <w:r>
              <w:rPr>
                <w:rFonts w:ascii="Times New Roman" w:hAnsi="Times New Roman" w:eastAsia="宋体"/>
                <w:sz w:val="14"/>
              </w:rPr>
              <w:t>执行委员会中的恶意智能体数</w:t>
            </w:r>
          </w:p>
        </w:tc>
        <w:tc>
          <w:tcPr>
            <w:tcW w:type="dxa" w:w="3427"/>
            <w:vAlign w:val="center"/>
            <w:cantSplit/>
          </w:tcPr>
          <w:p>
            <w:pPr>
              <w:jc w:val="center"/>
            </w:pPr>
            <w:r>
              <w:rPr>
                <w:rFonts w:ascii="Times New Roman" w:hAnsi="Times New Roman" w:eastAsia="宋体"/>
                <w:sz w:val="14"/>
              </w:rPr>
              <w:t>由场景设定</w:t>
            </w:r>
          </w:p>
        </w:tc>
      </w:tr>
      <w:tr>
        <w:tc>
          <w:tcPr>
            <w:tcW w:type="dxa" w:w="3427"/>
            <w:vAlign w:val="center"/>
            <w:cantSplit/>
          </w:tcPr>
          <w:p>
            <w:pPr>
              <w:jc w:val="center"/>
            </w:pPr>
            <w:r>
              <w:rPr>
                <w:rFonts w:ascii="Times New Roman" w:hAnsi="Times New Roman" w:eastAsia="宋体"/>
                <w:sz w:val="14"/>
              </w:rPr>
              <w:t>f_arb</w:t>
            </w:r>
          </w:p>
        </w:tc>
        <w:tc>
          <w:tcPr>
            <w:tcW w:type="dxa" w:w="3427"/>
            <w:vAlign w:val="center"/>
            <w:cantSplit/>
          </w:tcPr>
          <w:p>
            <w:pPr>
              <w:jc w:val="center"/>
            </w:pPr>
            <w:r>
              <w:rPr>
                <w:rFonts w:ascii="Times New Roman" w:hAnsi="Times New Roman" w:eastAsia="宋体"/>
                <w:sz w:val="14"/>
              </w:rPr>
              <w:t>仲裁组中的恶意智能体数</w:t>
            </w:r>
          </w:p>
        </w:tc>
        <w:tc>
          <w:tcPr>
            <w:tcW w:type="dxa" w:w="3427"/>
            <w:vAlign w:val="center"/>
            <w:cantSplit/>
          </w:tcPr>
          <w:p>
            <w:pPr>
              <w:jc w:val="center"/>
            </w:pPr>
            <w:r>
              <w:rPr>
                <w:rFonts w:ascii="Times New Roman" w:hAnsi="Times New Roman" w:eastAsia="宋体"/>
                <w:sz w:val="14"/>
              </w:rPr>
              <w:t>需满足仲裁安全条件</w:t>
            </w:r>
          </w:p>
        </w:tc>
      </w:tr>
      <w:tr>
        <w:tc>
          <w:tcPr>
            <w:tcW w:type="dxa" w:w="3427"/>
            <w:vAlign w:val="center"/>
            <w:cantSplit/>
          </w:tcPr>
          <w:p>
            <w:pPr>
              <w:jc w:val="center"/>
            </w:pPr>
            <w:r>
              <w:rPr>
                <w:rFonts w:ascii="Times New Roman" w:hAnsi="Times New Roman" w:eastAsia="宋体"/>
                <w:sz w:val="14"/>
              </w:rPr>
              <w:t>k</w:t>
            </w:r>
          </w:p>
        </w:tc>
        <w:tc>
          <w:tcPr>
            <w:tcW w:type="dxa" w:w="3427"/>
            <w:vAlign w:val="center"/>
            <w:cantSplit/>
          </w:tcPr>
          <w:p>
            <w:pPr>
              <w:jc w:val="center"/>
            </w:pPr>
            <w:r>
              <w:rPr>
                <w:rFonts w:ascii="Times New Roman" w:hAnsi="Times New Roman" w:eastAsia="宋体"/>
                <w:sz w:val="14"/>
              </w:rPr>
              <w:t>仲裁组大小</w:t>
            </w:r>
          </w:p>
        </w:tc>
        <w:tc>
          <w:tcPr>
            <w:tcW w:type="dxa" w:w="3427"/>
            <w:vAlign w:val="center"/>
            <w:cantSplit/>
          </w:tcPr>
          <w:p>
            <w:pPr>
              <w:jc w:val="center"/>
            </w:pPr>
            <w:r>
              <w:rPr>
                <w:rFonts w:ascii="Times New Roman" w:hAnsi="Times New Roman" w:eastAsia="宋体"/>
                <w:sz w:val="14"/>
              </w:rPr>
              <w:t>5</w:t>
            </w:r>
          </w:p>
        </w:tc>
      </w:tr>
      <w:tr>
        <w:tc>
          <w:tcPr>
            <w:tcW w:type="dxa" w:w="3427"/>
            <w:vAlign w:val="center"/>
            <w:cantSplit/>
          </w:tcPr>
          <w:p>
            <w:pPr>
              <w:jc w:val="center"/>
            </w:pPr>
            <w:r>
              <w:rPr>
                <w:rFonts w:ascii="Times New Roman" w:hAnsi="Times New Roman" w:eastAsia="宋体"/>
                <w:sz w:val="14"/>
              </w:rPr>
              <w:t>θ</w:t>
            </w:r>
          </w:p>
        </w:tc>
        <w:tc>
          <w:tcPr>
            <w:tcW w:type="dxa" w:w="3427"/>
            <w:vAlign w:val="center"/>
            <w:cantSplit/>
          </w:tcPr>
          <w:p>
            <w:pPr>
              <w:jc w:val="center"/>
            </w:pPr>
            <w:r>
              <w:rPr>
                <w:rFonts w:ascii="Times New Roman" w:hAnsi="Times New Roman" w:eastAsia="宋体"/>
                <w:sz w:val="14"/>
              </w:rPr>
              <w:t>共识阈值(接受/拒绝)</w:t>
            </w:r>
          </w:p>
        </w:tc>
        <w:tc>
          <w:tcPr>
            <w:tcW w:type="dxa" w:w="3427"/>
            <w:vAlign w:val="center"/>
            <w:cantSplit/>
          </w:tcPr>
          <w:p>
            <w:pPr>
              <w:jc w:val="center"/>
            </w:pPr>
            <w:r>
              <w:rPr>
                <w:rFonts w:ascii="Times New Roman" w:hAnsi="Times New Roman" w:eastAsia="宋体"/>
                <w:sz w:val="14"/>
              </w:rPr>
              <w:t>0.70 (NORMAL) / 0.75 (CRITICAL)</w:t>
            </w:r>
          </w:p>
        </w:tc>
      </w:tr>
      <w:tr>
        <w:tc>
          <w:tcPr>
            <w:tcW w:type="dxa" w:w="3427"/>
            <w:vAlign w:val="center"/>
            <w:cantSplit/>
          </w:tcPr>
          <w:p>
            <w:pPr>
              <w:jc w:val="center"/>
            </w:pPr>
            <w:r>
              <w:rPr>
                <w:rFonts w:ascii="Times New Roman" w:hAnsi="Times New Roman" w:eastAsia="宋体"/>
                <w:sz w:val="14"/>
              </w:rPr>
              <w:t>θ_arb</w:t>
            </w:r>
          </w:p>
        </w:tc>
        <w:tc>
          <w:tcPr>
            <w:tcW w:type="dxa" w:w="3427"/>
            <w:vAlign w:val="center"/>
            <w:cantSplit/>
          </w:tcPr>
          <w:p>
            <w:pPr>
              <w:jc w:val="center"/>
            </w:pPr>
            <w:r>
              <w:rPr>
                <w:rFonts w:ascii="Times New Roman" w:hAnsi="Times New Roman" w:eastAsia="宋体"/>
                <w:sz w:val="14"/>
              </w:rPr>
              <w:t>仲裁共识阈值</w:t>
            </w:r>
          </w:p>
        </w:tc>
        <w:tc>
          <w:tcPr>
            <w:tcW w:type="dxa" w:w="3427"/>
            <w:vAlign w:val="center"/>
            <w:cantSplit/>
          </w:tcPr>
          <w:p>
            <w:pPr>
              <w:jc w:val="center"/>
            </w:pPr>
            <w:r>
              <w:rPr>
                <w:rFonts w:ascii="Times New Roman" w:hAnsi="Times New Roman" w:eastAsia="宋体"/>
                <w:sz w:val="14"/>
              </w:rPr>
              <w:t>0.75</w:t>
            </w:r>
          </w:p>
        </w:tc>
      </w:tr>
      <w:tr>
        <w:tc>
          <w:tcPr>
            <w:tcW w:type="dxa" w:w="3427"/>
            <w:vAlign w:val="center"/>
            <w:cantSplit/>
          </w:tcPr>
          <w:p>
            <w:pPr>
              <w:jc w:val="center"/>
            </w:pPr>
            <w:r>
              <w:rPr>
                <w:rFonts w:ascii="Times New Roman" w:hAnsi="Times New Roman" w:eastAsia="宋体"/>
                <w:sz w:val="14"/>
              </w:rPr>
              <w:t>θ_min</w:t>
            </w:r>
          </w:p>
        </w:tc>
        <w:tc>
          <w:tcPr>
            <w:tcW w:type="dxa" w:w="3427"/>
            <w:vAlign w:val="center"/>
            <w:cantSplit/>
          </w:tcPr>
          <w:p>
            <w:pPr>
              <w:jc w:val="center"/>
            </w:pPr>
            <w:r>
              <w:rPr>
                <w:rFonts w:ascii="Times New Roman" w:hAnsi="Times New Roman" w:eastAsia="宋体"/>
                <w:sz w:val="14"/>
              </w:rPr>
              <w:t>入选最低信誉阈值</w:t>
            </w:r>
          </w:p>
        </w:tc>
        <w:tc>
          <w:tcPr>
            <w:tcW w:type="dxa" w:w="3427"/>
            <w:vAlign w:val="center"/>
            <w:cantSplit/>
          </w:tcPr>
          <w:p>
            <w:pPr>
              <w:jc w:val="center"/>
            </w:pPr>
            <w:r>
              <w:rPr>
                <w:rFonts w:ascii="Times New Roman" w:hAnsi="Times New Roman" w:eastAsia="宋体"/>
                <w:sz w:val="14"/>
              </w:rPr>
              <w:t>应用层设定</w:t>
            </w:r>
          </w:p>
        </w:tc>
      </w:tr>
      <w:tr>
        <w:tc>
          <w:tcPr>
            <w:tcW w:type="dxa" w:w="3427"/>
            <w:vAlign w:val="center"/>
            <w:cantSplit/>
          </w:tcPr>
          <w:p>
            <w:pPr>
              <w:jc w:val="center"/>
            </w:pPr>
            <w:r>
              <w:rPr>
                <w:rFonts w:ascii="Times New Roman" w:hAnsi="Times New Roman" w:eastAsia="宋体"/>
                <w:sz w:val="14"/>
              </w:rPr>
              <w:t>rep_i</w:t>
            </w:r>
          </w:p>
        </w:tc>
        <w:tc>
          <w:tcPr>
            <w:tcW w:type="dxa" w:w="3427"/>
            <w:vAlign w:val="center"/>
            <w:cantSplit/>
          </w:tcPr>
          <w:p>
            <w:pPr>
              <w:jc w:val="center"/>
            </w:pPr>
            <w:r>
              <w:rPr>
                <w:rFonts w:ascii="Times New Roman" w:hAnsi="Times New Roman" w:eastAsia="宋体"/>
                <w:sz w:val="14"/>
              </w:rPr>
              <w:t>智能体 i 的信誉</w:t>
            </w:r>
          </w:p>
        </w:tc>
        <w:tc>
          <w:tcPr>
            <w:tcW w:type="dxa" w:w="3427"/>
            <w:vAlign w:val="center"/>
            <w:cantSplit/>
          </w:tcPr>
          <w:p>
            <w:pPr>
              <w:jc w:val="center"/>
            </w:pPr>
            <w:r>
              <w:rPr>
                <w:rFonts w:ascii="Times New Roman" w:hAnsi="Times New Roman" w:eastAsia="宋体"/>
                <w:sz w:val="14"/>
              </w:rPr>
              <w:t>[rep_min, rep_max]</w:t>
            </w:r>
          </w:p>
        </w:tc>
      </w:tr>
      <w:tr>
        <w:tc>
          <w:tcPr>
            <w:tcW w:type="dxa" w:w="3427"/>
            <w:vAlign w:val="center"/>
            <w:cantSplit/>
          </w:tcPr>
          <w:p>
            <w:pPr>
              <w:jc w:val="center"/>
            </w:pPr>
            <w:r>
              <w:rPr>
                <w:rFonts w:ascii="Times New Roman" w:hAnsi="Times New Roman" w:eastAsia="宋体"/>
                <w:sz w:val="14"/>
              </w:rPr>
              <w:t>conf_i</w:t>
            </w:r>
          </w:p>
        </w:tc>
        <w:tc>
          <w:tcPr>
            <w:tcW w:type="dxa" w:w="3427"/>
            <w:vAlign w:val="center"/>
            <w:cantSplit/>
          </w:tcPr>
          <w:p>
            <w:pPr>
              <w:jc w:val="center"/>
            </w:pPr>
            <w:r>
              <w:rPr>
                <w:rFonts w:ascii="Times New Roman" w:hAnsi="Times New Roman" w:eastAsia="宋体"/>
                <w:sz w:val="14"/>
              </w:rPr>
              <w:t>智能体 i 揭示的置信度</w:t>
            </w:r>
          </w:p>
        </w:tc>
        <w:tc>
          <w:tcPr>
            <w:tcW w:type="dxa" w:w="3427"/>
            <w:vAlign w:val="center"/>
            <w:cantSplit/>
          </w:tcPr>
          <w:p>
            <w:pPr>
              <w:jc w:val="center"/>
            </w:pPr>
            <w:r>
              <w:rPr>
                <w:rFonts w:ascii="Times New Roman" w:hAnsi="Times New Roman" w:eastAsia="宋体"/>
                <w:sz w:val="14"/>
              </w:rPr>
              <w:t>[0, 1]</w:t>
            </w:r>
          </w:p>
        </w:tc>
      </w:tr>
      <w:tr>
        <w:tc>
          <w:tcPr>
            <w:tcW w:type="dxa" w:w="3427"/>
            <w:vAlign w:val="center"/>
            <w:cantSplit/>
          </w:tcPr>
          <w:p>
            <w:pPr>
              <w:jc w:val="center"/>
            </w:pPr>
            <w:r>
              <w:rPr>
                <w:rFonts w:ascii="Times New Roman" w:hAnsi="Times New Roman" w:eastAsia="宋体"/>
                <w:sz w:val="14"/>
              </w:rPr>
              <w:t>w_i</w:t>
            </w:r>
          </w:p>
        </w:tc>
        <w:tc>
          <w:tcPr>
            <w:tcW w:type="dxa" w:w="3427"/>
            <w:vAlign w:val="center"/>
            <w:cantSplit/>
          </w:tcPr>
          <w:p>
            <w:pPr>
              <w:jc w:val="center"/>
            </w:pPr>
            <w:r>
              <w:rPr>
                <w:rFonts w:ascii="Times New Roman" w:hAnsi="Times New Roman" w:eastAsia="宋体"/>
                <w:sz w:val="14"/>
              </w:rPr>
              <w:t>投票权重 = rep_i × conf_i</w:t>
            </w:r>
          </w:p>
        </w:tc>
        <w:tc>
          <w:tcPr>
            <w:tcW w:type="dxa" w:w="3427"/>
            <w:vAlign w:val="center"/>
            <w:cantSplit/>
          </w:tcPr>
          <w:p>
            <w:pPr>
              <w:jc w:val="center"/>
            </w:pPr>
            <w:r>
              <w:rPr>
                <w:rFonts w:ascii="Times New Roman" w:hAnsi="Times New Roman" w:eastAsia="宋体"/>
                <w:sz w:val="14"/>
              </w:rPr>
              <w:t>式(1)</w:t>
            </w:r>
          </w:p>
        </w:tc>
      </w:tr>
      <w:tr>
        <w:tc>
          <w:tcPr>
            <w:tcW w:type="dxa" w:w="3427"/>
            <w:vAlign w:val="center"/>
            <w:cantSplit/>
          </w:tcPr>
          <w:p>
            <w:pPr>
              <w:jc w:val="center"/>
            </w:pPr>
            <w:r>
              <w:rPr>
                <w:rFonts w:ascii="Times New Roman" w:hAnsi="Times New Roman" w:eastAsia="宋体"/>
                <w:sz w:val="14"/>
              </w:rPr>
              <w:t>w_max / w_min</w:t>
            </w:r>
          </w:p>
        </w:tc>
        <w:tc>
          <w:tcPr>
            <w:tcW w:type="dxa" w:w="3427"/>
            <w:vAlign w:val="center"/>
            <w:cantSplit/>
          </w:tcPr>
          <w:p>
            <w:pPr>
              <w:jc w:val="center"/>
            </w:pPr>
            <w:r>
              <w:rPr>
                <w:rFonts w:ascii="Times New Roman" w:hAnsi="Times New Roman" w:eastAsia="宋体"/>
                <w:sz w:val="14"/>
              </w:rPr>
              <w:t>单体最大/最小权重</w:t>
            </w:r>
          </w:p>
        </w:tc>
        <w:tc>
          <w:tcPr>
            <w:tcW w:type="dxa" w:w="3427"/>
            <w:vAlign w:val="center"/>
            <w:cantSplit/>
          </w:tcPr>
          <w:p>
            <w:pPr>
              <w:jc w:val="center"/>
            </w:pPr>
            <w:r>
              <w:rPr>
                <w:rFonts w:ascii="Times New Roman" w:hAnsi="Times New Roman" w:eastAsia="宋体"/>
                <w:sz w:val="14"/>
              </w:rPr>
              <w:t>w_max / w_min ≤ 2</w:t>
            </w:r>
          </w:p>
        </w:tc>
      </w:tr>
      <w:tr>
        <w:tc>
          <w:tcPr>
            <w:tcW w:type="dxa" w:w="3427"/>
            <w:vAlign w:val="center"/>
            <w:cantSplit/>
          </w:tcPr>
          <w:p>
            <w:pPr>
              <w:jc w:val="center"/>
            </w:pPr>
            <w:r>
              <w:rPr>
                <w:rFonts w:ascii="Times New Roman" w:hAnsi="Times New Roman" w:eastAsia="宋体"/>
                <w:sz w:val="14"/>
              </w:rPr>
              <w:t>c_min</w:t>
            </w:r>
          </w:p>
        </w:tc>
        <w:tc>
          <w:tcPr>
            <w:tcW w:type="dxa" w:w="3427"/>
            <w:vAlign w:val="center"/>
            <w:cantSplit/>
          </w:tcPr>
          <w:p>
            <w:pPr>
              <w:jc w:val="center"/>
            </w:pPr>
            <w:r>
              <w:rPr>
                <w:rFonts w:ascii="Times New Roman" w:hAnsi="Times New Roman" w:eastAsia="宋体"/>
                <w:sz w:val="14"/>
              </w:rPr>
              <w:t>最低诚实置信度</w:t>
            </w:r>
          </w:p>
        </w:tc>
        <w:tc>
          <w:tcPr>
            <w:tcW w:type="dxa" w:w="3427"/>
            <w:vAlign w:val="center"/>
            <w:cantSplit/>
          </w:tcPr>
          <w:p>
            <w:pPr>
              <w:jc w:val="center"/>
            </w:pPr>
            <w:r>
              <w:rPr>
                <w:rFonts w:ascii="Times New Roman" w:hAnsi="Times New Roman" w:eastAsia="宋体"/>
                <w:sz w:val="14"/>
              </w:rPr>
              <w:t>0.6</w:t>
            </w:r>
          </w:p>
        </w:tc>
      </w:tr>
      <w:tr>
        <w:tc>
          <w:tcPr>
            <w:tcW w:type="dxa" w:w="3427"/>
            <w:vAlign w:val="center"/>
            <w:cantSplit/>
          </w:tcPr>
          <w:p>
            <w:pPr>
              <w:jc w:val="center"/>
            </w:pPr>
            <w:r>
              <w:rPr>
                <w:rFonts w:ascii="Times New Roman" w:hAnsi="Times New Roman" w:eastAsia="宋体"/>
                <w:sz w:val="14"/>
              </w:rPr>
              <w:t>Ratio</w:t>
            </w:r>
          </w:p>
        </w:tc>
        <w:tc>
          <w:tcPr>
            <w:tcW w:type="dxa" w:w="3427"/>
            <w:vAlign w:val="center"/>
            <w:cantSplit/>
          </w:tcPr>
          <w:p>
            <w:pPr>
              <w:jc w:val="center"/>
            </w:pPr>
            <w:r>
              <w:rPr>
                <w:rFonts w:ascii="Times New Roman" w:hAnsi="Times New Roman" w:eastAsia="宋体"/>
                <w:sz w:val="14"/>
              </w:rPr>
              <w:t>加权接受比率</w:t>
            </w:r>
          </w:p>
        </w:tc>
        <w:tc>
          <w:tcPr>
            <w:tcW w:type="dxa" w:w="3427"/>
            <w:vAlign w:val="center"/>
            <w:cantSplit/>
          </w:tcPr>
          <w:p>
            <w:pPr>
              <w:jc w:val="center"/>
            </w:pPr>
            <w:r>
              <w:rPr>
                <w:rFonts w:ascii="Times New Roman" w:hAnsi="Times New Roman" w:eastAsia="宋体"/>
                <w:sz w:val="14"/>
              </w:rPr>
              <w:t>式(2)</w:t>
            </w:r>
          </w:p>
        </w:tc>
      </w:tr>
      <w:tr>
        <w:tc>
          <w:tcPr>
            <w:tcW w:type="dxa" w:w="3427"/>
            <w:vAlign w:val="center"/>
            <w:cantSplit/>
          </w:tcPr>
          <w:p>
            <w:pPr>
              <w:jc w:val="center"/>
            </w:pPr>
            <w:r>
              <w:rPr>
                <w:rFonts w:ascii="Times New Roman" w:hAnsi="Times New Roman" w:eastAsia="宋体"/>
                <w:sz w:val="14"/>
              </w:rPr>
              <w:t>α₁ … α₅</w:t>
            </w:r>
          </w:p>
        </w:tc>
        <w:tc>
          <w:tcPr>
            <w:tcW w:type="dxa" w:w="3427"/>
            <w:vAlign w:val="center"/>
            <w:cantSplit/>
          </w:tcPr>
          <w:p>
            <w:pPr>
              <w:jc w:val="center"/>
            </w:pPr>
            <w:r>
              <w:rPr>
                <w:rFonts w:ascii="Times New Roman" w:hAnsi="Times New Roman" w:eastAsia="宋体"/>
                <w:sz w:val="14"/>
              </w:rPr>
              <w:t>对齐评分参数(非对称)</w:t>
            </w:r>
          </w:p>
        </w:tc>
        <w:tc>
          <w:tcPr>
            <w:tcW w:type="dxa" w:w="3427"/>
            <w:vAlign w:val="center"/>
            <w:cantSplit/>
          </w:tcPr>
          <w:p>
            <w:pPr>
              <w:jc w:val="center"/>
            </w:pPr>
            <w:r>
              <w:rPr>
                <w:rFonts w:ascii="Times New Roman" w:hAnsi="Times New Roman" w:eastAsia="宋体"/>
                <w:sz w:val="14"/>
              </w:rPr>
              <w:t>1.0 / 0.5 / 0.3 / 1.5 / 2.0</w:t>
            </w:r>
          </w:p>
        </w:tc>
      </w:tr>
      <w:tr>
        <w:tc>
          <w:tcPr>
            <w:tcW w:type="dxa" w:w="3427"/>
            <w:vAlign w:val="center"/>
            <w:cantSplit/>
          </w:tcPr>
          <w:p>
            <w:pPr>
              <w:jc w:val="center"/>
            </w:pPr>
            <w:r>
              <w:rPr>
                <w:rFonts w:ascii="Times New Roman" w:hAnsi="Times New Roman" w:eastAsia="宋体"/>
                <w:sz w:val="14"/>
              </w:rPr>
              <w:t>λ_r</w:t>
            </w:r>
          </w:p>
        </w:tc>
        <w:tc>
          <w:tcPr>
            <w:tcW w:type="dxa" w:w="3427"/>
            <w:vAlign w:val="center"/>
            <w:cantSplit/>
          </w:tcPr>
          <w:p>
            <w:pPr>
              <w:jc w:val="center"/>
            </w:pPr>
            <w:r>
              <w:rPr>
                <w:rFonts w:ascii="Times New Roman" w:hAnsi="Times New Roman" w:eastAsia="宋体"/>
                <w:sz w:val="14"/>
              </w:rPr>
              <w:t>风险缩放因子</w:t>
            </w:r>
          </w:p>
        </w:tc>
        <w:tc>
          <w:tcPr>
            <w:tcW w:type="dxa" w:w="3427"/>
            <w:vAlign w:val="center"/>
            <w:cantSplit/>
          </w:tcPr>
          <w:p>
            <w:pPr>
              <w:jc w:val="center"/>
            </w:pPr>
            <w:r>
              <w:rPr>
                <w:rFonts w:ascii="Times New Roman" w:hAnsi="Times New Roman" w:eastAsia="宋体"/>
                <w:sz w:val="14"/>
              </w:rPr>
              <w:t>1.0 (NORMAL) / 1.5 (CRITICAL)</w:t>
            </w:r>
          </w:p>
        </w:tc>
      </w:tr>
      <w:tr>
        <w:tc>
          <w:tcPr>
            <w:tcW w:type="dxa" w:w="3427"/>
            <w:vAlign w:val="center"/>
            <w:cantSplit/>
          </w:tcPr>
          <w:p>
            <w:pPr>
              <w:jc w:val="center"/>
            </w:pPr>
            <w:r>
              <w:rPr>
                <w:rFonts w:ascii="Times New Roman" w:hAnsi="Times New Roman" w:eastAsia="宋体"/>
                <w:sz w:val="14"/>
              </w:rPr>
              <w:t>decay</w:t>
            </w:r>
          </w:p>
        </w:tc>
        <w:tc>
          <w:tcPr>
            <w:tcW w:type="dxa" w:w="3427"/>
            <w:vAlign w:val="center"/>
            <w:cantSplit/>
          </w:tcPr>
          <w:p>
            <w:pPr>
              <w:jc w:val="center"/>
            </w:pPr>
            <w:r>
              <w:rPr>
                <w:rFonts w:ascii="Times New Roman" w:hAnsi="Times New Roman" w:eastAsia="宋体"/>
                <w:sz w:val="14"/>
              </w:rPr>
              <w:t>信誉衰减系数</w:t>
            </w:r>
          </w:p>
        </w:tc>
        <w:tc>
          <w:tcPr>
            <w:tcW w:type="dxa" w:w="3427"/>
            <w:vAlign w:val="center"/>
            <w:cantSplit/>
          </w:tcPr>
          <w:p>
            <w:pPr>
              <w:jc w:val="center"/>
            </w:pPr>
            <w:r>
              <w:rPr>
                <w:rFonts w:ascii="Times New Roman" w:hAnsi="Times New Roman" w:eastAsia="宋体"/>
                <w:sz w:val="14"/>
              </w:rPr>
              <w:t>0.98</w:t>
            </w:r>
          </w:p>
        </w:tc>
      </w:tr>
      <w:tr>
        <w:tc>
          <w:tcPr>
            <w:tcW w:type="dxa" w:w="3427"/>
            <w:vAlign w:val="center"/>
            <w:cantSplit/>
          </w:tcPr>
          <w:p>
            <w:pPr>
              <w:jc w:val="center"/>
            </w:pPr>
            <w:r>
              <w:rPr>
                <w:rFonts w:ascii="Times New Roman" w:hAnsi="Times New Roman" w:eastAsia="宋体"/>
                <w:sz w:val="14"/>
              </w:rPr>
              <w:t>σ²_max</w:t>
            </w:r>
          </w:p>
        </w:tc>
        <w:tc>
          <w:tcPr>
            <w:tcW w:type="dxa" w:w="3427"/>
            <w:vAlign w:val="center"/>
            <w:cantSplit/>
          </w:tcPr>
          <w:p>
            <w:pPr>
              <w:jc w:val="center"/>
            </w:pPr>
            <w:r>
              <w:rPr>
                <w:rFonts w:ascii="Times New Roman" w:hAnsi="Times New Roman" w:eastAsia="宋体"/>
                <w:sz w:val="14"/>
              </w:rPr>
              <w:t>对齐方差异常阈值(观察期触发)</w:t>
            </w:r>
          </w:p>
        </w:tc>
        <w:tc>
          <w:tcPr>
            <w:tcW w:type="dxa" w:w="3427"/>
            <w:vAlign w:val="center"/>
            <w:cantSplit/>
          </w:tcPr>
          <w:p>
            <w:pPr>
              <w:jc w:val="center"/>
            </w:pPr>
            <w:r>
              <w:rPr>
                <w:rFonts w:ascii="Times New Roman" w:hAnsi="Times New Roman" w:eastAsia="宋体"/>
                <w:sz w:val="14"/>
              </w:rPr>
              <w:t>经验设定</w:t>
            </w:r>
          </w:p>
        </w:tc>
      </w:tr>
      <w:tr>
        <w:tc>
          <w:tcPr>
            <w:tcW w:type="dxa" w:w="3427"/>
            <w:vAlign w:val="center"/>
            <w:cantSplit/>
          </w:tcPr>
          <w:p>
            <w:pPr>
              <w:jc w:val="center"/>
            </w:pPr>
            <w:r>
              <w:rPr>
                <w:rFonts w:ascii="Times New Roman" w:hAnsi="Times New Roman" w:eastAsia="宋体"/>
                <w:sz w:val="14"/>
              </w:rPr>
              <w:t>m</w:t>
            </w:r>
          </w:p>
        </w:tc>
        <w:tc>
          <w:tcPr>
            <w:tcW w:type="dxa" w:w="3427"/>
            <w:vAlign w:val="center"/>
            <w:cantSplit/>
          </w:tcPr>
          <w:p>
            <w:pPr>
              <w:jc w:val="center"/>
            </w:pPr>
            <w:r>
              <w:rPr>
                <w:rFonts w:ascii="Times New Roman" w:hAnsi="Times New Roman" w:eastAsia="宋体"/>
                <w:sz w:val="14"/>
              </w:rPr>
              <w:t>串通检测最小共同参与任务数</w:t>
            </w:r>
          </w:p>
        </w:tc>
        <w:tc>
          <w:tcPr>
            <w:tcW w:type="dxa" w:w="3427"/>
            <w:vAlign w:val="center"/>
            <w:cantSplit/>
          </w:tcPr>
          <w:p>
            <w:pPr>
              <w:jc w:val="center"/>
            </w:pPr>
            <w:r>
              <w:rPr>
                <w:rFonts w:ascii="Times New Roman" w:hAnsi="Times New Roman" w:eastAsia="宋体"/>
                <w:sz w:val="14"/>
              </w:rPr>
              <w:t>50</w:t>
            </w:r>
          </w:p>
        </w:tc>
      </w:tr>
      <w:tr>
        <w:tc>
          <w:tcPr>
            <w:tcW w:type="dxa" w:w="3427"/>
            <w:vAlign w:val="center"/>
            <w:cantSplit/>
          </w:tcPr>
          <w:p>
            <w:pPr>
              <w:jc w:val="center"/>
            </w:pPr>
            <w:r>
              <w:rPr>
                <w:rFonts w:ascii="Times New Roman" w:hAnsi="Times New Roman" w:eastAsia="宋体"/>
                <w:sz w:val="14"/>
              </w:rPr>
              <w:t>ρ_max</w:t>
            </w:r>
          </w:p>
        </w:tc>
        <w:tc>
          <w:tcPr>
            <w:tcW w:type="dxa" w:w="3427"/>
            <w:vAlign w:val="center"/>
            <w:cantSplit/>
          </w:tcPr>
          <w:p>
            <w:pPr>
              <w:jc w:val="center"/>
            </w:pPr>
            <w:r>
              <w:rPr>
                <w:rFonts w:ascii="Times New Roman" w:hAnsi="Times New Roman" w:eastAsia="宋体"/>
                <w:sz w:val="14"/>
              </w:rPr>
              <w:t>串通判定相关性阈值</w:t>
            </w:r>
          </w:p>
        </w:tc>
        <w:tc>
          <w:tcPr>
            <w:tcW w:type="dxa" w:w="3427"/>
            <w:vAlign w:val="center"/>
            <w:cantSplit/>
          </w:tcPr>
          <w:p>
            <w:pPr>
              <w:jc w:val="center"/>
            </w:pPr>
            <w:r>
              <w:rPr>
                <w:rFonts w:ascii="Times New Roman" w:hAnsi="Times New Roman" w:eastAsia="宋体"/>
                <w:sz w:val="14"/>
              </w:rPr>
              <w:t>0.9</w:t>
            </w:r>
          </w:p>
        </w:tc>
      </w:tr>
      <w:tr>
        <w:tc>
          <w:tcPr>
            <w:tcW w:type="dxa" w:w="3427"/>
            <w:vAlign w:val="center"/>
            <w:cantSplit/>
          </w:tcPr>
          <w:p>
            <w:pPr>
              <w:jc w:val="center"/>
            </w:pPr>
            <w:r>
              <w:rPr>
                <w:rFonts w:ascii="Times New Roman" w:hAnsi="Times New Roman" w:eastAsia="宋体"/>
                <w:sz w:val="14"/>
              </w:rPr>
              <w:t>L_max</w:t>
            </w:r>
          </w:p>
        </w:tc>
        <w:tc>
          <w:tcPr>
            <w:tcW w:type="dxa" w:w="3427"/>
            <w:vAlign w:val="center"/>
            <w:cantSplit/>
          </w:tcPr>
          <w:p>
            <w:pPr>
              <w:jc w:val="center"/>
            </w:pPr>
            <w:r>
              <w:rPr>
                <w:rFonts w:ascii="Times New Roman" w:hAnsi="Times New Roman" w:eastAsia="宋体"/>
                <w:sz w:val="14"/>
              </w:rPr>
              <w:t>单体最大并发任务数</w:t>
            </w:r>
          </w:p>
        </w:tc>
        <w:tc>
          <w:tcPr>
            <w:tcW w:type="dxa" w:w="3427"/>
            <w:vAlign w:val="center"/>
            <w:cantSplit/>
          </w:tcPr>
          <w:p>
            <w:pPr>
              <w:jc w:val="center"/>
            </w:pPr>
            <w:r>
              <w:rPr>
                <w:rFonts w:ascii="Times New Roman" w:hAnsi="Times New Roman" w:eastAsia="宋体"/>
                <w:sz w:val="14"/>
              </w:rPr>
              <w:t>应用层设定</w:t>
            </w:r>
          </w:p>
        </w:tc>
      </w:tr>
      <w:tr>
        <w:tc>
          <w:tcPr>
            <w:tcW w:type="dxa" w:w="3427"/>
            <w:vAlign w:val="center"/>
            <w:cantSplit/>
          </w:tcPr>
          <w:p>
            <w:pPr>
              <w:jc w:val="center"/>
            </w:pPr>
            <w:r>
              <w:rPr>
                <w:rFonts w:ascii="Times New Roman" w:hAnsi="Times New Roman" w:eastAsia="宋体"/>
                <w:sz w:val="14"/>
              </w:rPr>
              <w:t>q</w:t>
            </w:r>
          </w:p>
        </w:tc>
        <w:tc>
          <w:tcPr>
            <w:tcW w:type="dxa" w:w="3427"/>
            <w:vAlign w:val="center"/>
            <w:cantSplit/>
          </w:tcPr>
          <w:p>
            <w:pPr>
              <w:jc w:val="center"/>
            </w:pPr>
            <w:r>
              <w:rPr>
                <w:rFonts w:ascii="Times New Roman" w:hAnsi="Times New Roman" w:eastAsia="宋体"/>
                <w:sz w:val="14"/>
              </w:rPr>
              <w:t>证据有效的先验概率</w:t>
            </w:r>
          </w:p>
        </w:tc>
        <w:tc>
          <w:tcPr>
            <w:tcW w:type="dxa" w:w="3427"/>
            <w:vAlign w:val="center"/>
            <w:cantSplit/>
          </w:tcPr>
          <w:p>
            <w:pPr>
              <w:jc w:val="center"/>
            </w:pPr>
            <w:r>
              <w:rPr>
                <w:rFonts w:ascii="Times New Roman" w:hAnsi="Times New Roman" w:eastAsia="宋体"/>
                <w:sz w:val="14"/>
              </w:rPr>
              <w:t>0.8</w:t>
            </w:r>
          </w:p>
        </w:tc>
      </w:tr>
      <w:tr>
        <w:tc>
          <w:tcPr>
            <w:tcW w:type="dxa" w:w="3427"/>
            <w:vAlign w:val="center"/>
            <w:cantSplit/>
          </w:tcPr>
          <w:p>
            <w:pPr>
              <w:jc w:val="center"/>
            </w:pPr>
            <w:r>
              <w:rPr>
                <w:rFonts w:ascii="Times New Roman" w:hAnsi="Times New Roman" w:eastAsia="宋体"/>
                <w:sz w:val="14"/>
              </w:rPr>
              <w:t>p_i</w:t>
            </w:r>
          </w:p>
        </w:tc>
        <w:tc>
          <w:tcPr>
            <w:tcW w:type="dxa" w:w="3427"/>
            <w:vAlign w:val="center"/>
            <w:cantSplit/>
          </w:tcPr>
          <w:p>
            <w:pPr>
              <w:jc w:val="center"/>
            </w:pPr>
            <w:r>
              <w:rPr>
                <w:rFonts w:ascii="Times New Roman" w:hAnsi="Times New Roman" w:eastAsia="宋体"/>
                <w:sz w:val="14"/>
              </w:rPr>
              <w:t>智能体 i 的验证错误率</w:t>
            </w:r>
          </w:p>
        </w:tc>
        <w:tc>
          <w:tcPr>
            <w:tcW w:type="dxa" w:w="3427"/>
            <w:vAlign w:val="center"/>
            <w:cantSplit/>
          </w:tcPr>
          <w:p>
            <w:pPr>
              <w:jc w:val="center"/>
            </w:pPr>
            <w:r>
              <w:rPr>
                <w:rFonts w:ascii="Times New Roman" w:hAnsi="Times New Roman" w:eastAsia="宋体"/>
                <w:sz w:val="14"/>
              </w:rPr>
              <w:t>由类型决定</w:t>
            </w:r>
          </w:p>
        </w:tc>
      </w:tr>
    </w:tbl>
    <w:p>
      <w:pPr>
        <w:pStyle w:val="Heading1"/>
      </w:pPr>
      <w:r>
        <w:t>IV. 协议设计</w:t>
      </w:r>
    </w:p>
    <w:p>
      <w:r>
        <w:rPr>
          <w:rFonts w:ascii="Times New Roman" w:hAnsi="Times New Roman" w:eastAsia="宋体"/>
          <w:sz w:val="20"/>
        </w:rPr>
        <w:t>本节介绍原型采用的五阶段协议：证据收集、确定性预验证、密封语义执行、加权聚合和按需仲裁。除最终结果与审计摘要外，各阶段消息均由链下协调服务处理；完整消息、签名和权重向量被序列化为审计包。</w:t>
      </w:r>
    </w:p>
    <w:p>
      <w:pPr>
        <w:pStyle w:val="Heading2"/>
      </w:pPr>
      <w:r>
        <w:t>A. 调用任务模型</w:t>
      </w:r>
    </w:p>
    <w:p>
      <w:r>
        <w:rPr>
          <w:rFonts w:ascii="Times New Roman" w:hAnsi="Times New Roman" w:eastAsia="宋体"/>
          <w:sz w:val="20"/>
        </w:rPr>
        <w:t xml:space="preserve">业务合约发起的跨链语义查询由链下协调服务封装为调用任务 </w:t>
      </w:r>
      <w:r>
        <w:rPr>
          <w:rFonts w:ascii="Courier New" w:hAnsi="Courier New" w:eastAsia="宋体"/>
          <w:sz w:val="18"/>
        </w:rPr>
        <w:t>T_inv</w:t>
      </w:r>
      <w:r>
        <w:rPr>
          <w:rFonts w:ascii="Times New Roman" w:hAnsi="Times New Roman" w:eastAsia="宋体"/>
          <w:sz w:val="20"/>
        </w:rPr>
        <w:t>，并与链上调用标识绑定：</w:t>
      </w:r>
    </w:p>
    <w:p>
      <w:pPr>
        <w:pStyle w:val="CodeBlock"/>
        <w:keepLines/>
        <w:shd w:fill="F2F2F2"/>
      </w:pPr>
      <w:r>
        <w:rPr>
          <w:rFonts w:ascii="Courier New" w:hAnsi="Courier New" w:eastAsia="宋体"/>
          <w:sz w:val="16"/>
        </w:rPr>
        <w:t>T_inv = (id, caller, src, task_spec, evidence_spec, risk, deadline, status)</w:t>
      </w:r>
    </w:p>
    <w:p>
      <w:r>
        <w:rPr>
          <w:rFonts w:ascii="Courier New" w:hAnsi="Courier New" w:eastAsia="宋体"/>
          <w:sz w:val="18"/>
        </w:rPr>
        <w:t>id/caller/src</w:t>
      </w:r>
      <w:r>
        <w:rPr>
          <w:rFonts w:ascii="Times New Roman" w:hAnsi="Times New Roman" w:eastAsia="宋体"/>
          <w:sz w:val="20"/>
        </w:rPr>
        <w:t xml:space="preserve"> 标识任务与调用两端，</w:t>
      </w:r>
      <w:r>
        <w:rPr>
          <w:rFonts w:ascii="Courier New" w:hAnsi="Courier New" w:eastAsia="宋体"/>
          <w:sz w:val="18"/>
        </w:rPr>
        <w:t>task_spec/evidence_spec</w:t>
      </w:r>
      <w:r>
        <w:rPr>
          <w:rFonts w:ascii="Times New Roman" w:hAnsi="Times New Roman" w:eastAsia="宋体"/>
          <w:sz w:val="20"/>
        </w:rPr>
        <w:t xml:space="preserve"> 定义语义谓词和证据，</w:t>
      </w:r>
      <w:r>
        <w:rPr>
          <w:rFonts w:ascii="Courier New" w:hAnsi="Courier New" w:eastAsia="宋体"/>
          <w:sz w:val="18"/>
        </w:rPr>
        <w:t>risk</w:t>
      </w:r>
      <w:r>
        <w:rPr>
          <w:rFonts w:ascii="Times New Roman" w:hAnsi="Times New Roman" w:eastAsia="宋体"/>
          <w:sz w:val="20"/>
        </w:rPr>
        <w:t xml:space="preserve"> 决定委员会与阈值，</w:t>
      </w:r>
      <w:r>
        <w:rPr>
          <w:rFonts w:ascii="Courier New" w:hAnsi="Courier New" w:eastAsia="宋体"/>
          <w:sz w:val="18"/>
        </w:rPr>
        <w:t>deadline/status</w:t>
      </w:r>
      <w:r>
        <w:rPr>
          <w:rFonts w:ascii="Times New Roman" w:hAnsi="Times New Roman" w:eastAsia="宋体"/>
          <w:sz w:val="20"/>
        </w:rPr>
        <w:t xml:space="preserve"> 约束生命周期。高价值或监管任务标为 </w:t>
      </w:r>
      <w:r>
        <w:rPr>
          <w:rFonts w:ascii="Courier New" w:hAnsi="Courier New" w:eastAsia="宋体"/>
          <w:sz w:val="18"/>
        </w:rPr>
        <w:t>CRITICAL</w:t>
      </w:r>
      <w:r>
        <w:rPr>
          <w:rFonts w:ascii="Times New Roman" w:hAnsi="Times New Roman" w:eastAsia="宋体"/>
          <w:sz w:val="20"/>
        </w:rPr>
        <w:t>。协议降低错误输出被接受的风险，而不让链上合约直接判定语义真值。</w:t>
      </w:r>
    </w:p>
    <w:p>
      <w:pPr>
        <w:jc w:val="center"/>
      </w:pPr>
      <w:r>
        <w:drawing>
          <wp:inline xmlns:a="http://schemas.openxmlformats.org/drawingml/2006/main" xmlns:pic="http://schemas.openxmlformats.org/drawingml/2006/picture">
            <wp:extent cx="2971800" cy="796669"/>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1"/>
                    <a:stretch>
                      <a:fillRect/>
                    </a:stretch>
                  </pic:blipFill>
                  <pic:spPr>
                    <a:xfrm>
                      <a:off x="0" y="0"/>
                      <a:ext cx="2971800" cy="796669"/>
                    </a:xfrm>
                    <a:prstGeom prst="rect"/>
                  </pic:spPr>
                </pic:pic>
              </a:graphicData>
            </a:graphic>
          </wp:inline>
        </w:drawing>
      </w:r>
    </w:p>
    <w:p>
      <w:r>
        <w:rPr>
          <w:rFonts w:ascii="Times New Roman" w:hAnsi="Times New Roman" w:eastAsia="宋体"/>
          <w:b/>
          <w:sz w:val="20"/>
        </w:rPr>
        <w:t>图 3.</w:t>
      </w:r>
      <w:r>
        <w:rPr>
          <w:rFonts w:ascii="Times New Roman" w:hAnsi="Times New Roman" w:eastAsia="宋体"/>
          <w:sz w:val="20"/>
        </w:rPr>
        <w:t xml:space="preserve"> 调用任务的生命周期状态机。乐观路径为 PENDING→COLLECTING→VERIFYING→CONFIRMED/REJECTED;当出现聚合分歧(比率落在 1−θ 与 θ 之间)、收集者证据冲突或有效揭示不足时,任务升级至 ARBITRATING(仲裁路径);各阶段超时则进入 TIMEOUT。CONFIRMED、REJECTED、TIMEOUT 为终态。</w:t>
      </w:r>
    </w:p>
    <w:p>
      <w:pPr>
        <w:pStyle w:val="Heading2"/>
      </w:pPr>
      <w:r>
        <w:t>B. 调用委员会选择</w:t>
      </w:r>
    </w:p>
    <w:p>
      <w:r>
        <w:rPr>
          <w:rFonts w:ascii="Times New Roman" w:hAnsi="Times New Roman" w:eastAsia="宋体"/>
          <w:sz w:val="20"/>
        </w:rPr>
        <w:t>任务创建后，链下协调服务通过算法 1 组建调用委员会 G，并把选择种子、候选过滤结果和最终委员会写入审计包。</w:t>
      </w:r>
    </w:p>
    <w:p>
      <w:r>
        <w:rPr>
          <w:rFonts w:ascii="Times New Roman" w:hAnsi="Times New Roman" w:eastAsia="宋体"/>
          <w:b/>
          <w:sz w:val="20"/>
        </w:rPr>
        <w:t>算法 1. 调用委员会选择（可复算种子下的信誉加权抽样）</w:t>
      </w:r>
    </w:p>
    <w:p>
      <w:pPr>
        <w:pStyle w:val="CodeBlock"/>
        <w:keepLines/>
        <w:shd w:fill="F2F2F2"/>
      </w:pPr>
      <w:r>
        <w:rPr>
          <w:rFonts w:ascii="Courier New" w:hAnsi="Courier New" w:eastAsia="宋体"/>
          <w:sz w:val="16"/>
        </w:rPr>
        <w:t>输入: 任务 T(含 src, risk), 智能体池 Pool, 信誉 rep, 信誉阈值 θ_min, 负载上限 L_max</w:t>
        <w:br/>
        <w:t>输出: 调用委员会 G (|G| = n), 收集者集合 collectors</w:t>
        <w:br/>
        <w:t xml:space="preserve"> 1: n ← 5 if risk = NORMAL else 7                         // 组大小由风险决定</w:t>
        <w:br/>
        <w:t xml:space="preserve"> 2: C ← { a ∈ Pool | rep(a) ≥ θ_min ∧ capable(a, src) ∧ load(a) &lt; L_max }</w:t>
        <w:br/>
        <w:t xml:space="preserve"> 3: seed ← H(finalized_block_hash ‖ task_id ‖ evidence_version) // 可复算随机种子</w:t>
        <w:br/>
        <w:t xml:space="preserve"> 4: G ← 以与 rep 成比例的概率, 用 seed 从 C 无放回抽取 n 个智能体</w:t>
        <w:br/>
        <w:t xml:space="preserve"> 5: while 同组织成员 &gt; ⌊n/3⌋ 或 不同策略类型数 &lt; 2 do      // 强制多样性与异构</w:t>
        <w:br/>
        <w:t xml:space="preserve"> 6:     用下一合格候选替换过度代表类别中信誉最低者</w:t>
        <w:br/>
        <w:t xml:space="preserve"> 7: collectors ← 从源链服务智能体中选 2 个(分属不同组织)</w:t>
        <w:br/>
        <w:t xml:space="preserve"> 8: return G, collectors</w:t>
      </w:r>
    </w:p>
    <w:p>
      <w:r>
        <w:rPr>
          <w:rFonts w:ascii="Times New Roman" w:hAnsi="Times New Roman" w:eastAsia="宋体"/>
          <w:sz w:val="20"/>
        </w:rPr>
        <w:t>选择种子和轨迹进入审计包以供复算。该方案不是目标链原生 VRF，其不可预测性取决于任务创建前的终局区块哈希，因此仍受底层出块随机性限制。</w:t>
      </w:r>
    </w:p>
    <w:p>
      <w:pPr>
        <w:pStyle w:val="Heading2"/>
      </w:pPr>
      <w:r>
        <w:t>C. 阶段1：证据收集</w:t>
      </w:r>
    </w:p>
    <w:p>
      <w:r>
        <w:rPr>
          <w:rFonts w:ascii="Times New Roman" w:hAnsi="Times New Roman" w:eastAsia="宋体"/>
          <w:sz w:val="20"/>
        </w:rPr>
        <w:t>两个被选中的收集智能体独立查询源链，并将结果打包为标准化证据结构：</w:t>
      </w:r>
    </w:p>
    <w:p>
      <w:pPr>
        <w:pStyle w:val="CodeBlock"/>
        <w:keepLines/>
        <w:shd w:fill="F2F2F2"/>
      </w:pPr>
      <w:r>
        <w:rPr>
          <w:rFonts w:ascii="Courier New" w:hAnsi="Courier New" w:eastAsia="宋体"/>
          <w:sz w:val="16"/>
        </w:rPr>
        <w:t>E = (block_height, state_data, merkle_proof, endorsement_signatures, timestamp)</w:t>
      </w:r>
    </w:p>
    <w:p>
      <w:r>
        <w:rPr>
          <w:rFonts w:ascii="Times New Roman" w:hAnsi="Times New Roman" w:eastAsia="宋体"/>
          <w:sz w:val="20"/>
        </w:rPr>
        <w:t>证据格式因链而异，但由适配器层进行归一化。对于Fabric，包括读写集、背书者签名和区块元数据。对于FISCO-BCOS，包括交易回执、状态证明和共识节点签名。</w:t>
      </w:r>
    </w:p>
    <w:p>
      <w:r>
        <w:rPr>
          <w:rFonts w:ascii="Times New Roman" w:hAnsi="Times New Roman" w:eastAsia="宋体"/>
          <w:sz w:val="20"/>
        </w:rPr>
        <w:t>收到两个证据包 E₁ 和 E₂ 后，链下协调服务执行确定性比较：</w:t>
      </w:r>
    </w:p>
    <w:p>
      <w:pPr>
        <w:pStyle w:val="ListBullet"/>
      </w:pPr>
      <w:r>
        <w:rPr>
          <w:rFonts w:ascii="Times New Roman" w:hAnsi="Times New Roman" w:eastAsia="宋体"/>
          <w:sz w:val="20"/>
        </w:rPr>
        <w:t>如果E₁和E₂实质相同（相同的state_data和一致的证明）：证据被接受为E = E₁，任务进入阶段2。</w:t>
      </w:r>
    </w:p>
    <w:p>
      <w:pPr>
        <w:pStyle w:val="ListBullet"/>
      </w:pPr>
      <w:r>
        <w:rPr>
          <w:rFonts w:ascii="Times New Roman" w:hAnsi="Times New Roman" w:eastAsia="宋体"/>
          <w:sz w:val="20"/>
        </w:rPr>
        <w:t>如果E₁和E₂不同：在确定性终局性下，这表明收集者故障或网络分区。任务状态直接转换为ARBITRATING，两个证据包均保留供仲裁者审查。</w:t>
      </w:r>
    </w:p>
    <w:p>
      <w:r>
        <w:rPr>
          <w:rFonts w:ascii="Times New Roman" w:hAnsi="Times New Roman" w:eastAsia="宋体"/>
          <w:sz w:val="20"/>
        </w:rPr>
        <w:t>收集阶段有超时T_collect。如果在此窗口内收到的证据包少于两个，缺失的收集者被标记为无响应（信誉惩罚），并选择替代收集者进行一次重试。如果重试也失败，任务转换为TIMEOUT。</w:t>
      </w:r>
    </w:p>
    <w:p>
      <w:pPr>
        <w:pStyle w:val="Heading2"/>
      </w:pPr>
      <w:r>
        <w:t>D. 阶段2：密码学预验证</w:t>
      </w:r>
    </w:p>
    <w:p>
      <w:r>
        <w:rPr>
          <w:rFonts w:ascii="Times New Roman" w:hAnsi="Times New Roman" w:eastAsia="宋体"/>
          <w:sz w:val="20"/>
        </w:rPr>
        <w:t>指定的A类型智能体对收集的证据E执行确定性密码学验证：</w:t>
      </w:r>
    </w:p>
    <w:p>
      <w:pPr>
        <w:pStyle w:val="ListNumber"/>
      </w:pPr>
      <w:r>
        <w:rPr>
          <w:rFonts w:ascii="Times New Roman" w:hAnsi="Times New Roman" w:eastAsia="宋体"/>
          <w:sz w:val="20"/>
        </w:rPr>
        <w:t>从Merkle proof重构状态根，与区块头比对。</w:t>
      </w:r>
    </w:p>
    <w:p>
      <w:pPr>
        <w:pStyle w:val="ListNumber"/>
      </w:pPr>
      <w:r>
        <w:rPr>
          <w:rFonts w:ascii="Times New Roman" w:hAnsi="Times New Roman" w:eastAsia="宋体"/>
          <w:sz w:val="20"/>
        </w:rPr>
        <w:t>验证所有背书签名与源链已知公钥的一致性。</w:t>
      </w:r>
    </w:p>
    <w:p>
      <w:pPr>
        <w:pStyle w:val="ListNumber"/>
      </w:pPr>
      <w:r>
        <w:rPr>
          <w:rFonts w:ascii="Times New Roman" w:hAnsi="Times New Roman" w:eastAsia="宋体"/>
          <w:sz w:val="20"/>
        </w:rPr>
        <w:t>确认区块高度在查询的预期范围内。</w:t>
      </w:r>
    </w:p>
    <w:p>
      <w:r>
        <w:rPr>
          <w:rFonts w:ascii="Times New Roman" w:hAnsi="Times New Roman" w:eastAsia="宋体"/>
          <w:sz w:val="20"/>
        </w:rPr>
        <w:t>该阶段产生二元结果：</w:t>
      </w:r>
    </w:p>
    <w:p>
      <w:pPr>
        <w:pStyle w:val="ListBullet"/>
      </w:pPr>
      <w:r>
        <w:rPr>
          <w:rFonts w:ascii="Times New Roman" w:hAnsi="Times New Roman" w:eastAsia="宋体"/>
          <w:sz w:val="20"/>
        </w:rPr>
        <w:t>通过：证据在密码学上有效。任务进入阶段3。</w:t>
      </w:r>
    </w:p>
    <w:p>
      <w:pPr>
        <w:pStyle w:val="ListBullet"/>
      </w:pPr>
      <w:r>
        <w:rPr>
          <w:rFonts w:ascii="Times New Roman" w:hAnsi="Times New Roman" w:eastAsia="宋体"/>
          <w:sz w:val="20"/>
        </w:rPr>
        <w:t>失败：证据包含无效证明或签名。任务立即被REJECT，无需进入共识。</w:t>
      </w:r>
    </w:p>
    <w:p>
      <w:r>
        <w:rPr>
          <w:rFonts w:ascii="Times New Roman" w:hAnsi="Times New Roman" w:eastAsia="宋体"/>
          <w:sz w:val="20"/>
        </w:rPr>
        <w:t>由于密码学验证是确定性的，无需用 LLM 或概率投票决定其结果。原型由 A 类型验证器执行检查，并把输入、检查项和结果写入审计包；第三方可用相同输入复算。该阶段在产生 LLM 成本之前过滤伪造或损坏的证据。实验中，密码失败、缺交易哈希和高度越界等结构/密码类篡改均被前置门控拦截。需要指出，若部署只依赖单个 A 类型验证器而没有独立复算，恶意验证器仍可造成错误拒绝；该风险属于实现层的可用性边界。</w:t>
      </w:r>
    </w:p>
    <w:p>
      <w:pPr>
        <w:pStyle w:val="Heading2"/>
      </w:pPr>
      <w:r>
        <w:t>E. 阶段3：语义执行（Commit-Reveal）</w:t>
      </w:r>
    </w:p>
    <w:p>
      <w:r>
        <w:rPr>
          <w:rFonts w:ascii="Times New Roman" w:hAnsi="Times New Roman" w:eastAsia="宋体"/>
          <w:sz w:val="20"/>
        </w:rPr>
        <w:t>调用委员会中的每个执行智能体独立对证据 E 执行语义推理并产生签名输出：</w:t>
      </w:r>
    </w:p>
    <w:p>
      <w:pPr>
        <w:pStyle w:val="CodeBlock"/>
        <w:keepLines/>
        <w:shd w:fill="F2F2F2"/>
      </w:pPr>
      <w:r>
        <w:rPr>
          <w:rFonts w:ascii="Courier New" w:hAnsi="Courier New" w:eastAsia="宋体"/>
          <w:sz w:val="16"/>
        </w:rPr>
        <w:t>J_i = (judgment_i, confidence_i, evidence_hash_i, reason_hash_i, model_id_hash_i, agent_signature_i)</w:t>
      </w:r>
    </w:p>
    <w:p>
      <w:r>
        <w:rPr>
          <w:rFonts w:ascii="Courier New" w:hAnsi="Courier New" w:eastAsia="宋体"/>
          <w:sz w:val="18"/>
        </w:rPr>
        <w:t>judgment/confidence</w:t>
      </w:r>
      <w:r>
        <w:rPr>
          <w:rFonts w:ascii="Times New Roman" w:hAnsi="Times New Roman" w:eastAsia="宋体"/>
          <w:sz w:val="20"/>
        </w:rPr>
        <w:t xml:space="preserve"> 给出判断和自评置信度，三个哈希分别绑定证据、解释和模型来源，签名用于归属。B 类型解释规则，C 类型执行跨源关联、时序与异常分析。揭示进入链下审计包；挑战者须在 </w:t>
      </w:r>
      <w:r>
        <w:rPr>
          <w:rFonts w:ascii="Courier New" w:hAnsi="Courier New" w:eastAsia="宋体"/>
          <w:sz w:val="18"/>
        </w:rPr>
        <w:t>challenge_window</w:t>
      </w:r>
      <w:r>
        <w:rPr>
          <w:rFonts w:ascii="Times New Roman" w:hAnsi="Times New Roman" w:eastAsia="宋体"/>
          <w:sz w:val="20"/>
        </w:rPr>
        <w:t xml:space="preserve"> 内提供与链上摘要匹配的审计包和冲突证据。</w:t>
      </w:r>
    </w:p>
    <w:p>
      <w:r>
        <w:rPr>
          <w:rFonts w:ascii="Times New Roman" w:hAnsi="Times New Roman" w:eastAsia="宋体"/>
          <w:b/>
          <w:sz w:val="20"/>
        </w:rPr>
        <w:t>提交阶段：</w:t>
      </w:r>
      <w:r>
        <w:rPr>
          <w:rFonts w:ascii="Times New Roman" w:hAnsi="Times New Roman" w:eastAsia="宋体"/>
          <w:sz w:val="20"/>
        </w:rPr>
        <w:t xml:space="preserve"> 每个智能体提交承诺：</w:t>
      </w:r>
    </w:p>
    <w:p>
      <w:pPr>
        <w:pStyle w:val="CodeBlock"/>
        <w:keepLines/>
        <w:shd w:fill="F2F2F2"/>
      </w:pPr>
      <w:r>
        <w:rPr>
          <w:rFonts w:ascii="Courier New" w:hAnsi="Courier New" w:eastAsia="宋体"/>
          <w:sz w:val="16"/>
        </w:rPr>
        <w:t>commit_i = H(judgment_i || confidence_i || evidence_hash_i || nonce_i)</w:t>
      </w:r>
    </w:p>
    <w:p>
      <w:r>
        <w:rPr>
          <w:rFonts w:ascii="Times New Roman" w:hAnsi="Times New Roman" w:eastAsia="宋体"/>
          <w:sz w:val="20"/>
        </w:rPr>
        <w:t>到链下协调服务。服务记录全部承诺、接收时间和会话标识。</w:t>
      </w:r>
    </w:p>
    <w:p>
      <w:r>
        <w:rPr>
          <w:rFonts w:ascii="Times New Roman" w:hAnsi="Times New Roman" w:eastAsia="宋体"/>
          <w:b/>
          <w:sz w:val="20"/>
        </w:rPr>
        <w:t>揭示阶段：</w:t>
      </w:r>
      <w:r>
        <w:rPr>
          <w:rFonts w:ascii="Times New Roman" w:hAnsi="Times New Roman" w:eastAsia="宋体"/>
          <w:sz w:val="20"/>
        </w:rPr>
        <w:t xml:space="preserve"> 在所有承诺收到（或 </w:t>
      </w:r>
      <w:r>
        <w:rPr>
          <w:rFonts w:ascii="Courier New" w:hAnsi="Courier New" w:eastAsia="宋体"/>
          <w:sz w:val="18"/>
        </w:rPr>
        <w:t>T_commit</w:t>
      </w:r>
      <w:r>
        <w:rPr>
          <w:rFonts w:ascii="Times New Roman" w:hAnsi="Times New Roman" w:eastAsia="宋体"/>
          <w:sz w:val="20"/>
        </w:rPr>
        <w:t xml:space="preserve"> 到期）后，协调服务开启揭示窗口。每个智能体以明文提交 </w:t>
      </w:r>
      <w:r>
        <w:rPr>
          <w:rFonts w:ascii="Courier New" w:hAnsi="Courier New" w:eastAsia="宋体"/>
          <w:sz w:val="18"/>
        </w:rPr>
        <w:t>(judgment_i, confidence_i, evidence_hash_i, reason_hash_i, model_id_hash_i, agent_signature_i, nonce_i)</w:t>
      </w:r>
      <w:r>
        <w:rPr>
          <w:rFonts w:ascii="Times New Roman" w:hAnsi="Times New Roman" w:eastAsia="宋体"/>
          <w:sz w:val="20"/>
        </w:rPr>
        <w:t>。服务验证揭示与承诺的一致性及签名有效性，并把验证结果写入审计包。</w:t>
      </w:r>
    </w:p>
    <w:p>
      <w:r>
        <w:rPr>
          <w:rFonts w:ascii="Times New Roman" w:hAnsi="Times New Roman" w:eastAsia="宋体"/>
          <w:b/>
          <w:sz w:val="20"/>
        </w:rPr>
        <w:t>超时强制：</w:t>
      </w:r>
    </w:p>
    <w:p>
      <w:pPr>
        <w:pStyle w:val="ListBullet"/>
      </w:pPr>
      <w:r>
        <w:rPr>
          <w:rFonts w:ascii="Times New Roman" w:hAnsi="Times New Roman" w:eastAsia="宋体"/>
          <w:sz w:val="20"/>
        </w:rPr>
        <w:t>未在 T_commit 内提交承诺的智能体被排除在聚合之外，并受到信誉惩罚。</w:t>
      </w:r>
    </w:p>
    <w:p>
      <w:pPr>
        <w:pStyle w:val="ListBullet"/>
      </w:pPr>
      <w:r>
        <w:rPr>
          <w:rFonts w:ascii="Times New Roman" w:hAnsi="Times New Roman" w:eastAsia="宋体"/>
          <w:sz w:val="20"/>
        </w:rPr>
        <w:t>提交承诺但未在 T_reveal 内揭示的智能体被视为执行沉默攻击：受到严重信誉惩罚，其承诺被丢弃。</w:t>
      </w:r>
    </w:p>
    <w:p>
      <w:pPr>
        <w:pStyle w:val="ListBullet"/>
      </w:pPr>
      <w:r>
        <w:rPr>
          <w:rFonts w:ascii="Times New Roman" w:hAnsi="Times New Roman" w:eastAsia="宋体"/>
          <w:sz w:val="20"/>
        </w:rPr>
        <w:t>如果有效揭示数量降至 ⌈n/2⌉ + 1 以下，任务转换为 ARBITRATING。</w:t>
      </w:r>
    </w:p>
    <w:p>
      <w:pPr>
        <w:pStyle w:val="Heading2"/>
      </w:pPr>
      <w:r>
        <w:t>F. 阶段4：加权聚合</w:t>
      </w:r>
    </w:p>
    <w:p>
      <w:r>
        <w:rPr>
          <w:rFonts w:ascii="Times New Roman" w:hAnsi="Times New Roman" w:eastAsia="宋体"/>
          <w:sz w:val="20"/>
        </w:rPr>
        <w:t>在收集所有有效揭示后，链下协调服务按算法 2 计算聚合结果，并将输入权重、阈值和输出写入审计包。</w:t>
      </w:r>
    </w:p>
    <w:p>
      <w:r>
        <w:rPr>
          <w:rFonts w:ascii="Times New Roman" w:hAnsi="Times New Roman" w:eastAsia="宋体"/>
          <w:b/>
          <w:sz w:val="20"/>
        </w:rPr>
        <w:t>算法 2. 加权聚合决策</w:t>
      </w:r>
    </w:p>
    <w:p>
      <w:pPr>
        <w:pStyle w:val="CodeBlock"/>
        <w:keepLines/>
        <w:shd w:fill="F2F2F2"/>
      </w:pPr>
      <w:r>
        <w:rPr>
          <w:rFonts w:ascii="Courier New" w:hAnsi="Courier New" w:eastAsia="宋体"/>
          <w:sz w:val="16"/>
        </w:rPr>
        <w:t>输入: 揭示判断 {(judgment_i, conf_i)}, 信誉 {rep_i}, 阈值 θ</w:t>
        <w:br/>
        <w:t>输出: 决策 ∈ {CONFIRMED, REJECTED, ARBITRATING}</w:t>
        <w:br/>
        <w:t xml:space="preserve"> 1: for each i do  w_i ← rep_i × conf_i                   // 式(1)</w:t>
        <w:br/>
        <w:t xml:space="preserve"> 2: S_A ← Σ_{judgment_i = ACCEPT} w_i</w:t>
        <w:br/>
        <w:t xml:space="preserve"> 3: S_R ← Σ_{judgment_i = REJECT} w_i</w:t>
        <w:br/>
        <w:t xml:space="preserve"> 4: Ratio ← S_A / (S_A + S_R)                             // 式(2)</w:t>
        <w:br/>
        <w:t xml:space="preserve"> 5: if Ratio ≥ θ then return CONFIRMED                    // 式(3)</w:t>
        <w:br/>
        <w:t xml:space="preserve"> 6: else if Ratio ≤ 1 − θ then return REJECTED</w:t>
        <w:br/>
        <w:t xml:space="preserve"> 7: else return ARBITRATING</w:t>
      </w:r>
    </w:p>
    <w:p>
      <w:r>
        <w:rPr>
          <w:rFonts w:ascii="Times New Roman" w:hAnsi="Times New Roman" w:eastAsia="宋体"/>
          <w:sz w:val="20"/>
        </w:rPr>
        <w:t xml:space="preserve">信誉由归一化响应质量 </w:t>
      </w:r>
      <w:r>
        <w:rPr>
          <w:rFonts w:ascii="Courier New" w:hAnsi="Courier New" w:eastAsia="宋体"/>
          <w:sz w:val="18"/>
        </w:rPr>
        <w:t>A_i</w:t>
      </w:r>
      <w:r>
        <w:rPr>
          <w:rFonts w:ascii="Times New Roman" w:hAnsi="Times New Roman" w:eastAsia="宋体"/>
          <w:sz w:val="20"/>
        </w:rPr>
        <w:t xml:space="preserve"> 和历史信任 </w:t>
      </w:r>
      <w:r>
        <w:rPr>
          <w:rFonts w:ascii="Courier New" w:hAnsi="Courier New" w:eastAsia="宋体"/>
          <w:sz w:val="18"/>
        </w:rPr>
        <w:t>B_i</w:t>
      </w:r>
      <w:r>
        <w:rPr>
          <w:rFonts w:ascii="Times New Roman" w:hAnsi="Times New Roman" w:eastAsia="宋体"/>
          <w:sz w:val="20"/>
        </w:rPr>
        <w:t xml:space="preserve"> 构成：</w:t>
      </w:r>
    </w:p>
    <w:p>
      <w:pPr>
        <w:pStyle w:val="CodeBlock"/>
        <w:keepLines/>
        <w:shd w:fill="F2F2F2"/>
      </w:pPr>
      <w:r>
        <w:rPr>
          <w:rFonts w:ascii="Courier New" w:hAnsi="Courier New" w:eastAsia="宋体"/>
          <w:sz w:val="16"/>
        </w:rPr>
        <w:t>rep_i = α · A_i + β · B_i,   α + β = 1                        (1a)</w:t>
      </w:r>
    </w:p>
    <w:p>
      <w:r>
        <w:rPr>
          <w:rFonts w:ascii="Times New Roman" w:hAnsi="Times New Roman" w:eastAsia="宋体"/>
          <w:sz w:val="20"/>
        </w:rPr>
        <w:t xml:space="preserve">默认 </w:t>
      </w:r>
      <w:r>
        <w:rPr>
          <w:rFonts w:ascii="Courier New" w:hAnsi="Courier New" w:eastAsia="宋体"/>
          <w:sz w:val="18"/>
        </w:rPr>
        <w:t>α=0.4,β=0.6</w:t>
      </w:r>
      <w:r>
        <w:rPr>
          <w:rFonts w:ascii="Times New Roman" w:hAnsi="Times New Roman" w:eastAsia="宋体"/>
          <w:sz w:val="20"/>
        </w:rPr>
        <w:t>，再乘单次置信度形成算法 2 的权重；与通用 WBFT[3]相比，本协议增加风险阈值和仲裁。</w:t>
      </w:r>
    </w:p>
    <w:p>
      <w:r>
        <w:rPr>
          <w:rFonts w:ascii="Times New Roman" w:hAnsi="Times New Roman" w:eastAsia="宋体"/>
          <w:b/>
          <w:sz w:val="20"/>
        </w:rPr>
        <w:t>阈值推导。</w:t>
      </w:r>
      <w:r>
        <w:rPr>
          <w:rFonts w:ascii="Times New Roman" w:hAnsi="Times New Roman" w:eastAsia="宋体"/>
          <w:sz w:val="20"/>
        </w:rPr>
        <w:t xml:space="preserve"> 阈值θ必须确保即使所有f个恶意智能体以最大权重一致投票支持错误结果，诚实多数仍能占优。</w:t>
      </w:r>
    </w:p>
    <w:p>
      <w:r>
        <w:rPr>
          <w:rFonts w:ascii="Times New Roman" w:hAnsi="Times New Roman" w:eastAsia="宋体"/>
          <w:sz w:val="20"/>
        </w:rPr>
        <w:t xml:space="preserve">设 </w:t>
      </w:r>
      <w:r>
        <w:rPr>
          <w:rFonts w:ascii="Courier New" w:hAnsi="Courier New" w:eastAsia="宋体"/>
          <w:sz w:val="18"/>
        </w:rPr>
        <w:t>w_max = rep_max × 1.0</w:t>
      </w:r>
      <w:r>
        <w:rPr>
          <w:rFonts w:ascii="Times New Roman" w:hAnsi="Times New Roman" w:eastAsia="宋体"/>
          <w:sz w:val="20"/>
        </w:rPr>
        <w:t xml:space="preserve"> 表示恶意智能体的最大单体权重，</w:t>
      </w:r>
      <w:r>
        <w:rPr>
          <w:rFonts w:ascii="Courier New" w:hAnsi="Courier New" w:eastAsia="宋体"/>
          <w:sz w:val="18"/>
        </w:rPr>
        <w:t>w_min = rep_min × c_min</w:t>
      </w:r>
      <w:r>
        <w:rPr>
          <w:rFonts w:ascii="Times New Roman" w:hAnsi="Times New Roman" w:eastAsia="宋体"/>
          <w:sz w:val="20"/>
        </w:rPr>
        <w:t xml:space="preserve"> 表示诚实智能体的最小单体权重。</w:t>
      </w:r>
    </w:p>
    <w:p>
      <w:r>
        <w:rPr>
          <w:rFonts w:ascii="Times New Roman" w:hAnsi="Times New Roman" w:eastAsia="宋体"/>
          <w:sz w:val="20"/>
        </w:rPr>
        <w:t>安全条件要求：</w:t>
      </w:r>
    </w:p>
    <w:p>
      <w:pPr>
        <w:pStyle w:val="CodeBlock"/>
        <w:keepLines/>
        <w:shd w:fill="F2F2F2"/>
      </w:pPr>
      <w:r>
        <w:rPr>
          <w:rFonts w:ascii="Courier New" w:hAnsi="Courier New" w:eastAsia="宋体"/>
          <w:sz w:val="16"/>
        </w:rPr>
        <w:t>f × w_max &lt; (n − f) × w_min × (θ / (1 − θ))</w:t>
      </w:r>
    </w:p>
    <w:p>
      <w:r>
        <w:rPr>
          <w:rFonts w:ascii="Times New Roman" w:hAnsi="Times New Roman" w:eastAsia="宋体"/>
          <w:sz w:val="20"/>
        </w:rPr>
        <w:t>求解θ：</w:t>
      </w:r>
    </w:p>
    <w:p>
      <w:pPr>
        <w:pStyle w:val="CodeBlock"/>
        <w:keepLines/>
        <w:shd w:fill="F2F2F2"/>
      </w:pPr>
      <w:r>
        <w:rPr>
          <w:rFonts w:ascii="Courier New" w:hAnsi="Courier New" w:eastAsia="宋体"/>
          <w:sz w:val="16"/>
        </w:rPr>
        <w:t>θ &gt; f × w_max / (f × w_max + (n − f) × w_min)                (4)</w:t>
      </w:r>
    </w:p>
    <w:p>
      <w:r>
        <w:rPr>
          <w:rFonts w:ascii="Times New Roman" w:hAnsi="Times New Roman" w:eastAsia="宋体"/>
          <w:sz w:val="20"/>
        </w:rPr>
        <w:t xml:space="preserve">对于 </w:t>
      </w:r>
      <w:r>
        <w:rPr>
          <w:rFonts w:ascii="Courier New" w:hAnsi="Courier New" w:eastAsia="宋体"/>
          <w:sz w:val="18"/>
        </w:rPr>
        <w:t>n = 5, f = 2, rep_max/rep_min = 2, c_min = 0.6</w:t>
      </w:r>
      <w:r>
        <w:rPr>
          <w:rFonts w:ascii="Times New Roman" w:hAnsi="Times New Roman" w:eastAsia="宋体"/>
          <w:sz w:val="20"/>
        </w:rPr>
        <w:t>：</w:t>
      </w:r>
    </w:p>
    <w:p>
      <w:pPr>
        <w:pStyle w:val="CodeBlock"/>
        <w:keepLines/>
        <w:shd w:fill="F2F2F2"/>
      </w:pPr>
      <w:r>
        <w:rPr>
          <w:rFonts w:ascii="Courier New" w:hAnsi="Courier New" w:eastAsia="宋体"/>
          <w:sz w:val="16"/>
        </w:rPr>
        <w:t>θ &gt; (2 × 2) / (2 × 2 + 3 × 1 × 0.6) = 4 / 5.8 ≈ 0.69</w:t>
      </w:r>
    </w:p>
    <w:p>
      <w:r>
        <w:rPr>
          <w:rFonts w:ascii="Times New Roman" w:hAnsi="Times New Roman" w:eastAsia="宋体"/>
          <w:sz w:val="20"/>
        </w:rPr>
        <w:t>我们设定NORMAL任务θ = 0.70，CRITICAL任务θ = 0.75，提供安全余量。</w:t>
      </w:r>
    </w:p>
    <w:p>
      <w:pPr>
        <w:pStyle w:val="Heading2"/>
      </w:pPr>
      <w:r>
        <w:t>G. 阶段5：仲裁</w:t>
      </w:r>
    </w:p>
    <w:p>
      <w:r>
        <w:rPr>
          <w:rFonts w:ascii="Times New Roman" w:hAnsi="Times New Roman" w:eastAsia="宋体"/>
          <w:sz w:val="20"/>
        </w:rPr>
        <w:t>仲裁在以下情况触发：</w:t>
      </w:r>
    </w:p>
    <w:p>
      <w:pPr>
        <w:pStyle w:val="ListNumber"/>
      </w:pPr>
      <w:r>
        <w:rPr>
          <w:rFonts w:ascii="Times New Roman" w:hAnsi="Times New Roman" w:eastAsia="宋体"/>
          <w:sz w:val="20"/>
        </w:rPr>
        <w:t>加权聚合比率落在1−θ和θ之间（分歧）。</w:t>
      </w:r>
    </w:p>
    <w:p>
      <w:pPr>
        <w:pStyle w:val="ListNumber"/>
      </w:pPr>
      <w:r>
        <w:rPr>
          <w:rFonts w:ascii="Times New Roman" w:hAnsi="Times New Roman" w:eastAsia="宋体"/>
          <w:sz w:val="20"/>
        </w:rPr>
        <w:t>证据收集产生不一致结果（收集者冲突）。</w:t>
      </w:r>
    </w:p>
    <w:p>
      <w:pPr>
        <w:pStyle w:val="ListNumber"/>
      </w:pPr>
      <w:r>
        <w:rPr>
          <w:rFonts w:ascii="Times New Roman" w:hAnsi="Times New Roman" w:eastAsia="宋体"/>
          <w:sz w:val="20"/>
        </w:rPr>
        <w:t>过多智能体未能揭示（参与不足）。</w:t>
      </w:r>
    </w:p>
    <w:p>
      <w:r>
        <w:rPr>
          <w:rFonts w:ascii="Times New Roman" w:hAnsi="Times New Roman" w:eastAsia="宋体"/>
          <w:b/>
          <w:sz w:val="20"/>
        </w:rPr>
        <w:t>仲裁者选择：</w:t>
      </w:r>
      <w:r>
        <w:rPr>
          <w:rFonts w:ascii="Times New Roman" w:hAnsi="Times New Roman" w:eastAsia="宋体"/>
          <w:sz w:val="20"/>
        </w:rPr>
        <w:t xml:space="preserve"> 协调服务使用独立种子从仲裁者池中选择 k = 5 个仲裁智能体，并执行相同的组织与模型多样性约束。仲裁者必须满足更严格的信誉阈值，并具备复核全部验证步骤所需的能力。仲裁安全性依赖仲裁组不与执行委员会同时被足够恶意权重控制。</w:t>
      </w:r>
    </w:p>
    <w:p>
      <w:r>
        <w:rPr>
          <w:rFonts w:ascii="Times New Roman" w:hAnsi="Times New Roman" w:eastAsia="宋体"/>
          <w:b/>
          <w:sz w:val="20"/>
        </w:rPr>
        <w:t>仲裁者输入：</w:t>
      </w:r>
      <w:r>
        <w:rPr>
          <w:rFonts w:ascii="Times New Roman" w:hAnsi="Times New Roman" w:eastAsia="宋体"/>
          <w:sz w:val="20"/>
        </w:rPr>
        <w:t xml:space="preserve"> 每个仲裁者接收完整的任务上下文：原始查询、所有收集的证据（包括冲突证据，如适用）、所有验证者判断和置信度分数，以及推理哈希。</w:t>
      </w:r>
    </w:p>
    <w:p>
      <w:r>
        <w:rPr>
          <w:rFonts w:ascii="Times New Roman" w:hAnsi="Times New Roman" w:eastAsia="宋体"/>
          <w:b/>
          <w:sz w:val="20"/>
        </w:rPr>
        <w:t>仲裁过程：</w:t>
      </w:r>
      <w:r>
        <w:rPr>
          <w:rFonts w:ascii="Times New Roman" w:hAnsi="Times New Roman" w:eastAsia="宋体"/>
          <w:sz w:val="20"/>
        </w:rPr>
        <w:t xml:space="preserve"> 仲裁者遵循与验证者相同的 commit-reveal 协议。仲裁聚合使用相同的加权投票公式（式(1)–(3)，算法 2），但使用仲裁组的参数（k = 5，所有任务θ_arb = 0.75）。</w:t>
      </w:r>
    </w:p>
    <w:p>
      <w:r>
        <w:rPr>
          <w:rFonts w:ascii="Times New Roman" w:hAnsi="Times New Roman" w:eastAsia="宋体"/>
          <w:b/>
          <w:sz w:val="20"/>
        </w:rPr>
        <w:t>终局与锚定：</w:t>
      </w:r>
      <w:r>
        <w:rPr>
          <w:rFonts w:ascii="Times New Roman" w:hAnsi="Times New Roman" w:eastAsia="宋体"/>
          <w:sz w:val="20"/>
        </w:rPr>
        <w:t xml:space="preserve"> 仲裁达到阈值时，协调服务生成最终结果和审计包摘要，并通过 </w:t>
      </w:r>
      <w:r>
        <w:rPr>
          <w:rFonts w:ascii="Courier New" w:hAnsi="Courier New" w:eastAsia="宋体"/>
          <w:sz w:val="18"/>
        </w:rPr>
        <w:t>receiveLite</w:t>
      </w:r>
      <w:r>
        <w:rPr>
          <w:rFonts w:ascii="Times New Roman" w:hAnsi="Times New Roman" w:eastAsia="宋体"/>
          <w:sz w:val="20"/>
        </w:rPr>
        <w:t xml:space="preserve"> 写入目标链；仲裁未达阈值时，任务标记为 </w:t>
      </w:r>
      <w:r>
        <w:rPr>
          <w:rFonts w:ascii="Courier New" w:hAnsi="Courier New" w:eastAsia="宋体"/>
          <w:sz w:val="18"/>
        </w:rPr>
        <w:t>TIMEOUT</w:t>
      </w:r>
      <w:r>
        <w:rPr>
          <w:rFonts w:ascii="Times New Roman" w:hAnsi="Times New Roman" w:eastAsia="宋体"/>
          <w:sz w:val="20"/>
        </w:rPr>
        <w:t>，不交付业务结果。本文不假设仲裁失败“极为罕见”，其发生概率由仲裁组的恶意权重、相关误差和可用性决定。</w:t>
      </w:r>
    </w:p>
    <w:p>
      <w:pPr>
        <w:pStyle w:val="Heading2"/>
      </w:pPr>
      <w:r>
        <w:t>H. 信誉更新</w:t>
      </w:r>
    </w:p>
    <w:p>
      <w:r>
        <w:rPr>
          <w:rFonts w:ascii="Times New Roman" w:hAnsi="Times New Roman" w:eastAsia="宋体"/>
          <w:sz w:val="20"/>
        </w:rPr>
        <w:t>任务达到终态（</w:t>
      </w:r>
      <w:r>
        <w:rPr>
          <w:rFonts w:ascii="Courier New" w:hAnsi="Courier New" w:eastAsia="宋体"/>
          <w:sz w:val="18"/>
        </w:rPr>
        <w:t>CONFIRMED</w:t>
      </w:r>
      <w:r>
        <w:rPr>
          <w:rFonts w:ascii="Times New Roman" w:hAnsi="Times New Roman" w:eastAsia="宋体"/>
          <w:sz w:val="20"/>
        </w:rPr>
        <w:t>、</w:t>
      </w:r>
      <w:r>
        <w:rPr>
          <w:rFonts w:ascii="Courier New" w:hAnsi="Courier New" w:eastAsia="宋体"/>
          <w:sz w:val="18"/>
        </w:rPr>
        <w:t>REJECTED</w:t>
      </w:r>
      <w:r>
        <w:rPr>
          <w:rFonts w:ascii="Times New Roman" w:hAnsi="Times New Roman" w:eastAsia="宋体"/>
          <w:sz w:val="20"/>
        </w:rPr>
        <w:t xml:space="preserve"> 或 </w:t>
      </w:r>
      <w:r>
        <w:rPr>
          <w:rFonts w:ascii="Courier New" w:hAnsi="Courier New" w:eastAsia="宋体"/>
          <w:sz w:val="18"/>
        </w:rPr>
        <w:t>TIMEOUT</w:t>
      </w:r>
      <w:r>
        <w:rPr>
          <w:rFonts w:ascii="Times New Roman" w:hAnsi="Times New Roman" w:eastAsia="宋体"/>
          <w:sz w:val="20"/>
        </w:rPr>
        <w:t>）后，链下信誉存储按算法 3 更新参与智能体的信誉；更新轨迹进入审计包。当前原型不把每次信誉更新逐项写入链上。</w:t>
      </w:r>
    </w:p>
    <w:p>
      <w:r>
        <w:rPr>
          <w:rFonts w:ascii="Times New Roman" w:hAnsi="Times New Roman" w:eastAsia="宋体"/>
          <w:b/>
          <w:sz w:val="20"/>
        </w:rPr>
        <w:t>算法 3. 信誉更新与异常/串通检测</w:t>
      </w:r>
    </w:p>
    <w:p>
      <w:pPr>
        <w:pStyle w:val="CodeBlock"/>
        <w:keepLines/>
        <w:shd w:fill="F2F2F2"/>
      </w:pPr>
      <w:r>
        <w:rPr>
          <w:rFonts w:ascii="Courier New" w:hAnsi="Courier New" w:eastAsia="宋体"/>
          <w:sz w:val="16"/>
        </w:rPr>
        <w:t>输入: 参与判断 {(judgment_i, conf_i)}, 终态 outcome, 风险 risk, 历史窗口</w:t>
        <w:br/>
        <w:t>输出: 更新后的信誉 {rep_i}</w:t>
        <w:br/>
        <w:t xml:space="preserve"> 1: λ_r ← 1.5 if risk = CRITICAL else 1.0</w:t>
        <w:br/>
        <w:t xml:space="preserve"> 2: for each agent i do</w:t>
        <w:br/>
        <w:t xml:space="preserve"> 3:     align ← alignment(judgment_i, conf_i, outcome)    // 式(5), 非对称评分</w:t>
        <w:br/>
        <w:t xml:space="preserve"> 4:     rep_i ← clip(decay × rep_i + λ_r × align, [rep_min, rep_max])   // 式(6)</w:t>
        <w:br/>
        <w:t xml:space="preserve"> 5:     更新最近 10 个任务的对齐方差; if 方差 &gt; σ²_max then 标记 i 进入观察期</w:t>
        <w:br/>
        <w:t xml:space="preserve"> 6: for each 共同参与 ≥ m 个任务的对 (i, j) do</w:t>
        <w:br/>
        <w:t xml:space="preserve"> 7:     if 争议任务上判断条件相关性 &gt; ρ_max then 降低 (i, j) 共同入选概率</w:t>
        <w:br/>
        <w:t xml:space="preserve"> 8: return {rep_i}</w:t>
      </w:r>
    </w:p>
    <w:p>
      <w:r>
        <w:rPr>
          <w:rFonts w:ascii="Times New Roman" w:hAnsi="Times New Roman" w:eastAsia="宋体"/>
          <w:sz w:val="20"/>
        </w:rPr>
        <w:t xml:space="preserve">评分满足 </w:t>
      </w:r>
      <w:r>
        <w:rPr>
          <w:rFonts w:ascii="Courier New" w:hAnsi="Courier New" w:eastAsia="宋体"/>
          <w:sz w:val="18"/>
        </w:rPr>
        <w:t>α₁&gt;α₂&gt;0&gt;−α₃&gt;−α₄&gt;−α₅</w:t>
      </w:r>
      <w:r>
        <w:rPr>
          <w:rFonts w:ascii="Times New Roman" w:hAnsi="Times New Roman" w:eastAsia="宋体"/>
          <w:sz w:val="20"/>
        </w:rPr>
        <w:t>，因而对高置信度错误和未揭示施加更重惩罚。更新采用</w:t>
      </w:r>
      <w:r>
        <w:rPr>
          <w:rFonts w:ascii="Courier New" w:hAnsi="Courier New" w:eastAsia="宋体"/>
          <w:sz w:val="18"/>
        </w:rPr>
        <w:t>decay=0.98</w:t>
      </w:r>
      <w:r>
        <w:rPr>
          <w:rFonts w:ascii="Times New Roman" w:hAnsi="Times New Roman" w:eastAsia="宋体"/>
          <w:sz w:val="20"/>
        </w:rPr>
        <w:t>、</w:t>
      </w:r>
      <w:r>
        <w:rPr>
          <w:rFonts w:ascii="Courier New" w:hAnsi="Courier New" w:eastAsia="宋体"/>
          <w:sz w:val="18"/>
        </w:rPr>
        <w:t>λ_r∈{1.0,1.5}</w:t>
      </w:r>
      <w:r>
        <w:rPr>
          <w:rFonts w:ascii="Times New Roman" w:hAnsi="Times New Roman" w:eastAsia="宋体"/>
          <w:sz w:val="20"/>
        </w:rPr>
        <w:t xml:space="preserve"> 并裁剪到信誉边界；最近 10 个任务的方差用于异常观察，至少 50 个争议任务上的条件相关性用于降低疑似串通者共同入选概率。</w:t>
      </w:r>
    </w:p>
    <w:p>
      <w:pPr>
        <w:pStyle w:val="Heading1"/>
      </w:pPr>
      <w:r>
        <w:t>V. 激励与攻击成本分析</w:t>
      </w:r>
    </w:p>
    <w:p>
      <w:r>
        <w:rPr>
          <w:rFonts w:ascii="Times New Roman" w:hAnsi="Times New Roman" w:eastAsia="宋体"/>
          <w:sz w:val="20"/>
        </w:rPr>
        <w:t>传统 BFT 将参与者划分为诚实与恶意两类；联盟链中的运营者还可能根据成本与未来收益策略性行动。本节分析验证与搭便车、置信度分档以及外部贿赂的效用条件。结论均依赖给定参数、先验和最终结果反馈，不构成对任意环境都成立的占优策略证明。</w:t>
      </w:r>
    </w:p>
    <w:p>
      <w:pPr>
        <w:pStyle w:val="Heading2"/>
      </w:pPr>
      <w:r>
        <w:t>A. 博弈模型</w:t>
      </w:r>
    </w:p>
    <w:p>
      <w:r>
        <w:rPr>
          <w:rFonts w:ascii="Times New Roman" w:hAnsi="Times New Roman" w:eastAsia="宋体"/>
          <w:b/>
          <w:sz w:val="20"/>
        </w:rPr>
        <w:t>参与者。</w:t>
      </w:r>
      <w:r>
        <w:rPr>
          <w:rFonts w:ascii="Times New Roman" w:hAnsi="Times New Roman" w:eastAsia="宋体"/>
          <w:sz w:val="20"/>
        </w:rPr>
        <w:t xml:space="preserve"> 调用委员会 G = {a₁, ..., aₙ} 中的n个验证智能体。</w:t>
      </w:r>
    </w:p>
    <w:p>
      <w:r>
        <w:rPr>
          <w:rFonts w:ascii="Times New Roman" w:hAnsi="Times New Roman" w:eastAsia="宋体"/>
          <w:b/>
          <w:sz w:val="20"/>
        </w:rPr>
        <w:t>策略空间。</w:t>
      </w:r>
      <w:r>
        <w:rPr>
          <w:rFonts w:ascii="Times New Roman" w:hAnsi="Times New Roman" w:eastAsia="宋体"/>
          <w:sz w:val="20"/>
        </w:rPr>
        <w:t xml:space="preserve"> 每个智能体aᵢ选择策略 sᵢ = (eᵢ, jᵢ, cᵢ)，其中：</w:t>
      </w:r>
    </w:p>
    <w:p>
      <w:pPr>
        <w:pStyle w:val="ListBullet"/>
      </w:pPr>
      <w:r>
        <w:rPr>
          <w:rFonts w:ascii="Times New Roman" w:hAnsi="Times New Roman" w:eastAsia="宋体"/>
          <w:sz w:val="20"/>
        </w:rPr>
        <w:t>eᵢ ∈ {VERIFY, SKIP}：是否执行实际验证（成本v）或搭便车</w:t>
      </w:r>
    </w:p>
    <w:p>
      <w:pPr>
        <w:pStyle w:val="ListBullet"/>
      </w:pPr>
      <w:r>
        <w:rPr>
          <w:rFonts w:ascii="Times New Roman" w:hAnsi="Times New Roman" w:eastAsia="宋体"/>
          <w:sz w:val="20"/>
        </w:rPr>
        <w:t>jᵢ ∈ {ACCEPT, REJECT}：提交的判断</w:t>
      </w:r>
    </w:p>
    <w:p>
      <w:pPr>
        <w:pStyle w:val="ListBullet"/>
      </w:pPr>
      <w:r>
        <w:rPr>
          <w:rFonts w:ascii="Times New Roman" w:hAnsi="Times New Roman" w:eastAsia="宋体"/>
          <w:sz w:val="20"/>
        </w:rPr>
        <w:t>cᵢ ∈ [0, 1]：报告的置信度</w:t>
      </w:r>
    </w:p>
    <w:p>
      <w:r>
        <w:rPr>
          <w:rFonts w:ascii="Times New Roman" w:hAnsi="Times New Roman" w:eastAsia="宋体"/>
          <w:b/>
          <w:sz w:val="20"/>
        </w:rPr>
        <w:t>私有信息。</w:t>
      </w:r>
      <w:r>
        <w:rPr>
          <w:rFonts w:ascii="Times New Roman" w:hAnsi="Times New Roman" w:eastAsia="宋体"/>
          <w:sz w:val="20"/>
        </w:rPr>
        <w:t xml:space="preserve"> 若 eᵢ = VERIFY，智能体aᵢ获得私有信号σᵢ，准确率 P(σᵢ = ω) = 1 − pᵢ，其中 ω ∈ {VALID, INVALID} 为真实状态，pᵢ为智能体类型相关的错误率。若 eᵢ = SKIP，智能体不获得信号。</w:t>
      </w:r>
    </w:p>
    <w:p>
      <w:r>
        <w:rPr>
          <w:rFonts w:ascii="Times New Roman" w:hAnsi="Times New Roman" w:eastAsia="宋体"/>
          <w:b/>
          <w:sz w:val="20"/>
        </w:rPr>
        <w:t>收益函数。</w:t>
      </w:r>
      <w:r>
        <w:rPr>
          <w:rFonts w:ascii="Times New Roman" w:hAnsi="Times New Roman" w:eastAsia="宋体"/>
          <w:sz w:val="20"/>
        </w:rPr>
        <w:t xml:space="preserve"> 智能体aᵢ在单次任务中的效用为：</w:t>
      </w:r>
    </w:p>
    <w:p>
      <w:pPr>
        <w:pStyle w:val="CodeBlock"/>
        <w:keepLines/>
        <w:shd w:fill="F2F2F2"/>
      </w:pPr>
      <w:r>
        <w:rPr>
          <w:rFonts w:ascii="Courier New" w:hAnsi="Courier New" w:eastAsia="宋体"/>
          <w:sz w:val="16"/>
        </w:rPr>
        <w:t>uᵢ = R(jᵢ, cᵢ, outcome) − V(eᵢ) + F(repᵢ)                    (7)</w:t>
      </w:r>
    </w:p>
    <w:p>
      <w:r>
        <w:rPr>
          <w:rFonts w:ascii="Times New Roman" w:hAnsi="Times New Roman" w:eastAsia="宋体"/>
          <w:sz w:val="20"/>
        </w:rPr>
        <w:t>其中R为基于alignment的信誉奖励，V(VERIFY) = v，V(SKIP) = 0，F为信誉的折现未来价值（更高信誉增加未来被选概率）。</w:t>
      </w:r>
    </w:p>
    <w:p>
      <w:r>
        <w:rPr>
          <w:rFonts w:ascii="Times New Roman" w:hAnsi="Times New Roman" w:eastAsia="宋体"/>
          <w:sz w:val="20"/>
        </w:rPr>
        <w:t>alignment奖励R遵循第IV-H节定义的非对称评分机制，关键性质为 α₄/α₃ = 5：过度自信的错误判断受到的惩罚是谨慎错误的5倍。</w:t>
      </w:r>
    </w:p>
    <w:p>
      <w:pPr>
        <w:pStyle w:val="Heading2"/>
      </w:pPr>
      <w:r>
        <w:t>B. 命题1：验证优于搭便车的充分条件</w:t>
      </w:r>
    </w:p>
    <w:p>
      <w:r>
        <w:rPr>
          <w:rFonts w:ascii="Times New Roman" w:hAnsi="Times New Roman" w:eastAsia="宋体"/>
          <w:b/>
          <w:sz w:val="20"/>
        </w:rPr>
        <w:t>命题。</w:t>
      </w:r>
      <w:r>
        <w:rPr>
          <w:rFonts w:ascii="Times New Roman" w:hAnsi="Times New Roman" w:eastAsia="宋体"/>
          <w:sz w:val="20"/>
        </w:rPr>
        <w:t xml:space="preserve"> 设 </w:t>
      </w:r>
      <w:r>
        <w:rPr>
          <w:rFonts w:ascii="Courier New" w:hAnsi="Courier New" w:eastAsia="宋体"/>
          <w:sz w:val="18"/>
        </w:rPr>
        <w:t>q = P(ω = VALID)</w:t>
      </w:r>
      <w:r>
        <w:rPr>
          <w:rFonts w:ascii="Times New Roman" w:hAnsi="Times New Roman" w:eastAsia="宋体"/>
          <w:sz w:val="20"/>
        </w:rPr>
        <w:t xml:space="preserve"> 为证据有效的先验概率。若验证成本 </w:t>
      </w:r>
      <w:r>
        <w:rPr>
          <w:rFonts w:ascii="Courier New" w:hAnsi="Courier New" w:eastAsia="宋体"/>
          <w:sz w:val="18"/>
        </w:rPr>
        <w:t>v</w:t>
      </w:r>
      <w:r>
        <w:rPr>
          <w:rFonts w:ascii="Times New Roman" w:hAnsi="Times New Roman" w:eastAsia="宋体"/>
          <w:sz w:val="20"/>
        </w:rPr>
        <w:t xml:space="preserve"> 小于验证所带来的即时对齐收益差与折现未来选择收益之和，则对错误率 </w:t>
      </w:r>
      <w:r>
        <w:rPr>
          <w:rFonts w:ascii="Courier New" w:hAnsi="Courier New" w:eastAsia="宋体"/>
          <w:sz w:val="18"/>
        </w:rPr>
        <w:t>p_i ≤ p_max</w:t>
      </w:r>
      <w:r>
        <w:rPr>
          <w:rFonts w:ascii="Times New Roman" w:hAnsi="Times New Roman" w:eastAsia="宋体"/>
          <w:sz w:val="20"/>
        </w:rPr>
        <w:t xml:space="preserve"> 的智能体，执行验证并按私有信号投票的期望效用高于按先验猜测的搭便车策略。</w:t>
      </w:r>
    </w:p>
    <w:p>
      <w:r>
        <w:rPr>
          <w:rFonts w:ascii="Times New Roman" w:hAnsi="Times New Roman" w:eastAsia="宋体"/>
          <w:b/>
          <w:sz w:val="20"/>
        </w:rPr>
        <w:t>证明。</w:t>
      </w:r>
      <w:r>
        <w:rPr>
          <w:rFonts w:ascii="Times New Roman" w:hAnsi="Times New Roman" w:eastAsia="宋体"/>
          <w:sz w:val="20"/>
        </w:rPr>
        <w:t xml:space="preserve"> 搭便车智能体无私有信号，只能猜测。最优搭便车策略为投票ACCEPT（因q &gt; 0.5）并报告低置信度（c ≤ 0.7）以限制下行风险。其期望奖励为：</w:t>
      </w:r>
    </w:p>
    <w:p>
      <w:pPr>
        <w:pStyle w:val="CodeBlock"/>
        <w:keepLines/>
        <w:shd w:fill="F2F2F2"/>
      </w:pPr>
      <w:r>
        <w:rPr>
          <w:rFonts w:ascii="Courier New" w:hAnsi="Courier New" w:eastAsia="宋体"/>
          <w:sz w:val="16"/>
        </w:rPr>
        <w:t>E[R | SKIP] = q × α₂ + (1−q) × (−α₃)</w:t>
      </w:r>
    </w:p>
    <w:p>
      <w:r>
        <w:rPr>
          <w:rFonts w:ascii="Times New Roman" w:hAnsi="Times New Roman" w:eastAsia="宋体"/>
          <w:sz w:val="20"/>
        </w:rPr>
        <w:t>准确率 1−pᵢ &gt; 0.7 的诚实智能体报告高置信度，获得：</w:t>
      </w:r>
    </w:p>
    <w:p>
      <w:pPr>
        <w:pStyle w:val="CodeBlock"/>
        <w:keepLines/>
        <w:shd w:fill="F2F2F2"/>
      </w:pPr>
      <w:r>
        <w:rPr>
          <w:rFonts w:ascii="Courier New" w:hAnsi="Courier New" w:eastAsia="宋体"/>
          <w:sz w:val="16"/>
        </w:rPr>
        <w:t>E[R | VERIFY] = (1−pᵢ) × α₁ + pᵢ × (−α₄)</w:t>
      </w:r>
    </w:p>
    <w:p>
      <w:r>
        <w:rPr>
          <w:rFonts w:ascii="Times New Roman" w:hAnsi="Times New Roman" w:eastAsia="宋体"/>
          <w:sz w:val="20"/>
        </w:rPr>
        <w:t>效用差为：</w:t>
      </w:r>
    </w:p>
    <w:p>
      <w:pPr>
        <w:pStyle w:val="CodeBlock"/>
        <w:keepLines/>
        <w:shd w:fill="F2F2F2"/>
      </w:pPr>
      <w:r>
        <w:rPr>
          <w:rFonts w:ascii="Courier New" w:hAnsi="Courier New" w:eastAsia="宋体"/>
          <w:sz w:val="16"/>
        </w:rPr>
        <w:t>Δu = E[R|VERIFY] − v − E[R|SKIP] + δ × ΔF</w:t>
      </w:r>
    </w:p>
    <w:p>
      <w:r>
        <w:rPr>
          <w:rFonts w:ascii="Times New Roman" w:hAnsi="Times New Roman" w:eastAsia="宋体"/>
          <w:sz w:val="20"/>
        </w:rPr>
        <w:t xml:space="preserve">其中 </w:t>
      </w:r>
      <w:r>
        <w:rPr>
          <w:rFonts w:ascii="Courier New" w:hAnsi="Courier New" w:eastAsia="宋体"/>
          <w:sz w:val="18"/>
        </w:rPr>
        <w:t>ΔF</w:t>
      </w:r>
      <w:r>
        <w:rPr>
          <w:rFonts w:ascii="Times New Roman" w:hAnsi="Times New Roman" w:eastAsia="宋体"/>
          <w:sz w:val="20"/>
        </w:rPr>
        <w:t xml:space="preserve"> 表示信誉变化造成的折现未来选择收益；当信誉确实提高未来入选概率时，</w:t>
      </w:r>
      <w:r>
        <w:rPr>
          <w:rFonts w:ascii="Courier New" w:hAnsi="Courier New" w:eastAsia="宋体"/>
          <w:sz w:val="18"/>
        </w:rPr>
        <w:t>ΔF ≥ 0</w:t>
      </w:r>
      <w:r>
        <w:rPr>
          <w:rFonts w:ascii="Times New Roman" w:hAnsi="Times New Roman" w:eastAsia="宋体"/>
          <w:sz w:val="20"/>
        </w:rPr>
        <w:t>。代入实验参数（</w:t>
      </w:r>
      <w:r>
        <w:rPr>
          <w:rFonts w:ascii="Courier New" w:hAnsi="Courier New" w:eastAsia="宋体"/>
          <w:sz w:val="18"/>
        </w:rPr>
        <w:t>p_i = 0.05, q = 0.8, v = 0.2, α₁ = 1.0, α₂ = 0.5, α₃ = 0.3, α₄ = 1.5</w:t>
      </w:r>
      <w:r>
        <w:rPr>
          <w:rFonts w:ascii="Times New Roman" w:hAnsi="Times New Roman" w:eastAsia="宋体"/>
          <w:sz w:val="20"/>
        </w:rPr>
        <w:t>）：</w:t>
      </w:r>
    </w:p>
    <w:p>
      <w:pPr>
        <w:pStyle w:val="CodeBlock"/>
        <w:keepLines/>
        <w:shd w:fill="F2F2F2"/>
      </w:pPr>
      <w:r>
        <w:rPr>
          <w:rFonts w:ascii="Courier New" w:hAnsi="Courier New" w:eastAsia="宋体"/>
          <w:sz w:val="16"/>
        </w:rPr>
        <w:t>E[R|VERIFY] − v = 0.95 × 1.0 + 0.05 × (−1.5) − 0.2 = 0.675</w:t>
        <w:br/>
        <w:t>E[R|SKIP] = 0.8 × 0.5 + 0.2 × (−0.3) = 0.34</w:t>
        <w:br/>
        <w:t>Δu_immediate = 0.335 &gt; 0</w:t>
      </w:r>
    </w:p>
    <w:p>
      <w:r>
        <w:rPr>
          <w:rFonts w:ascii="Times New Roman" w:hAnsi="Times New Roman" w:eastAsia="宋体"/>
          <w:sz w:val="20"/>
        </w:rPr>
        <w:t xml:space="preserve">在 </w:t>
      </w:r>
      <w:r>
        <w:rPr>
          <w:rFonts w:ascii="Courier New" w:hAnsi="Courier New" w:eastAsia="宋体"/>
          <w:sz w:val="18"/>
        </w:rPr>
        <w:t>ΔF ≥ 0</w:t>
      </w:r>
      <w:r>
        <w:rPr>
          <w:rFonts w:ascii="Times New Roman" w:hAnsi="Times New Roman" w:eastAsia="宋体"/>
          <w:sz w:val="20"/>
        </w:rPr>
        <w:t xml:space="preserve"> 的条件下，总效用差为正。该计算说明实验参数满足充分条件，但不排除其他先验、成本或信誉映射下搭便车更有利。□</w:t>
      </w:r>
    </w:p>
    <w:p>
      <w:r>
        <w:rPr>
          <w:rFonts w:ascii="Times New Roman" w:hAnsi="Times New Roman" w:eastAsia="宋体"/>
          <w:sz w:val="20"/>
        </w:rPr>
        <w:t xml:space="preserve">忽略未来收益时，上述参数对应的临界验证成本为 </w:t>
      </w:r>
      <w:r>
        <w:rPr>
          <w:rFonts w:ascii="Courier New" w:hAnsi="Courier New" w:eastAsia="宋体"/>
          <w:sz w:val="18"/>
        </w:rPr>
        <w:t>v_critical = 0.535</w:t>
      </w:r>
      <w:r>
        <w:rPr>
          <w:rFonts w:ascii="Times New Roman" w:hAnsi="Times New Roman" w:eastAsia="宋体"/>
          <w:sz w:val="20"/>
        </w:rPr>
        <w:t>。该阈值是参数化示例，不是与环境无关的常数。</w:t>
      </w:r>
    </w:p>
    <w:p>
      <w:pPr>
        <w:pStyle w:val="Heading2"/>
      </w:pPr>
      <w:r>
        <w:t>C. 命题2：置信度分档与准确率相容</w:t>
      </w:r>
    </w:p>
    <w:p>
      <w:r>
        <w:rPr>
          <w:rFonts w:ascii="Times New Roman" w:hAnsi="Times New Roman" w:eastAsia="宋体"/>
          <w:b/>
          <w:sz w:val="20"/>
        </w:rPr>
        <w:t>命题。</w:t>
      </w:r>
      <w:r>
        <w:rPr>
          <w:rFonts w:ascii="Times New Roman" w:hAnsi="Times New Roman" w:eastAsia="宋体"/>
          <w:sz w:val="20"/>
        </w:rPr>
        <w:t xml:space="preserve"> 当前对齐评分只区分 </w:t>
      </w:r>
      <w:r>
        <w:rPr>
          <w:rFonts w:ascii="Courier New" w:hAnsi="Courier New" w:eastAsia="宋体"/>
          <w:sz w:val="18"/>
        </w:rPr>
        <w:t>c_i &gt; 0.7</w:t>
      </w:r>
      <w:r>
        <w:rPr>
          <w:rFonts w:ascii="Times New Roman" w:hAnsi="Times New Roman" w:eastAsia="宋体"/>
          <w:sz w:val="20"/>
        </w:rPr>
        <w:t xml:space="preserve"> 与 </w:t>
      </w:r>
      <w:r>
        <w:rPr>
          <w:rFonts w:ascii="Courier New" w:hAnsi="Courier New" w:eastAsia="宋体"/>
          <w:sz w:val="18"/>
        </w:rPr>
        <w:t>c_i ≤ 0.7</w:t>
      </w:r>
      <w:r>
        <w:rPr>
          <w:rFonts w:ascii="Times New Roman" w:hAnsi="Times New Roman" w:eastAsia="宋体"/>
          <w:sz w:val="20"/>
        </w:rPr>
        <w:t xml:space="preserve"> 两档。若 </w:t>
      </w:r>
      <w:r>
        <w:rPr>
          <w:rFonts w:ascii="Courier New" w:hAnsi="Courier New" w:eastAsia="宋体"/>
          <w:sz w:val="18"/>
        </w:rPr>
        <w:t>p_i &lt; 1/(1 + (α₄−α₃)/(α₁−α₂))</w:t>
      </w:r>
      <w:r>
        <w:rPr>
          <w:rFonts w:ascii="Times New Roman" w:hAnsi="Times New Roman" w:eastAsia="宋体"/>
          <w:sz w:val="20"/>
        </w:rPr>
        <w:t>，高准确率智能体选择高置信度档的期望奖励更高；低准确率智能体则受到过度自信错误惩罚的约束。</w:t>
      </w:r>
    </w:p>
    <w:p>
      <w:r>
        <w:rPr>
          <w:rFonts w:ascii="Times New Roman" w:hAnsi="Times New Roman" w:eastAsia="宋体"/>
          <w:b/>
          <w:sz w:val="20"/>
        </w:rPr>
        <w:t>证明。</w:t>
      </w:r>
      <w:r>
        <w:rPr>
          <w:rFonts w:ascii="Times New Roman" w:hAnsi="Times New Roman" w:eastAsia="宋体"/>
          <w:sz w:val="20"/>
        </w:rPr>
        <w:t xml:space="preserve"> 准确率 1−pᵢ &gt; 0.7 的智能体在报告高置信度（c &gt; 0.7，如实）与低置信度（c ≤ 0.7，虚报）之间选择：</w:t>
      </w:r>
    </w:p>
    <w:p>
      <w:pPr>
        <w:pStyle w:val="CodeBlock"/>
        <w:keepLines/>
        <w:shd w:fill="F2F2F2"/>
      </w:pPr>
      <w:r>
        <w:rPr>
          <w:rFonts w:ascii="Courier New" w:hAnsi="Courier New" w:eastAsia="宋体"/>
          <w:sz w:val="16"/>
        </w:rPr>
        <w:t>Δ = E[R|c&gt;0.7] − E[R|c≤0.7] = (1−pᵢ)(α₁−α₂) − pᵢ(α₄−α₃)</w:t>
      </w:r>
    </w:p>
    <w:p>
      <w:r>
        <w:rPr>
          <w:rFonts w:ascii="Times New Roman" w:hAnsi="Times New Roman" w:eastAsia="宋体"/>
          <w:sz w:val="20"/>
        </w:rPr>
        <w:t>当 (1−pᵢ)/pᵢ &gt; (α₄−α₃)/(α₁−α₂) 时为正。代入参数：</w:t>
      </w:r>
    </w:p>
    <w:p>
      <w:pPr>
        <w:pStyle w:val="CodeBlock"/>
        <w:keepLines/>
        <w:shd w:fill="F2F2F2"/>
      </w:pPr>
      <w:r>
        <w:rPr>
          <w:rFonts w:ascii="Courier New" w:hAnsi="Courier New" w:eastAsia="宋体"/>
          <w:sz w:val="16"/>
        </w:rPr>
        <w:t>(α₄−α₃)/(α₁−α₂) = 1.2/0.5 = 2.4</w:t>
      </w:r>
    </w:p>
    <w:p>
      <w:r>
        <w:rPr>
          <w:rFonts w:ascii="Times New Roman" w:hAnsi="Times New Roman" w:eastAsia="宋体"/>
          <w:sz w:val="20"/>
        </w:rPr>
        <w:t>条件变为 pᵢ &lt; 1/3.4 ≈ 0.294，对所有合格智能体（准确率 &gt; 70%）成立。</w:t>
      </w:r>
    </w:p>
    <w:p>
      <w:r>
        <w:rPr>
          <w:rFonts w:ascii="Times New Roman" w:hAnsi="Times New Roman" w:eastAsia="宋体"/>
          <w:sz w:val="20"/>
        </w:rPr>
        <w:t>对称地，准确率 1−pᵢ ≤ 0.7 的智能体发现虚报高置信度（报告 c &gt; 0.7）的期望收益为负，因为过度自信错误的重罚α₄超过了α₁带来的收益。</w:t>
      </w:r>
    </w:p>
    <w:p>
      <w:r>
        <w:rPr>
          <w:rFonts w:ascii="Times New Roman" w:hAnsi="Times New Roman" w:eastAsia="宋体"/>
          <w:sz w:val="20"/>
        </w:rPr>
        <w:t xml:space="preserve">因此，该评分与“高准确率选择高置信度档”相容。它不能证明连续值 </w:t>
      </w:r>
      <w:r>
        <w:rPr>
          <w:rFonts w:ascii="Courier New" w:hAnsi="Courier New" w:eastAsia="宋体"/>
          <w:sz w:val="18"/>
        </w:rPr>
        <w:t>c_i = 1−p_i</w:t>
      </w:r>
      <w:r>
        <w:rPr>
          <w:rFonts w:ascii="Times New Roman" w:hAnsi="Times New Roman" w:eastAsia="宋体"/>
          <w:sz w:val="20"/>
        </w:rPr>
        <w:t xml:space="preserve"> 的严格真实性：同一档内的不同报告获得相同对齐奖励，却会产生不同投票权重。连续置信度仍需外部校准、裁剪或适当评分规则约束；第 VIII 节对此进行经验评估。□</w:t>
      </w:r>
    </w:p>
    <w:p>
      <w:pPr>
        <w:pStyle w:val="Heading2"/>
      </w:pPr>
      <w:r>
        <w:t>D. 贿赂攻击的成本条件</w:t>
      </w:r>
    </w:p>
    <w:p>
      <w:r>
        <w:rPr>
          <w:rFonts w:ascii="Times New Roman" w:hAnsi="Times New Roman" w:eastAsia="宋体"/>
          <w:sz w:val="20"/>
        </w:rPr>
        <w:t xml:space="preserve">设 </w:t>
      </w:r>
      <w:r>
        <w:rPr>
          <w:rFonts w:ascii="Courier New" w:hAnsi="Courier New" w:eastAsia="宋体"/>
          <w:sz w:val="18"/>
        </w:rPr>
        <w:t>B</w:t>
      </w:r>
      <w:r>
        <w:rPr>
          <w:rFonts w:ascii="Times New Roman" w:hAnsi="Times New Roman" w:eastAsia="宋体"/>
          <w:sz w:val="20"/>
        </w:rPr>
        <w:t xml:space="preserve"> 为外部贿赂金额。若错误投票造成的即时惩罚、未来入选损失与观察期损失之和超过 </w:t>
      </w:r>
      <w:r>
        <w:rPr>
          <w:rFonts w:ascii="Courier New" w:hAnsi="Courier New" w:eastAsia="宋体"/>
          <w:sz w:val="18"/>
        </w:rPr>
        <w:t>B</w:t>
      </w:r>
      <w:r>
        <w:rPr>
          <w:rFonts w:ascii="Times New Roman" w:hAnsi="Times New Roman" w:eastAsia="宋体"/>
          <w:sz w:val="20"/>
        </w:rPr>
        <w:t>，理性智能体拒绝贿赂。可写为：</w:t>
      </w:r>
    </w:p>
    <w:p>
      <w:pPr>
        <w:pStyle w:val="CodeBlock"/>
        <w:keepLines/>
        <w:shd w:fill="F2F2F2"/>
      </w:pPr>
      <w:r>
        <w:rPr>
          <w:rFonts w:ascii="Courier New" w:hAnsi="Courier New" w:eastAsia="宋体"/>
          <w:sz w:val="16"/>
        </w:rPr>
        <w:t>B_threshold = α₄ × λ_r + π × δ/(1−δ) × ΔP_sel + 0.5 × P_sel × π × k_obs</w:t>
      </w:r>
    </w:p>
    <w:p>
      <w:r>
        <w:rPr>
          <w:rFonts w:ascii="Times New Roman" w:hAnsi="Times New Roman" w:eastAsia="宋体"/>
          <w:sz w:val="20"/>
        </w:rPr>
        <w:t>ΔP_sel为信誉损失导致的选择概率下降，k_obs为观察期长度。</w:t>
      </w:r>
    </w:p>
    <w:p>
      <w:r>
        <w:rPr>
          <w:rFonts w:ascii="Times New Roman" w:hAnsi="Times New Roman" w:eastAsia="宋体"/>
          <w:sz w:val="20"/>
        </w:rPr>
        <w:t>接受贿赂并错误投票的智能体可能承受：</w:t>
      </w:r>
    </w:p>
    <w:p>
      <w:pPr>
        <w:pStyle w:val="ListNumber"/>
      </w:pPr>
      <w:r>
        <w:rPr>
          <w:rFonts w:ascii="Times New Roman" w:hAnsi="Times New Roman" w:eastAsia="宋体"/>
          <w:sz w:val="20"/>
        </w:rPr>
        <w:t>即时信誉损失：−α₄ × λ_r（高置信度错误投票）</w:t>
      </w:r>
    </w:p>
    <w:p>
      <w:pPr>
        <w:pStyle w:val="ListNumber"/>
      </w:pPr>
      <w:r>
        <w:rPr>
          <w:rFonts w:ascii="Times New Roman" w:hAnsi="Times New Roman" w:eastAsia="宋体"/>
          <w:sz w:val="20"/>
        </w:rPr>
        <w:t>永久选择概率下降：ΔP_sel = Δrep / (N × rep_avg)</w:t>
      </w:r>
    </w:p>
    <w:p>
      <w:pPr>
        <w:pStyle w:val="ListNumber"/>
      </w:pPr>
      <w:r>
        <w:rPr>
          <w:rFonts w:ascii="Times New Roman" w:hAnsi="Times New Roman" w:eastAsia="宋体"/>
          <w:sz w:val="20"/>
        </w:rPr>
        <w:t>观察期惩罚（若异常检测触发）：选择概率减半持续k_obs个任务</w:t>
      </w:r>
    </w:p>
    <w:p>
      <w:r>
        <w:rPr>
          <w:rFonts w:ascii="Times New Roman" w:hAnsi="Times New Roman" w:eastAsia="宋体"/>
          <w:sz w:val="20"/>
        </w:rPr>
        <w:t>该表达式提供参数选择约束，而不是无条件的经济安全定理。</w:t>
      </w:r>
      <w:r>
        <w:rPr>
          <w:rFonts w:ascii="Courier New" w:hAnsi="Courier New" w:eastAsia="宋体"/>
          <w:sz w:val="18"/>
        </w:rPr>
        <w:t>ΔP_sel</w:t>
      </w:r>
      <w:r>
        <w:rPr>
          <w:rFonts w:ascii="Times New Roman" w:hAnsi="Times New Roman" w:eastAsia="宋体"/>
          <w:sz w:val="20"/>
        </w:rPr>
        <w:t xml:space="preserve">、任务价值、折现因子和可执行惩罚均依赖部署；在这些量被实测或合约化之前，不报告具体“最低攻击成本”。风险分级通过增大 </w:t>
      </w:r>
      <w:r>
        <w:rPr>
          <w:rFonts w:ascii="Courier New" w:hAnsi="Courier New" w:eastAsia="宋体"/>
          <w:sz w:val="18"/>
        </w:rPr>
        <w:t>λ_r</w:t>
      </w:r>
      <w:r>
        <w:rPr>
          <w:rFonts w:ascii="Times New Roman" w:hAnsi="Times New Roman" w:eastAsia="宋体"/>
          <w:sz w:val="20"/>
        </w:rPr>
        <w:t xml:space="preserve"> 提高惩罚，但高价值任务仍需保证惩罚可执行且不低于可获利上限。</w:t>
      </w:r>
    </w:p>
    <w:p>
      <w:pPr>
        <w:pStyle w:val="Heading2"/>
      </w:pPr>
      <w:r>
        <w:t>E. 选组与串谋风险</w:t>
      </w:r>
    </w:p>
    <w:p>
      <w:r>
        <w:rPr>
          <w:rFonts w:ascii="Times New Roman" w:hAnsi="Times New Roman" w:eastAsia="宋体"/>
          <w:sz w:val="20"/>
        </w:rPr>
        <w:t>联盟攻击至少需要三个条件同时满足：</w:t>
      </w:r>
    </w:p>
    <w:p>
      <w:r>
        <w:rPr>
          <w:rFonts w:ascii="Times New Roman" w:hAnsi="Times New Roman" w:eastAsia="宋体"/>
          <w:sz w:val="20"/>
        </w:rPr>
        <w:t xml:space="preserve">(1) </w:t>
      </w:r>
      <w:r>
        <w:rPr>
          <w:rFonts w:ascii="Times New Roman" w:hAnsi="Times New Roman" w:eastAsia="宋体"/>
          <w:i/>
          <w:sz w:val="20"/>
        </w:rPr>
        <w:t>共同入选</w:t>
      </w:r>
      <w:r>
        <w:rPr>
          <w:rFonts w:ascii="Times New Roman" w:hAnsi="Times New Roman" w:eastAsia="宋体"/>
          <w:sz w:val="20"/>
        </w:rPr>
        <w:t>：k个串通智能体必须被选入同一组。在哈希种子选择和组织约束下：</w:t>
      </w:r>
    </w:p>
    <w:p>
      <w:pPr>
        <w:pStyle w:val="CodeBlock"/>
        <w:keepLines/>
        <w:shd w:fill="F2F2F2"/>
      </w:pPr>
      <w:r>
        <w:rPr>
          <w:rFonts w:ascii="Courier New" w:hAnsi="Courier New" w:eastAsia="宋体"/>
          <w:sz w:val="16"/>
        </w:rPr>
        <w:t>P(k agents co-selected) ≤ C(N−k, n−k) / C(N, n) × (组织约束因子)</w:t>
      </w:r>
    </w:p>
    <w:p>
      <w:r>
        <w:rPr>
          <w:rFonts w:ascii="Times New Roman" w:hAnsi="Times New Roman" w:eastAsia="宋体"/>
          <w:sz w:val="20"/>
        </w:rPr>
        <w:t>对于k = 3, N = 20, n = 5：P ≈ 0.009。</w:t>
      </w:r>
    </w:p>
    <w:p>
      <w:r>
        <w:rPr>
          <w:rFonts w:ascii="Times New Roman" w:hAnsi="Times New Roman" w:eastAsia="宋体"/>
          <w:sz w:val="20"/>
        </w:rPr>
        <w:t xml:space="preserve">(2) </w:t>
      </w:r>
      <w:r>
        <w:rPr>
          <w:rFonts w:ascii="Times New Roman" w:hAnsi="Times New Roman" w:eastAsia="宋体"/>
          <w:i/>
          <w:sz w:val="20"/>
        </w:rPr>
        <w:t>权重充足</w:t>
      </w:r>
      <w:r>
        <w:rPr>
          <w:rFonts w:ascii="Times New Roman" w:hAnsi="Times New Roman" w:eastAsia="宋体"/>
          <w:sz w:val="20"/>
        </w:rPr>
        <w:t>：联盟的聚合权重必须超过阈值。在 rep_max/rep_min = 2 的约束下，k = 2的联盟需要 rep_c/rep_h ≥ 2.8，超出信誉上限。k = 3的联盟需要 rep_c/rep_h ≥ 1.24，可实现但受约束。</w:t>
      </w:r>
    </w:p>
    <w:p>
      <w:r>
        <w:rPr>
          <w:rFonts w:ascii="Times New Roman" w:hAnsi="Times New Roman" w:eastAsia="宋体"/>
          <w:sz w:val="20"/>
        </w:rPr>
        <w:t xml:space="preserve">(3) </w:t>
      </w:r>
      <w:r>
        <w:rPr>
          <w:rFonts w:ascii="Times New Roman" w:hAnsi="Times New Roman" w:eastAsia="宋体"/>
          <w:i/>
          <w:sz w:val="20"/>
        </w:rPr>
        <w:t>逃避检测</w:t>
      </w:r>
      <w:r>
        <w:rPr>
          <w:rFonts w:ascii="Times New Roman" w:hAnsi="Times New Roman" w:eastAsia="宋体"/>
          <w:sz w:val="20"/>
        </w:rPr>
        <w:t>：共谋检测机制监控争议任务上的成对条件相关性。第 VIII-D.4 节显示，约 50 个共同争议任务后检测才趋于稳定；短窗口下仍存在显著误报与漏报。</w:t>
      </w:r>
    </w:p>
    <w:p>
      <w:r>
        <w:rPr>
          <w:rFonts w:ascii="Times New Roman" w:hAnsi="Times New Roman" w:eastAsia="宋体"/>
          <w:sz w:val="20"/>
        </w:rPr>
        <w:t xml:space="preserve">因此，随机选组和组织约束降低了联盟共同入选概率，但不能把攻击风险简化为一个与数据分布无关的 </w:t>
      </w:r>
      <w:r>
        <w:rPr>
          <w:rFonts w:ascii="Courier New" w:hAnsi="Courier New" w:eastAsia="宋体"/>
          <w:sz w:val="18"/>
        </w:rPr>
        <w:t>O(N^{-k})</w:t>
      </w:r>
      <w:r>
        <w:rPr>
          <w:rFonts w:ascii="Times New Roman" w:hAnsi="Times New Roman" w:eastAsia="宋体"/>
          <w:sz w:val="20"/>
        </w:rPr>
        <w:t xml:space="preserve"> 界。实际风险还取决于信誉权重、委员会抽样偏置、任务流长度和检测误差。</w:t>
      </w:r>
    </w:p>
    <w:p>
      <w:pPr>
        <w:pStyle w:val="Heading2"/>
      </w:pPr>
      <w:r>
        <w:t>F. 均衡刻画</w:t>
      </w:r>
    </w:p>
    <w:p>
      <w:r>
        <w:rPr>
          <w:rFonts w:ascii="Times New Roman" w:hAnsi="Times New Roman" w:eastAsia="宋体"/>
          <w:sz w:val="20"/>
        </w:rPr>
        <w:t>综合上述分析，机制希望满足以下参数条件：</w:t>
      </w:r>
    </w:p>
    <w:p>
      <w:pPr>
        <w:pStyle w:val="ListBullet"/>
      </w:pPr>
      <w:r>
        <w:rPr>
          <w:rFonts w:ascii="Times New Roman" w:hAnsi="Times New Roman" w:eastAsia="宋体"/>
          <w:sz w:val="20"/>
        </w:rPr>
        <w:t>(C1) v &lt; v_critical（验证成本有界）</w:t>
      </w:r>
    </w:p>
    <w:p>
      <w:pPr>
        <w:pStyle w:val="ListBullet"/>
      </w:pPr>
      <w:r>
        <w:rPr>
          <w:rFonts w:ascii="Times New Roman" w:hAnsi="Times New Roman" w:eastAsia="宋体"/>
          <w:sz w:val="20"/>
        </w:rPr>
        <w:t>(C2) (α₄−α₃)/(α₁−α₂) &lt; (1−p_max)/p_max（惩罚比率匹配准确率门槛）</w:t>
      </w:r>
    </w:p>
    <w:p>
      <w:pPr>
        <w:pStyle w:val="ListBullet"/>
      </w:pPr>
      <w:r>
        <w:rPr>
          <w:rFonts w:ascii="Times New Roman" w:hAnsi="Times New Roman" w:eastAsia="宋体"/>
          <w:sz w:val="20"/>
        </w:rPr>
        <w:t>(C3) B_threshold &gt; W/⌈n/2⌉ 对所有任务价值W成立（经济安全性）</w:t>
      </w:r>
    </w:p>
    <w:p>
      <w:pPr>
        <w:pStyle w:val="ListBullet"/>
      </w:pPr>
      <w:r>
        <w:rPr>
          <w:rFonts w:ascii="Times New Roman" w:hAnsi="Times New Roman" w:eastAsia="宋体"/>
          <w:sz w:val="20"/>
        </w:rPr>
        <w:t>(C4) rep_max/rep_min ≤ (n−f)×c_min×(1−θ)/(f×θ)（信誉上限保证阈值有效性）</w:t>
      </w:r>
    </w:p>
    <w:p>
      <w:r>
        <w:rPr>
          <w:rFonts w:ascii="Times New Roman" w:hAnsi="Times New Roman" w:eastAsia="宋体"/>
          <w:sz w:val="20"/>
        </w:rPr>
        <w:t>在这些条件和给定先验下，可以得到三项条件性结论：验证相对搭便车具有正的期望效用差；高准确率与高置信度分档相容；信誉损失提高持续作恶和外部贿赂的成本。由于最终结果由委员会内生决定、置信度评分采用分档而非严格适当评分规则，本文不再声称无条件 DSIC、唯一占优策略均衡或精确的联盟攻击概率。重复博弈中的信誉机制可强化诚实行为，但其效果由第 VIII-D.4 与 D.8 节经验验证，而非直接诉诸 Folk Theorem。</w:t>
      </w:r>
    </w:p>
    <w:p>
      <w:pPr>
        <w:pStyle w:val="Heading1"/>
      </w:pPr>
      <w:r>
        <w:t>VI. 安全性分析</w:t>
      </w:r>
    </w:p>
    <w:p>
      <w:r>
        <w:rPr>
          <w:rFonts w:ascii="Times New Roman" w:hAnsi="Times New Roman" w:eastAsia="宋体"/>
          <w:sz w:val="20"/>
        </w:rPr>
        <w:t>上一节给出了理性参与者在特定参数下的效用条件。本节转向不服从激励的对手，并区分确定性安全条件、概率性误差模型与实现层残余风险。这里的“安全性”指限制错误链下输出被业务合约接受的条件与概率，不指证明语义真值。</w:t>
      </w:r>
    </w:p>
    <w:p>
      <w:pPr>
        <w:pStyle w:val="Heading2"/>
      </w:pPr>
      <w:r>
        <w:t>A. 安全性：错误输出被接受的条件</w:t>
      </w:r>
    </w:p>
    <w:p>
      <w:r>
        <w:rPr>
          <w:rFonts w:ascii="Times New Roman" w:hAnsi="Times New Roman" w:eastAsia="宋体"/>
          <w:sz w:val="20"/>
        </w:rPr>
        <w:t xml:space="preserve">在快速路径中，错误输出能够直接终结，当且仅当支持该输出的有效权重达到阈值 </w:t>
      </w:r>
      <w:r>
        <w:rPr>
          <w:rFonts w:ascii="Courier New" w:hAnsi="Courier New" w:eastAsia="宋体"/>
          <w:sz w:val="18"/>
        </w:rPr>
        <w:t>θ</w:t>
      </w:r>
      <w:r>
        <w:rPr>
          <w:rFonts w:ascii="Times New Roman" w:hAnsi="Times New Roman" w:eastAsia="宋体"/>
          <w:sz w:val="20"/>
        </w:rPr>
        <w:t xml:space="preserve">。因此，确定性保证应表述为“恶意权重份额小于 </w:t>
      </w:r>
      <w:r>
        <w:rPr>
          <w:rFonts w:ascii="Courier New" w:hAnsi="Courier New" w:eastAsia="宋体"/>
          <w:sz w:val="18"/>
        </w:rPr>
        <w:t>θ</w:t>
      </w:r>
      <w:r>
        <w:rPr>
          <w:rFonts w:ascii="Times New Roman" w:hAnsi="Times New Roman" w:eastAsia="宋体"/>
          <w:sz w:val="20"/>
        </w:rPr>
        <w:t xml:space="preserve"> 时，恶意方不能单独终结错误结果”，而不是仅按恶意智能体数量给出容错结论。</w:t>
      </w:r>
      <w:r>
        <w:rPr>
          <w:rFonts w:ascii="Courier New" w:hAnsi="Courier New" w:eastAsia="宋体"/>
          <w:sz w:val="18"/>
        </w:rPr>
        <w:t>n = 5, f = 2</w:t>
      </w:r>
      <w:r>
        <w:rPr>
          <w:rFonts w:ascii="Times New Roman" w:hAnsi="Times New Roman" w:eastAsia="宋体"/>
          <w:sz w:val="20"/>
        </w:rPr>
        <w:t xml:space="preserve"> 只有在单体权重边界、最低诚实置信度和信誉分布同时满足式（4）时才落入该条件；否则任务应进入仲裁。</w:t>
      </w:r>
    </w:p>
    <w:p>
      <w:pPr>
        <w:pStyle w:val="Heading2"/>
      </w:pPr>
      <w:r>
        <w:t>B. 抗集中化：组织、模型与 provider 约束</w:t>
      </w:r>
    </w:p>
    <w:p>
      <w:r>
        <w:rPr>
          <w:rFonts w:ascii="Times New Roman" w:hAnsi="Times New Roman" w:eastAsia="宋体"/>
          <w:sz w:val="20"/>
        </w:rPr>
        <w:t>抗集中化分三个层面。其一，</w:t>
      </w:r>
      <w:r>
        <w:rPr>
          <w:rFonts w:ascii="Times New Roman" w:hAnsi="Times New Roman" w:eastAsia="宋体"/>
          <w:i/>
          <w:sz w:val="20"/>
        </w:rPr>
        <w:t>组织约束</w:t>
      </w:r>
      <w:r>
        <w:rPr>
          <w:rFonts w:ascii="Times New Roman" w:hAnsi="Times New Roman" w:eastAsia="宋体"/>
          <w:sz w:val="20"/>
        </w:rPr>
        <w:t>：智能体注册依赖组织背书，链下选择器限制同组织席位不超过 ⌊n/3⌋；该约束只在组织标签可信且选择器正确执行时防止单一组织主导委员会,不能独立解决 Sybil 问题。其二，</w:t>
      </w:r>
      <w:r>
        <w:rPr>
          <w:rFonts w:ascii="Times New Roman" w:hAnsi="Times New Roman" w:eastAsia="宋体"/>
          <w:i/>
          <w:sz w:val="20"/>
        </w:rPr>
        <w:t>模型相关失败</w:t>
      </w:r>
      <w:r>
        <w:rPr>
          <w:rFonts w:ascii="Times New Roman" w:hAnsi="Times New Roman" w:eastAsia="宋体"/>
          <w:sz w:val="20"/>
        </w:rPr>
        <w:t xml:space="preserve">：不同组织若调用同一模型或共享基础设施,错误仍可能相关；协议把 </w:t>
      </w:r>
      <w:r>
        <w:rPr>
          <w:rFonts w:ascii="Courier New" w:hAnsi="Courier New" w:eastAsia="宋体"/>
          <w:sz w:val="18"/>
        </w:rPr>
        <w:t>model_id_hash</w:t>
      </w:r>
      <w:r>
        <w:rPr>
          <w:rFonts w:ascii="Times New Roman" w:hAnsi="Times New Roman" w:eastAsia="宋体"/>
          <w:sz w:val="20"/>
        </w:rPr>
        <w:t xml:space="preserve"> 纳入选组约束,但第 VIII-D.10 节只测量了两个本地模型,没有独立测量 provider 故障。其三，</w:t>
      </w:r>
      <w:r>
        <w:rPr>
          <w:rFonts w:ascii="Times New Roman" w:hAnsi="Times New Roman" w:eastAsia="宋体"/>
          <w:i/>
          <w:sz w:val="20"/>
        </w:rPr>
        <w:t>职责集中度</w:t>
      </w:r>
      <w:r>
        <w:rPr>
          <w:rFonts w:ascii="Times New Roman" w:hAnsi="Times New Roman" w:eastAsia="宋体"/>
          <w:sz w:val="20"/>
        </w:rPr>
        <w:t>：基于任务种子的轮换降低固定委员会的长期垄断,但链下协调服务仍是编排和数据可用性的集中点。</w:t>
      </w:r>
    </w:p>
    <w:p>
      <w:pPr>
        <w:pStyle w:val="Heading2"/>
      </w:pPr>
      <w:r>
        <w:t>C. Commit-Reveal安全性</w:t>
      </w:r>
    </w:p>
    <w:p>
      <w:r>
        <w:rPr>
          <w:rFonts w:ascii="Times New Roman" w:hAnsi="Times New Roman" w:eastAsia="宋体"/>
          <w:sz w:val="20"/>
        </w:rPr>
        <w:t>commit-reveal 限制两类攻击向量：</w:t>
      </w:r>
    </w:p>
    <w:p>
      <w:pPr>
        <w:pStyle w:val="ListBullet"/>
      </w:pPr>
      <w:r>
        <w:rPr>
          <w:rFonts w:ascii="Times New Roman" w:hAnsi="Times New Roman" w:eastAsia="宋体"/>
          <w:b/>
          <w:sz w:val="20"/>
        </w:rPr>
        <w:t>从众攻击</w:t>
      </w:r>
      <w:r>
        <w:rPr>
          <w:rFonts w:ascii="Times New Roman" w:hAnsi="Times New Roman" w:eastAsia="宋体"/>
          <w:sz w:val="20"/>
        </w:rPr>
        <w:t>：若协调服务在承诺阶段不泄露任何揭示，智能体无法先观察他人判断再复制。该性质依赖服务向所有参与者执行一致的阶段边界；链上摘要只提供事后检测，不能实时阻止泄露。</w:t>
      </w:r>
    </w:p>
    <w:p>
      <w:pPr>
        <w:pStyle w:val="ListBullet"/>
      </w:pPr>
      <w:r>
        <w:rPr>
          <w:rFonts w:ascii="Times New Roman" w:hAnsi="Times New Roman" w:eastAsia="宋体"/>
          <w:b/>
          <w:sz w:val="20"/>
        </w:rPr>
        <w:t>沉默攻击</w:t>
      </w:r>
      <w:r>
        <w:rPr>
          <w:rFonts w:ascii="Times New Roman" w:hAnsi="Times New Roman" w:eastAsia="宋体"/>
          <w:sz w:val="20"/>
        </w:rPr>
        <w:t xml:space="preserve">：扣留揭示会触发 </w:t>
      </w:r>
      <w:r>
        <w:rPr>
          <w:rFonts w:ascii="Courier New" w:hAnsi="Courier New" w:eastAsia="宋体"/>
          <w:sz w:val="18"/>
        </w:rPr>
        <w:t>−α₅ = −2.0</w:t>
      </w:r>
      <w:r>
        <w:rPr>
          <w:rFonts w:ascii="Times New Roman" w:hAnsi="Times New Roman" w:eastAsia="宋体"/>
          <w:sz w:val="20"/>
        </w:rPr>
        <w:t xml:space="preserve"> 的信誉惩罚并可能触发仲裁。惩罚提高沉默成本，但不能阻止以拒绝服务为目标、且不在乎信誉的对手。</w:t>
      </w:r>
    </w:p>
    <w:p>
      <w:pPr>
        <w:pStyle w:val="Heading2"/>
      </w:pPr>
      <w:r>
        <w:t>D. 证据完整性</w:t>
      </w:r>
    </w:p>
    <w:p>
      <w:r>
        <w:rPr>
          <w:rFonts w:ascii="Times New Roman" w:hAnsi="Times New Roman" w:eastAsia="宋体"/>
          <w:sz w:val="20"/>
        </w:rPr>
        <w:t>证据完整性由源链终局性、状态证明与签名验证共同提供。双收集者降低单个收集者省略或替换证据而不被发现的概率；如果证据本身可独立验证，单个伪造包应在确定性门控中失败。该设计不能证明上链记录对应的现实事件真实，也不能防止两个收集者对同一真实但误导性的账本状态给出一致证据。</w:t>
      </w:r>
    </w:p>
    <w:p>
      <w:pPr>
        <w:pStyle w:val="Heading2"/>
      </w:pPr>
      <w:r>
        <w:t>E. 活性</w:t>
      </w:r>
    </w:p>
    <w:p>
      <w:r>
        <w:rPr>
          <w:rFonts w:ascii="Times New Roman" w:hAnsi="Times New Roman" w:eastAsia="宋体"/>
          <w:sz w:val="20"/>
        </w:rPr>
        <w:t>在源链 RPC、协调服务、足够数量的智能体和目标链可用的条件下，各阶段显式超时保证状态机终止。最坏情况路径长度满足：</w:t>
      </w:r>
    </w:p>
    <w:p>
      <w:pPr>
        <w:pStyle w:val="CodeBlock"/>
        <w:keepLines/>
        <w:shd w:fill="F2F2F2"/>
      </w:pPr>
      <w:r>
        <w:rPr>
          <w:rFonts w:ascii="Courier New" w:hAnsi="Courier New" w:eastAsia="宋体"/>
          <w:sz w:val="16"/>
        </w:rPr>
        <w:t>T_worst = T_collect + T_retry + T_commit + T_reveal + T_arbitrate ≤ T_global = 90s</w:t>
      </w:r>
    </w:p>
    <w:p>
      <w:pPr>
        <w:pStyle w:val="Heading2"/>
      </w:pPr>
      <w:r>
        <w:t>F. 共识安全性的解析模型</w:t>
      </w:r>
    </w:p>
    <w:p>
      <w:r>
        <w:rPr>
          <w:rFonts w:ascii="Times New Roman" w:hAnsi="Times New Roman" w:eastAsia="宋体"/>
          <w:sz w:val="20"/>
        </w:rPr>
        <w:t>本节为第 VI-A 节引用的共识安全性提供解析依据，并刻画误受概率随组规模与误差率的衰减。考虑 ground-truth 为 REJECT 的任务（误受即在此类任务上错误输出 CONFIRMED；对 ground-truth 为 ACCEPT 的情形对称地给出漏报界）。令组内归一化权重 Σ_i w_i = 1，恶意智能体占总权重 W_m、诚实智能体占 W_h = 1 − W_m。定义加权 ACCEPT 份额 S_A = Σ_i w_i·X_i，其中恶意智能体取 X_i = 1（伪造接受），诚实智能体以其语义误差率 p 独立取 X_i = 1。由式(2)(3)，误受当且仅当 S_A ≥ θ。</w:t>
      </w:r>
    </w:p>
    <w:p>
      <w:r>
        <w:rPr>
          <w:rFonts w:ascii="Times New Roman" w:hAnsi="Times New Roman" w:eastAsia="宋体"/>
          <w:b/>
          <w:sz w:val="20"/>
        </w:rPr>
        <w:t>命题1（确定性层，p = 0）。</w:t>
      </w:r>
      <w:r>
        <w:rPr>
          <w:rFonts w:ascii="Times New Roman" w:hAnsi="Times New Roman" w:eastAsia="宋体"/>
          <w:sz w:val="20"/>
        </w:rPr>
        <w:t xml:space="preserve"> 在密码/结构预验证层，诚实智能体误差为 0，故 E[S_A] = W_m，误受 ⟺ W_m ≥ θ。当组内恶意数 f ≤ ⌊(n−1)/2⌋ 且阈值满足式(4)时，最坏情况恶意权重</w:t>
      </w:r>
    </w:p>
    <w:p>
      <w:pPr>
        <w:pStyle w:val="CodeBlock"/>
        <w:keepLines/>
        <w:shd w:fill="F2F2F2"/>
      </w:pPr>
      <w:r>
        <w:rPr>
          <w:rFonts w:ascii="Courier New" w:hAnsi="Courier New" w:eastAsia="宋体"/>
          <w:sz w:val="16"/>
        </w:rPr>
        <w:t>W_m = f·w_max / (f·w_max + (n−f)·w_min) &lt; θ</w:t>
      </w:r>
    </w:p>
    <w:p>
      <w:r>
        <w:rPr>
          <w:rFonts w:ascii="Times New Roman" w:hAnsi="Times New Roman" w:eastAsia="宋体"/>
          <w:sz w:val="20"/>
        </w:rPr>
        <w:t>因而误受概率为 0，落入未决区间的分歧任务转入仲裁。该命题即式(4)的安全性表述。</w:t>
      </w:r>
    </w:p>
    <w:p>
      <w:r>
        <w:rPr>
          <w:rFonts w:ascii="Times New Roman" w:hAnsi="Times New Roman" w:eastAsia="宋体"/>
          <w:b/>
          <w:sz w:val="20"/>
        </w:rPr>
        <w:t>命题2（概率语义层，p &gt; 0）。</w:t>
      </w:r>
      <w:r>
        <w:rPr>
          <w:rFonts w:ascii="Times New Roman" w:hAnsi="Times New Roman" w:eastAsia="宋体"/>
          <w:sz w:val="20"/>
        </w:rPr>
        <w:t xml:space="preserve"> 诚实智能体独立以概率 p 误判时，S_A 的均值与方差为</w:t>
      </w:r>
    </w:p>
    <w:p>
      <w:pPr>
        <w:pStyle w:val="CodeBlock"/>
        <w:keepLines/>
        <w:shd w:fill="F2F2F2"/>
      </w:pPr>
      <w:r>
        <w:rPr>
          <w:rFonts w:ascii="Courier New" w:hAnsi="Courier New" w:eastAsia="宋体"/>
          <w:sz w:val="16"/>
        </w:rPr>
        <w:t>E[S_A]   = W_m + p·W_h</w:t>
        <w:br/>
        <w:t>Var[S_A] = p(1−p)·Σ_{i∈honest} w_i²</w:t>
      </w:r>
    </w:p>
    <w:p>
      <w:r>
        <w:rPr>
          <w:rFonts w:ascii="Times New Roman" w:hAnsi="Times New Roman" w:eastAsia="宋体"/>
          <w:sz w:val="20"/>
        </w:rPr>
        <w:t>当组规模 n 较大时，由中心极限定理 S_A 近似正态，误受概率有闭式近似</w:t>
      </w:r>
    </w:p>
    <w:p>
      <w:pPr>
        <w:pStyle w:val="CodeBlock"/>
        <w:keepLines/>
        <w:shd w:fill="F2F2F2"/>
      </w:pPr>
      <w:r>
        <w:rPr>
          <w:rFonts w:ascii="Courier New" w:hAnsi="Courier New" w:eastAsia="宋体"/>
          <w:sz w:val="16"/>
        </w:rPr>
        <w:t>P_fa ≈ 1 − Φ( (θ − W_m − p·W_h) / sqrt( p(1−p)·Σ_{i∈honest} w_i² ) )          (7)</w:t>
      </w:r>
    </w:p>
    <w:p>
      <w:r>
        <w:rPr>
          <w:rFonts w:ascii="Times New Roman" w:hAnsi="Times New Roman" w:eastAsia="宋体"/>
          <w:sz w:val="20"/>
        </w:rPr>
        <w:t>其中 Φ 为标准正态分布的 CDF。式(7)与 [3] 的加权聚合成功率推导同构，但将“恶意权重 W_m”与“诚实语义误差 p”显式分离，从而同时刻画对抗误差与噪声误差两类来源。由此得安全设计条件 θ &gt; W_m + p·W_h：阈值须同时压过恶意权重与诚实误差的期望贡献；当 p → 0 时退化为命题1的条件 θ &gt; W_m。</w:t>
      </w:r>
    </w:p>
    <w:p>
      <w:r>
        <w:rPr>
          <w:rFonts w:ascii="Times New Roman" w:hAnsi="Times New Roman" w:eastAsia="宋体"/>
          <w:b/>
          <w:sz w:val="20"/>
        </w:rPr>
        <w:t>推论1（独立同分布近似下的指数项）。</w:t>
      </w:r>
      <w:r>
        <w:rPr>
          <w:rFonts w:ascii="Times New Roman" w:hAnsi="Times New Roman" w:eastAsia="宋体"/>
          <w:sz w:val="20"/>
        </w:rPr>
        <w:t xml:space="preserve"> 在等权、诚实误差独立且同分布的近似下，误受需至少 </w:t>
      </w:r>
      <w:r>
        <w:rPr>
          <w:rFonts w:ascii="Courier New" w:hAnsi="Courier New" w:eastAsia="宋体"/>
          <w:sz w:val="18"/>
        </w:rPr>
        <w:t>⌈θn⌉ − f</w:t>
      </w:r>
      <w:r>
        <w:rPr>
          <w:rFonts w:ascii="Times New Roman" w:hAnsi="Times New Roman" w:eastAsia="宋体"/>
          <w:sz w:val="20"/>
        </w:rPr>
        <w:t xml:space="preserve"> 个诚实智能体同时误判，故</w:t>
      </w:r>
    </w:p>
    <w:p>
      <w:pPr>
        <w:pStyle w:val="CodeBlock"/>
        <w:keepLines/>
        <w:shd w:fill="F2F2F2"/>
      </w:pPr>
      <w:r>
        <w:rPr>
          <w:rFonts w:ascii="Courier New" w:hAnsi="Courier New" w:eastAsia="宋体"/>
          <w:sz w:val="16"/>
        </w:rPr>
        <w:t>P_fa ≤ C(n−f, ⌈θn⌉−f) · p^{⌈θn⌉−f} = O( p^{⌈θn⌉−f} )                          (8)</w:t>
      </w:r>
    </w:p>
    <w:p>
      <w:r>
        <w:rPr>
          <w:rFonts w:ascii="Times New Roman" w:hAnsi="Times New Roman" w:eastAsia="宋体"/>
          <w:sz w:val="20"/>
        </w:rPr>
        <w:t xml:space="preserve">在这些假设下，误受概率含随组规模衰减的指数项。与等权多数的 </w:t>
      </w:r>
      <w:r>
        <w:rPr>
          <w:rFonts w:ascii="Courier New" w:hAnsi="Courier New" w:eastAsia="宋体"/>
          <w:sz w:val="18"/>
        </w:rPr>
        <w:t>O(p^{⌈n/2⌉})</w:t>
      </w:r>
      <w:r>
        <w:rPr>
          <w:rFonts w:ascii="Times New Roman" w:hAnsi="Times New Roman" w:eastAsia="宋体"/>
          <w:sz w:val="20"/>
        </w:rPr>
        <w:t xml:space="preserve"> 近似[5]相比，</w:t>
      </w:r>
      <w:r>
        <w:rPr>
          <w:rFonts w:ascii="Courier New" w:hAnsi="Courier New" w:eastAsia="宋体"/>
          <w:sz w:val="18"/>
        </w:rPr>
        <w:t>θ &gt; 1/2</w:t>
      </w:r>
      <w:r>
        <w:rPr>
          <w:rFonts w:ascii="Times New Roman" w:hAnsi="Times New Roman" w:eastAsia="宋体"/>
          <w:sz w:val="20"/>
        </w:rPr>
        <w:t xml:space="preserve"> 提高了触发错误终结所需的同向误判数。例如 </w:t>
      </w:r>
      <w:r>
        <w:rPr>
          <w:rFonts w:ascii="Courier New" w:hAnsi="Courier New" w:eastAsia="宋体"/>
          <w:sz w:val="18"/>
        </w:rPr>
        <w:t>n = 5, θ = 0.70, f = 1</w:t>
      </w:r>
      <w:r>
        <w:rPr>
          <w:rFonts w:ascii="Times New Roman" w:hAnsi="Times New Roman" w:eastAsia="宋体"/>
          <w:sz w:val="20"/>
        </w:rPr>
        <w:t xml:space="preserve"> 时为 </w:t>
      </w:r>
      <w:r>
        <w:rPr>
          <w:rFonts w:ascii="Courier New" w:hAnsi="Courier New" w:eastAsia="宋体"/>
          <w:sz w:val="18"/>
        </w:rPr>
        <w:t>O(p³)</w:t>
      </w:r>
      <w:r>
        <w:rPr>
          <w:rFonts w:ascii="Times New Roman" w:hAnsi="Times New Roman" w:eastAsia="宋体"/>
          <w:sz w:val="20"/>
        </w:rPr>
        <w:t xml:space="preserve">，等权多数为 </w:t>
      </w:r>
      <w:r>
        <w:rPr>
          <w:rFonts w:ascii="Courier New" w:hAnsi="Courier New" w:eastAsia="宋体"/>
          <w:sz w:val="18"/>
        </w:rPr>
        <w:t>O(p²)</w:t>
      </w:r>
      <w:r>
        <w:rPr>
          <w:rFonts w:ascii="Times New Roman" w:hAnsi="Times New Roman" w:eastAsia="宋体"/>
          <w:sz w:val="20"/>
        </w:rPr>
        <w:t>。相关误差会破坏该衰减关系。</w:t>
      </w:r>
    </w:p>
    <w:p>
      <w:r>
        <w:rPr>
          <w:rFonts w:ascii="Times New Roman" w:hAnsi="Times New Roman" w:eastAsia="宋体"/>
          <w:b/>
          <w:sz w:val="20"/>
        </w:rPr>
        <w:t>推论2（独立仲裁下的乘性增益）。</w:t>
      </w:r>
      <w:r>
        <w:rPr>
          <w:rFonts w:ascii="Times New Roman" w:hAnsi="Times New Roman" w:eastAsia="宋体"/>
          <w:sz w:val="20"/>
        </w:rPr>
        <w:t xml:space="preserve"> 当 </w:t>
      </w:r>
      <w:r>
        <w:rPr>
          <w:rFonts w:ascii="Courier New" w:hAnsi="Courier New" w:eastAsia="宋体"/>
          <w:sz w:val="18"/>
        </w:rPr>
        <w:t>S_A</w:t>
      </w:r>
      <w:r>
        <w:rPr>
          <w:rFonts w:ascii="Times New Roman" w:hAnsi="Times New Roman" w:eastAsia="宋体"/>
          <w:sz w:val="20"/>
        </w:rPr>
        <w:t xml:space="preserve"> 落入 </w:t>
      </w:r>
      <w:r>
        <w:rPr>
          <w:rFonts w:ascii="Courier New" w:hAnsi="Courier New" w:eastAsia="宋体"/>
          <w:sz w:val="18"/>
        </w:rPr>
        <w:t>(1−θ, θ)</w:t>
      </w:r>
      <w:r>
        <w:rPr>
          <w:rFonts w:ascii="Times New Roman" w:hAnsi="Times New Roman" w:eastAsia="宋体"/>
          <w:sz w:val="20"/>
        </w:rPr>
        <w:t xml:space="preserve"> 对应的未决区间时，任务升级至仲裁组（</w:t>
      </w:r>
      <w:r>
        <w:rPr>
          <w:rFonts w:ascii="Courier New" w:hAnsi="Courier New" w:eastAsia="宋体"/>
          <w:sz w:val="18"/>
        </w:rPr>
        <w:t>k = 5, θ_arb = 0.75</w:t>
      </w:r>
      <w:r>
        <w:rPr>
          <w:rFonts w:ascii="Times New Roman" w:hAnsi="Times New Roman" w:eastAsia="宋体"/>
          <w:sz w:val="20"/>
        </w:rPr>
        <w:t>）。仅当仲裁组与执行委员会的选择及判断误差近似独立时，端到端残余误受概率才可近似写为二者之积：</w:t>
      </w:r>
    </w:p>
    <w:p>
      <w:pPr>
        <w:pStyle w:val="CodeBlock"/>
        <w:keepLines/>
        <w:shd w:fill="F2F2F2"/>
      </w:pPr>
      <w:r>
        <w:rPr>
          <w:rFonts w:ascii="Courier New" w:hAnsi="Courier New" w:eastAsia="宋体"/>
          <w:sz w:val="16"/>
        </w:rPr>
        <w:t>O( p^{⌈θn⌉−f} · p_arb^{⌈θ_arb·k⌉−f_arb} )</w:t>
      </w:r>
    </w:p>
    <w:p>
      <w:r>
        <w:rPr>
          <w:rFonts w:ascii="Times New Roman" w:hAnsi="Times New Roman" w:eastAsia="宋体"/>
          <w:sz w:val="20"/>
        </w:rPr>
        <w:t>该近似通常低于任一单层，但共享组织、模型、数据源或协调服务都会破坏独立性。第 VIII 节因此直接测量模型相关失败，并把乘性结果视为理想化基线而非普适上界。</w:t>
      </w:r>
    </w:p>
    <w:p>
      <w:r>
        <w:rPr>
          <w:rFonts w:ascii="Times New Roman" w:hAnsi="Times New Roman" w:eastAsia="宋体"/>
          <w:b/>
          <w:sz w:val="20"/>
        </w:rPr>
        <w:t>与实测的一致性。</w:t>
      </w:r>
      <w:r>
        <w:rPr>
          <w:rFonts w:ascii="Times New Roman" w:hAnsi="Times New Roman" w:eastAsia="宋体"/>
          <w:sz w:val="20"/>
        </w:rPr>
        <w:t xml:space="preserve"> 第 VIII-D.2/D.3 节在概率语义层实测的 false-accept（本方案较各基线低约一个数量级）与式(7)(8)预测的指数压制相符；推论2的乘性增益对应 D.3 消融中“关闭仲裁后正确率由 95.9% 跌至 15.9%”的结果。</w:t>
      </w:r>
    </w:p>
    <w:p>
      <w:pPr>
        <w:pStyle w:val="Heading2"/>
      </w:pPr>
      <w:r>
        <w:t>G. 可问责性</w:t>
      </w:r>
    </w:p>
    <w:p>
      <w:r>
        <w:rPr>
          <w:rFonts w:ascii="Times New Roman" w:hAnsi="Times New Roman" w:eastAsia="宋体"/>
          <w:sz w:val="20"/>
        </w:rPr>
        <w:t xml:space="preserve">每条链下输出 </w:t>
      </w:r>
      <w:r>
        <w:rPr>
          <w:rFonts w:ascii="Courier New" w:hAnsi="Courier New" w:eastAsia="宋体"/>
          <w:sz w:val="18"/>
        </w:rPr>
        <w:t>J_i</w:t>
      </w:r>
      <w:r>
        <w:rPr>
          <w:rFonts w:ascii="Times New Roman" w:hAnsi="Times New Roman" w:eastAsia="宋体"/>
          <w:sz w:val="20"/>
        </w:rPr>
        <w:t xml:space="preserve"> 携带 </w:t>
      </w:r>
      <w:r>
        <w:rPr>
          <w:rFonts w:ascii="Courier New" w:hAnsi="Courier New" w:eastAsia="宋体"/>
          <w:sz w:val="18"/>
        </w:rPr>
        <w:t>agent_signature_i</w:t>
      </w:r>
      <w:r>
        <w:rPr>
          <w:rFonts w:ascii="Times New Roman" w:hAnsi="Times New Roman" w:eastAsia="宋体"/>
          <w:sz w:val="20"/>
        </w:rPr>
        <w:t xml:space="preserve">，并通过 </w:t>
      </w:r>
      <w:r>
        <w:rPr>
          <w:rFonts w:ascii="Courier New" w:hAnsi="Courier New" w:eastAsia="宋体"/>
          <w:sz w:val="18"/>
        </w:rPr>
        <w:t>evidence_hash_i</w:t>
      </w:r>
      <w:r>
        <w:rPr>
          <w:rFonts w:ascii="Times New Roman" w:hAnsi="Times New Roman" w:eastAsia="宋体"/>
          <w:sz w:val="20"/>
        </w:rPr>
        <w:t>、</w:t>
      </w:r>
      <w:r>
        <w:rPr>
          <w:rFonts w:ascii="Courier New" w:hAnsi="Courier New" w:eastAsia="宋体"/>
          <w:sz w:val="18"/>
        </w:rPr>
        <w:t>reason_hash_i</w:t>
      </w:r>
      <w:r>
        <w:rPr>
          <w:rFonts w:ascii="Times New Roman" w:hAnsi="Times New Roman" w:eastAsia="宋体"/>
          <w:sz w:val="20"/>
        </w:rPr>
        <w:t xml:space="preserve"> 和 </w:t>
      </w:r>
      <w:r>
        <w:rPr>
          <w:rFonts w:ascii="Courier New" w:hAnsi="Courier New" w:eastAsia="宋体"/>
          <w:sz w:val="18"/>
        </w:rPr>
        <w:t>model_id_hash_i</w:t>
      </w:r>
      <w:r>
        <w:rPr>
          <w:rFonts w:ascii="Times New Roman" w:hAnsi="Times New Roman" w:eastAsia="宋体"/>
          <w:sz w:val="20"/>
        </w:rPr>
        <w:t xml:space="preserve"> 分别绑定证据、解释与模型来源。承诺、揭示、权重和签名保存在完整审计包中，目标链只锚定审计包摘要。因此，审计包可获得且签名有效时，每个判断均可归属并复算；如果审计包被永久扣留，链上摘要只能证明后续提交的包是否匹配，不能单独提供公开可审计性。相较单一中继，本协议增加了细粒度归因证据，但没有消除链下数据可用性问题。</w:t>
      </w:r>
    </w:p>
    <w:p>
      <w:pPr>
        <w:pStyle w:val="Heading2"/>
      </w:pPr>
      <w:r>
        <w:t>H. 固有边界：语义验证的不完备性</w:t>
      </w:r>
    </w:p>
    <w:p>
      <w:r>
        <w:rPr>
          <w:rFonts w:ascii="Times New Roman" w:hAnsi="Times New Roman" w:eastAsia="宋体"/>
          <w:sz w:val="20"/>
        </w:rPr>
        <w:t>本协议有四项固有边界。第一，链上合约不能判定 LLM 语义推理是否绝对正确；协议提供的是概率性抑制与可问责消费，而非语义真值证明。第二，诚实智能体可能因共享模型、训练数据或提示而相关地误判，聚合此时不再获得独立冗余的指数收益。第三，原型的 commit-reveal 与聚合由链下协调服务编排；摘要锚定可检测篡改，却不能防止实时泄露、选择性转发或审计包不可用。第四，仲裁不是信任消除器：若执行委员会与仲裁组同时受到足够恶意权重或相同共模错误影响，错误结果仍可能终结。这些边界限定了本文安全主张，也构成未来工作的直接目标。</w:t>
      </w:r>
    </w:p>
    <w:p>
      <w:pPr>
        <w:pStyle w:val="Heading1"/>
      </w:pPr>
      <w:r>
        <w:t>VII. 性能分析</w:t>
      </w:r>
    </w:p>
    <w:p>
      <w:pPr>
        <w:pStyle w:val="Heading2"/>
      </w:pPr>
      <w:r>
        <w:t>A. 延迟模型</w:t>
      </w:r>
    </w:p>
    <w:p>
      <w:r>
        <w:rPr>
          <w:rFonts w:ascii="Times New Roman" w:hAnsi="Times New Roman" w:eastAsia="宋体"/>
          <w:sz w:val="20"/>
        </w:rPr>
        <w:t>端到端延迟取决于任务所遵循的执行路径：</w:t>
      </w:r>
    </w:p>
    <w:p>
      <w:r>
        <w:rPr>
          <w:rFonts w:ascii="Times New Roman" w:hAnsi="Times New Roman" w:eastAsia="宋体"/>
          <w:b/>
          <w:sz w:val="20"/>
        </w:rPr>
        <w:t>乐观路径</w:t>
      </w:r>
      <w:r>
        <w:rPr>
          <w:rFonts w:ascii="Times New Roman" w:hAnsi="Times New Roman" w:eastAsia="宋体"/>
          <w:sz w:val="20"/>
        </w:rPr>
        <w:t>（无分歧，估计占75%的任务）：</w:t>
      </w:r>
    </w:p>
    <w:p>
      <w:pPr>
        <w:pStyle w:val="CodeBlock"/>
        <w:keepLines/>
        <w:shd w:fill="F2F2F2"/>
      </w:pPr>
      <w:r>
        <w:rPr>
          <w:rFonts w:ascii="Courier New" w:hAnsi="Courier New" w:eastAsia="宋体"/>
          <w:sz w:val="16"/>
        </w:rPr>
        <w:t>L_opt = T_evidence + T_verify + T_consensus</w:t>
        <w:br/>
        <w:t xml:space="preserve">      ≈ 3s + 4s + 1s = 8s</w:t>
      </w:r>
    </w:p>
    <w:p>
      <w:r>
        <w:rPr>
          <w:rFonts w:ascii="Times New Roman" w:hAnsi="Times New Roman" w:eastAsia="宋体"/>
          <w:b/>
          <w:sz w:val="20"/>
        </w:rPr>
        <w:t>仲裁路径</w:t>
      </w:r>
      <w:r>
        <w:rPr>
          <w:rFonts w:ascii="Times New Roman" w:hAnsi="Times New Roman" w:eastAsia="宋体"/>
          <w:sz w:val="20"/>
        </w:rPr>
        <w:t>（分歧或异常，估计占20%的任务）：</w:t>
      </w:r>
    </w:p>
    <w:p>
      <w:pPr>
        <w:pStyle w:val="CodeBlock"/>
        <w:keepLines/>
        <w:shd w:fill="F2F2F2"/>
      </w:pPr>
      <w:r>
        <w:rPr>
          <w:rFonts w:ascii="Courier New" w:hAnsi="Courier New" w:eastAsia="宋体"/>
          <w:sz w:val="16"/>
        </w:rPr>
        <w:t>L_arb = L_opt + T_arbiter_verify + T_arbiter_consensus</w:t>
        <w:br/>
        <w:t xml:space="preserve">      ≈ 8s + 10s + 3s = 21s</w:t>
      </w:r>
    </w:p>
    <w:p>
      <w:r>
        <w:rPr>
          <w:rFonts w:ascii="Times New Roman" w:hAnsi="Times New Roman" w:eastAsia="宋体"/>
          <w:b/>
          <w:sz w:val="20"/>
        </w:rPr>
        <w:t>期望延迟：</w:t>
      </w:r>
    </w:p>
    <w:p>
      <w:pPr>
        <w:pStyle w:val="CodeBlock"/>
        <w:keepLines/>
        <w:shd w:fill="F2F2F2"/>
      </w:pPr>
      <w:r>
        <w:rPr>
          <w:rFonts w:ascii="Courier New" w:hAnsi="Courier New" w:eastAsia="宋体"/>
          <w:sz w:val="16"/>
        </w:rPr>
        <w:t>E[L] = 0.75 × 8 + 0.20 × 21 + 0.05 × 90 ≈ 14.7s</w:t>
      </w:r>
    </w:p>
    <w:p>
      <w:pPr>
        <w:pStyle w:val="Heading2"/>
      </w:pPr>
      <w:r>
        <w:t>B. 吞吐量</w:t>
      </w:r>
    </w:p>
    <w:p>
      <w:r>
        <w:rPr>
          <w:rFonts w:ascii="Times New Roman" w:hAnsi="Times New Roman" w:eastAsia="宋体"/>
          <w:sz w:val="20"/>
        </w:rPr>
        <w:t>吞吐量受智能体池容量约束。设智能体池大小为N，每个智能体最大并发负载为L_max，组大小为n，则最大并发任务数为N × L_max / n。对于N = 30, L_max = 3, n = 5，系统支持最多18个并发任务；按乐观路径8s与仲裁路径21s的混合期望服务延迟（约11.25s）估算，产生约1.6 tasks/second的持续吞吐量（与第 VIII-D.5 节实测一致；注：此处以非超时路径的服务延迟为基准，区别于第 VII-A 节含超时路径的端到端期望延迟 E[L]）。</w:t>
      </w:r>
    </w:p>
    <w:p>
      <w:pPr>
        <w:pStyle w:val="Heading2"/>
      </w:pPr>
      <w:r>
        <w:t>C. 通信与存储开销</w:t>
      </w:r>
    </w:p>
    <w:p>
      <w:r>
        <w:rPr>
          <w:rFonts w:ascii="Times New Roman" w:hAnsi="Times New Roman" w:eastAsia="宋体"/>
          <w:sz w:val="20"/>
        </w:rPr>
        <w:t xml:space="preserve">原型将 commit-reveal、聚合和信誉更新放在链下，每个完成任务只通过一次 </w:t>
      </w:r>
      <w:r>
        <w:rPr>
          <w:rFonts w:ascii="Courier New" w:hAnsi="Courier New" w:eastAsia="宋体"/>
          <w:sz w:val="18"/>
        </w:rPr>
        <w:t>receiveLite</w:t>
      </w:r>
      <w:r>
        <w:rPr>
          <w:rFonts w:ascii="Times New Roman" w:hAnsi="Times New Roman" w:eastAsia="宋体"/>
          <w:sz w:val="20"/>
        </w:rPr>
        <w:t xml:space="preserve"> 写入最终结果、载荷哈希和审计摘要；源链头部通过 </w:t>
      </w:r>
      <w:r>
        <w:rPr>
          <w:rFonts w:ascii="Courier New" w:hAnsi="Courier New" w:eastAsia="宋体"/>
          <w:sz w:val="18"/>
        </w:rPr>
        <w:t>submitBlockHeader</w:t>
      </w:r>
      <w:r>
        <w:rPr>
          <w:rFonts w:ascii="Times New Roman" w:hAnsi="Times New Roman" w:eastAsia="宋体"/>
          <w:sz w:val="20"/>
        </w:rPr>
        <w:t xml:space="preserve"> 独立广播并可被多个任务摊销。因此，每任务链上写入为 </w:t>
      </w:r>
      <w:r>
        <w:rPr>
          <w:rFonts w:ascii="Courier New" w:hAnsi="Courier New" w:eastAsia="宋体"/>
          <w:sz w:val="18"/>
        </w:rPr>
        <w:t>O(1)</w:t>
      </w:r>
      <w:r>
        <w:rPr>
          <w:rFonts w:ascii="Times New Roman" w:hAnsi="Times New Roman" w:eastAsia="宋体"/>
          <w:sz w:val="20"/>
        </w:rPr>
        <w:t xml:space="preserve">，链下委员会通信为乐观路径 </w:t>
      </w:r>
      <w:r>
        <w:rPr>
          <w:rFonts w:ascii="Courier New" w:hAnsi="Courier New" w:eastAsia="宋体"/>
          <w:sz w:val="18"/>
        </w:rPr>
        <w:t>O(n)</w:t>
      </w:r>
      <w:r>
        <w:rPr>
          <w:rFonts w:ascii="Times New Roman" w:hAnsi="Times New Roman" w:eastAsia="宋体"/>
          <w:sz w:val="20"/>
        </w:rPr>
        <w:t xml:space="preserve">、仲裁路径 </w:t>
      </w:r>
      <w:r>
        <w:rPr>
          <w:rFonts w:ascii="Courier New" w:hAnsi="Courier New" w:eastAsia="宋体"/>
          <w:sz w:val="18"/>
        </w:rPr>
        <w:t>O(n+k)</w:t>
      </w:r>
      <w:r>
        <w:rPr>
          <w:rFonts w:ascii="Times New Roman" w:hAnsi="Times New Roman" w:eastAsia="宋体"/>
          <w:sz w:val="20"/>
        </w:rPr>
        <w:t>。完整审计包为链下对象，其大小取决于证据与解释文本；目标链只存定长摘要。</w:t>
      </w:r>
    </w:p>
    <w:p>
      <w:r>
        <w:rPr>
          <w:rFonts w:ascii="Times New Roman" w:hAnsi="Times New Roman" w:eastAsia="宋体"/>
          <w:b/>
          <w:sz w:val="20"/>
        </w:rPr>
        <w:t>通信复杂度。</w:t>
      </w:r>
      <w:r>
        <w:rPr>
          <w:rFonts w:ascii="Times New Roman" w:hAnsi="Times New Roman" w:eastAsia="宋体"/>
          <w:sz w:val="20"/>
        </w:rPr>
        <w:t xml:space="preserve"> 智能体采用星形拓扑与链下协调服务交互，不执行 PBFT 式全连接广播。单一中继的协调消息为 </w:t>
      </w:r>
      <w:r>
        <w:rPr>
          <w:rFonts w:ascii="Courier New" w:hAnsi="Courier New" w:eastAsia="宋体"/>
          <w:sz w:val="18"/>
        </w:rPr>
        <w:t>O(1)</w:t>
      </w:r>
      <w:r>
        <w:rPr>
          <w:rFonts w:ascii="Times New Roman" w:hAnsi="Times New Roman" w:eastAsia="宋体"/>
          <w:sz w:val="20"/>
        </w:rPr>
        <w:t xml:space="preserve"> 但无委员会容错；标准 PBFT 通常需要 </w:t>
      </w:r>
      <w:r>
        <w:rPr>
          <w:rFonts w:ascii="Courier New" w:hAnsi="Courier New" w:eastAsia="宋体"/>
          <w:sz w:val="18"/>
        </w:rPr>
        <w:t>O(n²)</w:t>
      </w:r>
      <w:r>
        <w:rPr>
          <w:rFonts w:ascii="Times New Roman" w:hAnsi="Times New Roman" w:eastAsia="宋体"/>
          <w:sz w:val="20"/>
        </w:rPr>
        <w:t xml:space="preserve"> 节点间消息；leader–follower 式加权 BFT 可降至 </w:t>
      </w:r>
      <w:r>
        <w:rPr>
          <w:rFonts w:ascii="Courier New" w:hAnsi="Courier New" w:eastAsia="宋体"/>
          <w:sz w:val="18"/>
        </w:rPr>
        <w:t>O(n)</w:t>
      </w:r>
      <w:r>
        <w:rPr>
          <w:rFonts w:ascii="Times New Roman" w:hAnsi="Times New Roman" w:eastAsia="宋体"/>
          <w:sz w:val="20"/>
        </w:rPr>
        <w:t xml:space="preserve">。本协议的链下消息同为 </w:t>
      </w:r>
      <w:r>
        <w:rPr>
          <w:rFonts w:ascii="Courier New" w:hAnsi="Courier New" w:eastAsia="宋体"/>
          <w:sz w:val="18"/>
        </w:rPr>
        <w:t>O(n)</w:t>
      </w:r>
      <w:r>
        <w:rPr>
          <w:rFonts w:ascii="Times New Roman" w:hAnsi="Times New Roman" w:eastAsia="宋体"/>
          <w:sz w:val="20"/>
        </w:rPr>
        <w:t>，并以一次链上摘要锚定换取可复核性。代价是协调服务成为可用性与元数据泄露点，链上摘要不能替代完整审计包。</w:t>
      </w:r>
    </w:p>
    <w:p>
      <w:pPr>
        <w:pStyle w:val="Heading2"/>
      </w:pPr>
      <w:r>
        <w:t>D. 与基线方案的比较</w:t>
      </w:r>
    </w:p>
    <w:p>
      <w:r>
        <w:rPr>
          <w:rFonts w:ascii="Times New Roman" w:hAnsi="Times New Roman" w:eastAsia="宋体"/>
          <w:sz w:val="20"/>
        </w:rPr>
        <w:t>单一中继缺少冗余，等权/PBFT 依赖节点比例，加权 BFT 在恶意权重接近 1/3 时优先安全而可能停滞。本协议以</w:t>
      </w:r>
      <w:r>
        <w:rPr>
          <w:rFonts w:ascii="Courier New" w:hAnsi="Courier New" w:eastAsia="宋体"/>
          <w:sz w:val="18"/>
        </w:rPr>
        <w:t>rep×conf</w:t>
      </w:r>
      <w:r>
        <w:rPr>
          <w:rFonts w:ascii="Times New Roman" w:hAnsi="Times New Roman" w:eastAsia="宋体"/>
          <w:sz w:val="20"/>
        </w:rPr>
        <w:t xml:space="preserve"> 阈值隔离未决任务，再用条件独立的仲裁恢复活性；其代价是额外延迟以及对协调器、仲裁和审计包可用性的依赖。定量比较见第 VIII-D.1、D.2。</w:t>
      </w:r>
    </w:p>
    <w:p>
      <w:pPr>
        <w:pStyle w:val="Heading1"/>
      </w:pPr>
      <w:r>
        <w:t>VIII. 实验评估</w:t>
      </w:r>
    </w:p>
    <w:p>
      <w:pPr>
        <w:pStyle w:val="Heading2"/>
      </w:pPr>
      <w:r>
        <w:t>A. 实现与配置</w:t>
      </w:r>
    </w:p>
    <w:p>
      <w:r>
        <w:rPr>
          <w:rFonts w:ascii="Times New Roman" w:hAnsi="Times New Roman" w:eastAsia="宋体"/>
          <w:sz w:val="20"/>
        </w:rPr>
        <w:t>我们实现了完整的原型系统：</w:t>
      </w:r>
    </w:p>
    <w:p>
      <w:pPr>
        <w:pStyle w:val="ListBullet"/>
      </w:pPr>
      <w:r>
        <w:rPr>
          <w:rFonts w:ascii="Times New Roman" w:hAnsi="Times New Roman" w:eastAsia="宋体"/>
          <w:b/>
          <w:sz w:val="20"/>
        </w:rPr>
        <w:t>源链：</w:t>
      </w:r>
      <w:r>
        <w:rPr>
          <w:rFonts w:ascii="Times New Roman" w:hAnsi="Times New Roman" w:eastAsia="宋体"/>
          <w:sz w:val="20"/>
        </w:rPr>
        <w:t xml:space="preserve"> Hyperledger Fabric v2.5（4个组织，Peer 节点，Raft 排序服务）</w:t>
      </w:r>
    </w:p>
    <w:p>
      <w:pPr>
        <w:pStyle w:val="ListBullet"/>
      </w:pPr>
      <w:r>
        <w:rPr>
          <w:rFonts w:ascii="Times New Roman" w:hAnsi="Times New Roman" w:eastAsia="宋体"/>
          <w:b/>
          <w:sz w:val="20"/>
        </w:rPr>
        <w:t>目标链：</w:t>
      </w:r>
      <w:r>
        <w:rPr>
          <w:rFonts w:ascii="Times New Roman" w:hAnsi="Times New Roman" w:eastAsia="宋体"/>
          <w:sz w:val="20"/>
        </w:rPr>
        <w:t xml:space="preserve"> FISCO-BCOS v3.x（PBFT 共识）</w:t>
      </w:r>
    </w:p>
    <w:p>
      <w:pPr>
        <w:pStyle w:val="ListBullet"/>
      </w:pPr>
      <w:r>
        <w:rPr>
          <w:rFonts w:ascii="Times New Roman" w:hAnsi="Times New Roman" w:eastAsia="宋体"/>
          <w:b/>
          <w:sz w:val="20"/>
        </w:rPr>
        <w:t>协调与轻客户端合约：</w:t>
      </w:r>
      <w:r>
        <w:rPr>
          <w:rFonts w:ascii="Times New Roman" w:hAnsi="Times New Roman" w:eastAsia="宋体"/>
          <w:sz w:val="20"/>
        </w:rPr>
        <w:t xml:space="preserve"> 部署在 FISCO-BCOS 上的 Solidity 合约（</w:t>
      </w:r>
      <w:r>
        <w:rPr>
          <w:rFonts w:ascii="Courier New" w:hAnsi="Courier New" w:eastAsia="宋体"/>
          <w:sz w:val="18"/>
        </w:rPr>
        <w:t>GatewayAir</w:t>
      </w:r>
      <w:r>
        <w:rPr>
          <w:rFonts w:ascii="Times New Roman" w:hAnsi="Times New Roman" w:eastAsia="宋体"/>
          <w:sz w:val="20"/>
        </w:rPr>
        <w:t>/</w:t>
      </w:r>
      <w:r>
        <w:rPr>
          <w:rFonts w:ascii="Courier New" w:hAnsi="Courier New" w:eastAsia="宋体"/>
          <w:sz w:val="18"/>
        </w:rPr>
        <w:t>LightClientAir</w:t>
      </w:r>
      <w:r>
        <w:rPr>
          <w:rFonts w:ascii="Times New Roman" w:hAnsi="Times New Roman" w:eastAsia="宋体"/>
          <w:sz w:val="20"/>
        </w:rPr>
        <w:t>）；Fabric 侧为 JavaScript 链码（</w:t>
      </w:r>
      <w:r>
        <w:rPr>
          <w:rFonts w:ascii="Courier New" w:hAnsi="Courier New" w:eastAsia="宋体"/>
          <w:sz w:val="18"/>
        </w:rPr>
        <w:t>gateway_cc</w:t>
      </w:r>
      <w:r>
        <w:rPr>
          <w:rFonts w:ascii="Times New Roman" w:hAnsi="Times New Roman" w:eastAsia="宋体"/>
          <w:sz w:val="20"/>
        </w:rPr>
        <w:t>）。</w:t>
      </w:r>
    </w:p>
    <w:p>
      <w:pPr>
        <w:pStyle w:val="ListBullet"/>
      </w:pPr>
      <w:r>
        <w:rPr>
          <w:rFonts w:ascii="Times New Roman" w:hAnsi="Times New Roman" w:eastAsia="宋体"/>
          <w:b/>
          <w:sz w:val="20"/>
        </w:rPr>
        <w:t>智能体与协商层：</w:t>
      </w:r>
      <w:r>
        <w:rPr>
          <w:rFonts w:ascii="Times New Roman" w:hAnsi="Times New Roman" w:eastAsia="宋体"/>
          <w:sz w:val="20"/>
        </w:rPr>
        <w:t xml:space="preserve"> Node.js 实现，含验证智能体（A/B/C 三类策略）、双收集者、基于哈希种子的委员会选择、commit-reveal、</w:t>
      </w:r>
      <w:r>
        <w:rPr>
          <w:rFonts w:ascii="Courier New" w:hAnsi="Courier New" w:eastAsia="宋体"/>
          <w:sz w:val="18"/>
        </w:rPr>
        <w:t>rep×confidence</w:t>
      </w:r>
      <w:r>
        <w:rPr>
          <w:rFonts w:ascii="Times New Roman" w:hAnsi="Times New Roman" w:eastAsia="宋体"/>
          <w:sz w:val="20"/>
        </w:rPr>
        <w:t xml:space="preserve"> 加权聚合、信誉更新、行为分析与仲裁组（</w:t>
      </w:r>
      <w:r>
        <w:rPr>
          <w:rFonts w:ascii="Courier New" w:hAnsi="Courier New" w:eastAsia="宋体"/>
          <w:sz w:val="18"/>
        </w:rPr>
        <w:t>demo/agents/</w:t>
      </w:r>
      <w:r>
        <w:rPr>
          <w:rFonts w:ascii="Times New Roman" w:hAnsi="Times New Roman" w:eastAsia="宋体"/>
          <w:sz w:val="20"/>
        </w:rPr>
        <w:t>、</w:t>
      </w:r>
      <w:r>
        <w:rPr>
          <w:rFonts w:ascii="Courier New" w:hAnsi="Courier New" w:eastAsia="宋体"/>
          <w:sz w:val="18"/>
        </w:rPr>
        <w:t>demo/negotiation/</w:t>
      </w:r>
      <w:r>
        <w:rPr>
          <w:rFonts w:ascii="Times New Roman" w:hAnsi="Times New Roman" w:eastAsia="宋体"/>
          <w:sz w:val="20"/>
        </w:rPr>
        <w:t>）。</w:t>
      </w:r>
    </w:p>
    <w:p>
      <w:pPr>
        <w:pStyle w:val="ListBullet"/>
      </w:pPr>
      <w:r>
        <w:rPr>
          <w:rFonts w:ascii="Times New Roman" w:hAnsi="Times New Roman" w:eastAsia="宋体"/>
          <w:b/>
          <w:sz w:val="20"/>
        </w:rPr>
        <w:t>跨链闭环：</w:t>
      </w:r>
      <w:r>
        <w:rPr>
          <w:rFonts w:ascii="Times New Roman" w:hAnsi="Times New Roman" w:eastAsia="宋体"/>
          <w:sz w:val="20"/>
        </w:rPr>
        <w:t xml:space="preserve"> FISCO→Fabric→FISCO 端到端查询已实测跑通（含三段链上交易回执）。</w:t>
      </w:r>
    </w:p>
    <w:p>
      <w:r>
        <w:rPr>
          <w:rFonts w:ascii="Times New Roman" w:hAnsi="Times New Roman" w:eastAsia="宋体"/>
          <w:b/>
          <w:sz w:val="20"/>
        </w:rPr>
        <w:t>评估采用双层方法</w:t>
      </w:r>
      <w:r>
        <w:rPr>
          <w:rFonts w:ascii="Times New Roman" w:hAnsi="Times New Roman" w:eastAsia="宋体"/>
          <w:sz w:val="20"/>
        </w:rPr>
        <w:t>，以兼顾外部效度与规模：</w:t>
      </w:r>
    </w:p>
    <w:p>
      <w:pPr>
        <w:pStyle w:val="ListNumber"/>
      </w:pPr>
      <w:r>
        <w:rPr>
          <w:rFonts w:ascii="Times New Roman" w:hAnsi="Times New Roman" w:eastAsia="宋体"/>
          <w:b/>
          <w:sz w:val="20"/>
        </w:rPr>
        <w:t>真智能体实验</w:t>
      </w:r>
      <w:r>
        <w:rPr>
          <w:rFonts w:ascii="Times New Roman" w:hAnsi="Times New Roman" w:eastAsia="宋体"/>
          <w:sz w:val="20"/>
        </w:rPr>
        <w:t xml:space="preserve">：直接驱动实际的 </w:t>
      </w:r>
      <w:r>
        <w:rPr>
          <w:rFonts w:ascii="Courier New" w:hAnsi="Courier New" w:eastAsia="宋体"/>
          <w:sz w:val="18"/>
        </w:rPr>
        <w:t>VerifierAgent</w:t>
      </w:r>
      <w:r>
        <w:rPr>
          <w:rFonts w:ascii="Times New Roman" w:hAnsi="Times New Roman" w:eastAsia="宋体"/>
          <w:sz w:val="20"/>
        </w:rPr>
        <w:t xml:space="preserve"> 验证逻辑产生每一条判断，注入真实对抗行为（always-approve、silent 等），由真实仲裁智能体执行仲裁。所有基线消费同一批真实判断。该层度量共识对拜占庭的鲁棒性（确定性密码学/结构验证层）。</w:t>
      </w:r>
    </w:p>
    <w:p>
      <w:pPr>
        <w:pStyle w:val="ListNumber"/>
      </w:pPr>
      <w:r>
        <w:rPr>
          <w:rFonts w:ascii="Times New Roman" w:hAnsi="Times New Roman" w:eastAsia="宋体"/>
          <w:b/>
          <w:sz w:val="20"/>
        </w:rPr>
        <w:t>参数化仿真与真实 LLM 对照</w:t>
      </w:r>
      <w:r>
        <w:rPr>
          <w:rFonts w:ascii="Times New Roman" w:hAnsi="Times New Roman" w:eastAsia="宋体"/>
          <w:sz w:val="20"/>
        </w:rPr>
        <w:t xml:space="preserve">：仿真扫描诚实误差率与协议参数；真实 LLM 实验提供相关误差对照。初始校准集在 </w:t>
      </w:r>
      <w:r>
        <w:rPr>
          <w:rFonts w:ascii="Courier New" w:hAnsi="Courier New" w:eastAsia="宋体"/>
          <w:sz w:val="18"/>
        </w:rPr>
        <w:t>llama3.1:8b</w:t>
      </w:r>
      <w:r>
        <w:rPr>
          <w:rFonts w:ascii="Times New Roman" w:hAnsi="Times New Roman" w:eastAsia="宋体"/>
          <w:sz w:val="20"/>
        </w:rPr>
        <w:t xml:space="preserve"> 上包含 20 个过门控语义样本，未观察到错误，但 95% 二项置信上界约为 15%，不足以支持“零误差”。主仿真采用 </w:t>
      </w:r>
      <w:r>
        <w:rPr>
          <w:rFonts w:ascii="Courier New" w:hAnsi="Courier New" w:eastAsia="宋体"/>
          <w:sz w:val="18"/>
        </w:rPr>
        <w:t>p_i=0.12</w:t>
      </w:r>
      <w:r>
        <w:rPr>
          <w:rFonts w:ascii="Times New Roman" w:hAnsi="Times New Roman" w:eastAsia="宋体"/>
          <w:sz w:val="20"/>
        </w:rPr>
        <w:t xml:space="preserve"> 并在 D.7 扫描 </w:t>
      </w:r>
      <w:r>
        <w:rPr>
          <w:rFonts w:ascii="Courier New" w:hAnsi="Courier New" w:eastAsia="宋体"/>
          <w:sz w:val="18"/>
        </w:rPr>
        <w:t>[0.05,0.20]</w:t>
      </w:r>
      <w:r>
        <w:rPr>
          <w:rFonts w:ascii="Times New Roman" w:hAnsi="Times New Roman" w:eastAsia="宋体"/>
          <w:sz w:val="20"/>
        </w:rPr>
        <w:t>；D.10 使用困难语义子集中的真实判断。</w:t>
      </w:r>
    </w:p>
    <w:p>
      <w:r>
        <w:rPr>
          <w:rFonts w:ascii="Times New Roman" w:hAnsi="Times New Roman" w:eastAsia="宋体"/>
          <w:sz w:val="20"/>
        </w:rPr>
        <w:t>仿真与脚本化实验使用固定随机种子，并归档原始 JSON；涉及真实链与真实 LLM 的结果在相应小节单独标注。正式提交的匿名工件应移除本地路径、组织标识和可能泄露作者身份的提交元数据。</w:t>
      </w:r>
    </w:p>
    <w:p>
      <w:pPr>
        <w:pStyle w:val="Heading2"/>
      </w:pPr>
      <w:r>
        <w:t>B. 评估场景</w:t>
      </w:r>
    </w:p>
    <w:p>
      <w:r>
        <w:rPr>
          <w:rFonts w:ascii="Times New Roman" w:hAnsi="Times New Roman" w:eastAsia="宋体"/>
          <w:b/>
          <w:sz w:val="20"/>
        </w:rPr>
        <w:t>场景1（基线性能）：</w:t>
      </w:r>
      <w:r>
        <w:rPr>
          <w:rFonts w:ascii="Times New Roman" w:hAnsi="Times New Roman" w:eastAsia="宋体"/>
          <w:sz w:val="20"/>
        </w:rPr>
        <w:t xml:space="preserve"> 所有智能体诚实。在不同任务到达率（0.1-2.0 tasks/s）下测量延迟分布和吞吐量。</w:t>
      </w:r>
    </w:p>
    <w:p>
      <w:r>
        <w:rPr>
          <w:rFonts w:ascii="Times New Roman" w:hAnsi="Times New Roman" w:eastAsia="宋体"/>
          <w:b/>
          <w:sz w:val="20"/>
        </w:rPr>
        <w:t>场景2（Byzantine验证者）：</w:t>
      </w:r>
      <w:r>
        <w:rPr>
          <w:rFonts w:ascii="Times New Roman" w:hAnsi="Times New Roman" w:eastAsia="宋体"/>
          <w:sz w:val="20"/>
        </w:rPr>
        <w:t xml:space="preserve"> 恶意智能体无论证据如何始终投票ACCEPT（伪造接受攻击）。变化恶意比例：20%、40%、60%（含恶意占执行委员会多数）。</w:t>
      </w:r>
    </w:p>
    <w:p>
      <w:r>
        <w:rPr>
          <w:rFonts w:ascii="Times New Roman" w:hAnsi="Times New Roman" w:eastAsia="宋体"/>
          <w:b/>
          <w:sz w:val="20"/>
        </w:rPr>
        <w:t>场景3（策略性对手）：</w:t>
      </w:r>
      <w:r>
        <w:rPr>
          <w:rFonts w:ascii="Times New Roman" w:hAnsi="Times New Roman" w:eastAsia="宋体"/>
          <w:sz w:val="20"/>
        </w:rPr>
        <w:t xml:space="preserve"> 智能体在50个任务中诚实行为，然后发动攻击。测量检测延迟和正确性退化窗口。</w:t>
      </w:r>
    </w:p>
    <w:p>
      <w:r>
        <w:rPr>
          <w:rFonts w:ascii="Times New Roman" w:hAnsi="Times New Roman" w:eastAsia="宋体"/>
          <w:b/>
          <w:sz w:val="20"/>
        </w:rPr>
        <w:t>场景4（串通）：</w:t>
      </w:r>
      <w:r>
        <w:rPr>
          <w:rFonts w:ascii="Times New Roman" w:hAnsi="Times New Roman" w:eastAsia="宋体"/>
          <w:sz w:val="20"/>
        </w:rPr>
        <w:t xml:space="preserve"> 来自不同组织的两个智能体协调投票。在100个任务中测量检测有效性。</w:t>
      </w:r>
    </w:p>
    <w:p>
      <w:r>
        <w:rPr>
          <w:rFonts w:ascii="Times New Roman" w:hAnsi="Times New Roman" w:eastAsia="宋体"/>
          <w:b/>
          <w:sz w:val="20"/>
        </w:rPr>
        <w:t>场景5（沉默攻击）：</w:t>
      </w:r>
      <w:r>
        <w:rPr>
          <w:rFonts w:ascii="Times New Roman" w:hAnsi="Times New Roman" w:eastAsia="宋体"/>
          <w:sz w:val="20"/>
        </w:rPr>
        <w:t xml:space="preserve"> 智能体提交承诺但扣留揭示。测量延迟影响和系统恢复。</w:t>
      </w:r>
    </w:p>
    <w:p>
      <w:pPr>
        <w:pStyle w:val="Heading2"/>
      </w:pPr>
      <w:r>
        <w:t>C. 基线方案</w:t>
      </w:r>
    </w:p>
    <w:p>
      <w:pPr>
        <w:pStyle w:val="ListNumber"/>
      </w:pPr>
      <w:r>
        <w:rPr>
          <w:rFonts w:ascii="Times New Roman" w:hAnsi="Times New Roman" w:eastAsia="宋体"/>
          <w:sz w:val="20"/>
        </w:rPr>
        <w:t>单一中继（无共识）（B0）</w:t>
      </w:r>
    </w:p>
    <w:p>
      <w:pPr>
        <w:pStyle w:val="ListNumber"/>
      </w:pPr>
      <w:r>
        <w:rPr>
          <w:rFonts w:ascii="Times New Roman" w:hAnsi="Times New Roman" w:eastAsia="宋体"/>
          <w:sz w:val="20"/>
        </w:rPr>
        <w:t>等权多数投票（n = 5，无信誉）（B1）</w:t>
      </w:r>
    </w:p>
    <w:p>
      <w:pPr>
        <w:pStyle w:val="ListNumber"/>
      </w:pPr>
      <w:r>
        <w:rPr>
          <w:rFonts w:ascii="Times New Roman" w:hAnsi="Times New Roman" w:eastAsia="宋体"/>
          <w:sz w:val="20"/>
        </w:rPr>
        <w:t>标准PBFT风格共识（2f + 1一致）（B2）</w:t>
      </w:r>
    </w:p>
    <w:p>
      <w:pPr>
        <w:pStyle w:val="ListNumber"/>
      </w:pPr>
      <w:r>
        <w:rPr>
          <w:rFonts w:ascii="Times New Roman" w:hAnsi="Times New Roman" w:eastAsia="宋体"/>
          <w:sz w:val="20"/>
        </w:rPr>
        <w:t>仅信誉加权投票（B3）：以 rep_i 加权的简单多数（无置信度加权、无风险自适应阈值、无仲裁升级），用以隔离信誉单因子的贡献。</w:t>
      </w:r>
    </w:p>
    <w:p>
      <w:pPr>
        <w:pStyle w:val="ListNumber"/>
      </w:pPr>
      <w:r>
        <w:rPr>
          <w:rFonts w:ascii="Times New Roman" w:hAnsi="Times New Roman" w:eastAsia="宋体"/>
          <w:sz w:val="20"/>
        </w:rPr>
        <w:t>仅置信度加权投票（B6）：以 conf_i 加权的简单多数（无信誉、无仲裁升级），用以隔离置信度单因子的贡献。</w:t>
      </w:r>
    </w:p>
    <w:p>
      <w:pPr>
        <w:pStyle w:val="ListNumber"/>
      </w:pPr>
      <w:r>
        <w:rPr>
          <w:rFonts w:ascii="Times New Roman" w:hAnsi="Times New Roman" w:eastAsia="宋体"/>
          <w:sz w:val="20"/>
        </w:rPr>
        <w:t>基于权重的BFT共识（B4）（信誉/权益加权的拜占庭法定人数,某一侧须获得 ≥ ⌈2/3⌉ 总权重方可终结,弃权计入分母;容忍 &lt; 1/3 拜占庭权重）。该基线较 PBFT 增加了按信誉加权,但相对本方案缺少置信度加权、风险自适应阈值与仲裁升级,用以隔离上述三者的贡献。</w:t>
      </w:r>
    </w:p>
    <w:p>
      <w:r>
        <w:rPr>
          <w:rFonts w:ascii="Times New Roman" w:hAnsi="Times New Roman" w:eastAsia="宋体"/>
          <w:sz w:val="20"/>
        </w:rPr>
        <w:t>其中 B3/B6/B4 三个加权基线与本方案消费同一批真实判断,共同隔离"信誉加权""置信度加权""rep×conf 联合 + 仲裁升级"各自的贡献(B3/B6 见 D.1,B4 见 D.1/D.2)。</w:t>
      </w:r>
    </w:p>
    <w:p>
      <w:pPr>
        <w:pStyle w:val="Heading2"/>
      </w:pPr>
      <w:r>
        <w:t>D. 实验结果</w:t>
      </w:r>
    </w:p>
    <w:p>
      <w:r>
        <w:rPr>
          <w:rFonts w:ascii="Times New Roman" w:hAnsi="Times New Roman" w:eastAsia="宋体"/>
          <w:sz w:val="20"/>
        </w:rPr>
        <w:t>除明确标为“仿真”或“模型估计”的结果外，其余数值来自原型、真实链或真实 LLM 运行。配对比较中，各方法消费同一批智能体判断；显著性以配对 bootstrap 95% 置信区间与符号检验报告。场景 1–5 分别见 D.5、D.1/D.11、D.4 和 D.6；其余小节报告敏感性、激励、链上成本、真实模型相关失败与延迟分解。其中端到端延迟为第 VII 节的分析模型,各阶段链下计算开销、链上锚定与验证层吞吐为实测。</w:t>
      </w:r>
    </w:p>
    <w:p>
      <w:pPr>
        <w:pStyle w:val="Heading3"/>
      </w:pPr>
      <w:r>
        <w:t>D.1 真智能体拜占庭鲁棒性</w:t>
      </w:r>
    </w:p>
    <w:p>
      <w:r>
        <w:rPr>
          <w:rFonts w:ascii="Times New Roman" w:hAnsi="Times New Roman" w:eastAsia="宋体"/>
          <w:sz w:val="20"/>
        </w:rPr>
        <w:t xml:space="preserve">直接驱动实际验证逻辑,恶意智能体执行 always-approve 伪造接受攻击(n = 5,30 trials × 10 tasks);正确率与误受率随恶意比例的变化如图 4 所示。本组结果由 </w:t>
      </w:r>
      <w:r>
        <w:rPr>
          <w:rFonts w:ascii="Courier New" w:hAnsi="Courier New" w:eastAsia="宋体"/>
          <w:sz w:val="18"/>
        </w:rPr>
        <w:t>scripts/run_real_agent_experiment.js --sweep</w:t>
      </w:r>
      <w:r>
        <w:rPr>
          <w:rFonts w:ascii="Times New Roman" w:hAnsi="Times New Roman" w:eastAsia="宋体"/>
          <w:sz w:val="20"/>
        </w:rPr>
        <w:t xml:space="preserve"> 实测产生,并归档于 </w:t>
      </w:r>
      <w:r>
        <w:rPr>
          <w:rFonts w:ascii="Courier New" w:hAnsi="Courier New" w:eastAsia="宋体"/>
          <w:sz w:val="18"/>
        </w:rPr>
        <w:t>demo/experiments/real_agent_results.json</w:t>
      </w:r>
      <w:r>
        <w:rPr>
          <w:rFonts w:ascii="Times New Roman" w:hAnsi="Times New Roman" w:eastAsia="宋体"/>
          <w:sz w:val="20"/>
        </w:rPr>
        <w:t>(含 0/20/40/60% 恶意比例下各方法的配对 95% 置信区间与符号检验 p 值),可一键复跑。</w:t>
      </w:r>
    </w:p>
    <w:p>
      <w:r>
        <w:rPr>
          <w:rFonts w:ascii="Times New Roman" w:hAnsi="Times New Roman" w:eastAsia="宋体"/>
          <w:b/>
          <w:sz w:val="20"/>
        </w:rPr>
        <w:t>表 1. 真智能体拜占庭鲁棒性实测:正确率与误受率随恶意比例变化(n = 5,30 trials × 10 tasks)。</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vAlign w:val="center"/>
            <w:shd w:fill="D9E2F3"/>
            <w:cantSplit/>
          </w:tcPr>
          <w:p>
            <w:pPr>
              <w:jc w:val="center"/>
            </w:pPr>
            <w:r>
              <w:rPr>
                <w:rFonts w:ascii="Times New Roman" w:hAnsi="Times New Roman" w:eastAsia="宋体"/>
                <w:b/>
                <w:sz w:val="14"/>
              </w:rPr>
              <w:t>恶意比例</w:t>
            </w:r>
          </w:p>
        </w:tc>
        <w:tc>
          <w:tcPr>
            <w:tcW w:type="dxa" w:w="1714"/>
            <w:vAlign w:val="center"/>
            <w:shd w:fill="D9E2F3"/>
            <w:cantSplit/>
          </w:tcPr>
          <w:p>
            <w:pPr>
              <w:jc w:val="center"/>
            </w:pPr>
            <w:r>
              <w:rPr>
                <w:rFonts w:ascii="Times New Roman" w:hAnsi="Times New Roman" w:eastAsia="宋体"/>
                <w:b/>
                <w:sz w:val="14"/>
              </w:rPr>
              <w:t>单一中继</w:t>
            </w:r>
          </w:p>
        </w:tc>
        <w:tc>
          <w:tcPr>
            <w:tcW w:type="dxa" w:w="1714"/>
            <w:vAlign w:val="center"/>
            <w:shd w:fill="D9E2F3"/>
            <w:cantSplit/>
          </w:tcPr>
          <w:p>
            <w:pPr>
              <w:jc w:val="center"/>
            </w:pPr>
            <w:r>
              <w:rPr>
                <w:rFonts w:ascii="Times New Roman" w:hAnsi="Times New Roman" w:eastAsia="宋体"/>
                <w:b/>
                <w:sz w:val="14"/>
              </w:rPr>
              <w:t>等权委员会</w:t>
            </w:r>
          </w:p>
        </w:tc>
        <w:tc>
          <w:tcPr>
            <w:tcW w:type="dxa" w:w="1714"/>
            <w:vAlign w:val="center"/>
            <w:shd w:fill="D9E2F3"/>
            <w:cantSplit/>
          </w:tcPr>
          <w:p>
            <w:pPr>
              <w:jc w:val="center"/>
            </w:pPr>
            <w:r>
              <w:rPr>
                <w:rFonts w:ascii="Times New Roman" w:hAnsi="Times New Roman" w:eastAsia="宋体"/>
                <w:b/>
                <w:sz w:val="14"/>
              </w:rPr>
              <w:t>PBFT</w:t>
            </w:r>
          </w:p>
        </w:tc>
        <w:tc>
          <w:tcPr>
            <w:tcW w:type="dxa" w:w="1714"/>
            <w:vAlign w:val="center"/>
            <w:shd w:fill="D9E2F3"/>
            <w:cantSplit/>
          </w:tcPr>
          <w:p>
            <w:pPr>
              <w:jc w:val="center"/>
            </w:pPr>
            <w:r>
              <w:rPr>
                <w:rFonts w:ascii="Times New Roman" w:hAnsi="Times New Roman" w:eastAsia="宋体"/>
                <w:b/>
                <w:sz w:val="14"/>
              </w:rPr>
              <w:t>加权BFT(≥⅔权重)</w:t>
            </w:r>
          </w:p>
        </w:tc>
        <w:tc>
          <w:tcPr>
            <w:tcW w:type="dxa" w:w="1714"/>
            <w:vAlign w:val="center"/>
            <w:shd w:fill="D9E2F3"/>
            <w:cantSplit/>
          </w:tcPr>
          <w:p>
            <w:pPr>
              <w:jc w:val="center"/>
            </w:pPr>
            <w:r>
              <w:rPr>
                <w:rFonts w:ascii="Times New Roman" w:hAnsi="Times New Roman" w:eastAsia="宋体"/>
                <w:b/>
                <w:sz w:val="14"/>
              </w:rPr>
              <w:t>本方案</w:t>
            </w:r>
          </w:p>
        </w:tc>
      </w:tr>
      <w:tr>
        <w:tc>
          <w:tcPr>
            <w:tcW w:type="dxa" w:w="1714"/>
            <w:vAlign w:val="center"/>
            <w:cantSplit/>
          </w:tcPr>
          <w:p>
            <w:pPr>
              <w:jc w:val="center"/>
            </w:pPr>
            <w:r>
              <w:rPr>
                <w:rFonts w:ascii="Times New Roman" w:hAnsi="Times New Roman" w:eastAsia="宋体"/>
                <w:sz w:val="14"/>
              </w:rPr>
              <w:t>20%</w:t>
            </w:r>
          </w:p>
        </w:tc>
        <w:tc>
          <w:tcPr>
            <w:tcW w:type="dxa" w:w="1714"/>
            <w:vAlign w:val="center"/>
            <w:cantSplit/>
          </w:tcPr>
          <w:p>
            <w:pPr>
              <w:jc w:val="center"/>
            </w:pPr>
            <w:r>
              <w:rPr>
                <w:rFonts w:ascii="Times New Roman" w:hAnsi="Times New Roman" w:eastAsia="宋体"/>
                <w:sz w:val="14"/>
              </w:rPr>
              <w:t>90.0%(误受 10%)</w:t>
            </w:r>
          </w:p>
        </w:tc>
        <w:tc>
          <w:tcPr>
            <w:tcW w:type="dxa" w:w="1714"/>
            <w:vAlign w:val="center"/>
            <w:cantSplit/>
          </w:tcPr>
          <w:p>
            <w:pPr>
              <w:jc w:val="center"/>
            </w:pPr>
            <w:r>
              <w:rPr>
                <w:rFonts w:ascii="Times New Roman" w:hAnsi="Times New Roman" w:eastAsia="宋体"/>
                <w:sz w:val="14"/>
              </w:rPr>
              <w:t>100%</w:t>
            </w:r>
          </w:p>
        </w:tc>
        <w:tc>
          <w:tcPr>
            <w:tcW w:type="dxa" w:w="1714"/>
            <w:vAlign w:val="center"/>
            <w:cantSplit/>
          </w:tcPr>
          <w:p>
            <w:pPr>
              <w:jc w:val="center"/>
            </w:pPr>
            <w:r>
              <w:rPr>
                <w:rFonts w:ascii="Times New Roman" w:hAnsi="Times New Roman" w:eastAsia="宋体"/>
                <w:sz w:val="14"/>
              </w:rPr>
              <w:t>100%</w:t>
            </w:r>
          </w:p>
        </w:tc>
        <w:tc>
          <w:tcPr>
            <w:tcW w:type="dxa" w:w="1714"/>
            <w:vAlign w:val="center"/>
            <w:cantSplit/>
          </w:tcPr>
          <w:p>
            <w:pPr>
              <w:jc w:val="center"/>
            </w:pPr>
            <w:r>
              <w:rPr>
                <w:rFonts w:ascii="Times New Roman" w:hAnsi="Times New Roman" w:eastAsia="宋体"/>
                <w:sz w:val="14"/>
              </w:rPr>
              <w:t>100%(误受 0%)</w:t>
            </w:r>
          </w:p>
        </w:tc>
        <w:tc>
          <w:tcPr>
            <w:tcW w:type="dxa" w:w="1714"/>
            <w:vAlign w:val="center"/>
            <w:cantSplit/>
          </w:tcPr>
          <w:p>
            <w:pPr>
              <w:jc w:val="center"/>
            </w:pPr>
            <w:r>
              <w:rPr>
                <w:rFonts w:ascii="Times New Roman" w:hAnsi="Times New Roman" w:eastAsia="宋体"/>
                <w:b/>
                <w:sz w:val="14"/>
              </w:rPr>
              <w:t>100%（误受 0%）</w:t>
            </w:r>
          </w:p>
        </w:tc>
      </w:tr>
      <w:tr>
        <w:tc>
          <w:tcPr>
            <w:tcW w:type="dxa" w:w="1714"/>
            <w:vAlign w:val="center"/>
            <w:cantSplit/>
          </w:tcPr>
          <w:p>
            <w:pPr>
              <w:jc w:val="center"/>
            </w:pPr>
            <w:r>
              <w:rPr>
                <w:rFonts w:ascii="Times New Roman" w:hAnsi="Times New Roman" w:eastAsia="宋体"/>
                <w:sz w:val="14"/>
              </w:rPr>
              <w:t>40%</w:t>
            </w:r>
          </w:p>
        </w:tc>
        <w:tc>
          <w:tcPr>
            <w:tcW w:type="dxa" w:w="1714"/>
            <w:vAlign w:val="center"/>
            <w:cantSplit/>
          </w:tcPr>
          <w:p>
            <w:pPr>
              <w:jc w:val="center"/>
            </w:pPr>
            <w:r>
              <w:rPr>
                <w:rFonts w:ascii="Times New Roman" w:hAnsi="Times New Roman" w:eastAsia="宋体"/>
                <w:sz w:val="14"/>
              </w:rPr>
              <w:t>80.0%(误受 20%)</w:t>
            </w:r>
          </w:p>
        </w:tc>
        <w:tc>
          <w:tcPr>
            <w:tcW w:type="dxa" w:w="1714"/>
            <w:vAlign w:val="center"/>
            <w:cantSplit/>
          </w:tcPr>
          <w:p>
            <w:pPr>
              <w:jc w:val="center"/>
            </w:pPr>
            <w:r>
              <w:rPr>
                <w:rFonts w:ascii="Times New Roman" w:hAnsi="Times New Roman" w:eastAsia="宋体"/>
                <w:sz w:val="14"/>
              </w:rPr>
              <w:t>100%</w:t>
            </w:r>
          </w:p>
        </w:tc>
        <w:tc>
          <w:tcPr>
            <w:tcW w:type="dxa" w:w="1714"/>
            <w:vAlign w:val="center"/>
            <w:cantSplit/>
          </w:tcPr>
          <w:p>
            <w:pPr>
              <w:jc w:val="center"/>
            </w:pPr>
            <w:r>
              <w:rPr>
                <w:rFonts w:ascii="Times New Roman" w:hAnsi="Times New Roman" w:eastAsia="宋体"/>
                <w:sz w:val="14"/>
              </w:rPr>
              <w:t>100%</w:t>
            </w:r>
          </w:p>
        </w:tc>
        <w:tc>
          <w:tcPr>
            <w:tcW w:type="dxa" w:w="1714"/>
            <w:vAlign w:val="center"/>
            <w:cantSplit/>
          </w:tcPr>
          <w:p>
            <w:pPr>
              <w:jc w:val="center"/>
            </w:pPr>
            <w:r>
              <w:rPr>
                <w:rFonts w:ascii="Times New Roman" w:hAnsi="Times New Roman" w:eastAsia="宋体"/>
                <w:sz w:val="14"/>
              </w:rPr>
              <w:t>50.0%(误受 0%，停滞)</w:t>
            </w:r>
          </w:p>
        </w:tc>
        <w:tc>
          <w:tcPr>
            <w:tcW w:type="dxa" w:w="1714"/>
            <w:vAlign w:val="center"/>
            <w:cantSplit/>
          </w:tcPr>
          <w:p>
            <w:pPr>
              <w:jc w:val="center"/>
            </w:pPr>
            <w:r>
              <w:rPr>
                <w:rFonts w:ascii="Times New Roman" w:hAnsi="Times New Roman" w:eastAsia="宋体"/>
                <w:b/>
                <w:sz w:val="14"/>
              </w:rPr>
              <w:t>100%（误受 0%，升级 50%）</w:t>
            </w:r>
          </w:p>
        </w:tc>
      </w:tr>
      <w:tr>
        <w:tc>
          <w:tcPr>
            <w:tcW w:type="dxa" w:w="1714"/>
            <w:vAlign w:val="center"/>
            <w:cantSplit/>
          </w:tcPr>
          <w:p>
            <w:pPr>
              <w:jc w:val="center"/>
            </w:pPr>
            <w:r>
              <w:rPr>
                <w:rFonts w:ascii="Times New Roman" w:hAnsi="Times New Roman" w:eastAsia="宋体"/>
                <w:sz w:val="14"/>
              </w:rPr>
              <w:t>60%(恶意占多数)</w:t>
            </w:r>
          </w:p>
        </w:tc>
        <w:tc>
          <w:tcPr>
            <w:tcW w:type="dxa" w:w="1714"/>
            <w:vAlign w:val="center"/>
            <w:cantSplit/>
          </w:tcPr>
          <w:p>
            <w:pPr>
              <w:jc w:val="center"/>
            </w:pPr>
            <w:r>
              <w:rPr>
                <w:rFonts w:ascii="Times New Roman" w:hAnsi="Times New Roman" w:eastAsia="宋体"/>
                <w:sz w:val="14"/>
              </w:rPr>
              <w:t>70.0%(误受 30%)</w:t>
            </w:r>
          </w:p>
        </w:tc>
        <w:tc>
          <w:tcPr>
            <w:tcW w:type="dxa" w:w="1714"/>
            <w:vAlign w:val="center"/>
            <w:cantSplit/>
          </w:tcPr>
          <w:p>
            <w:pPr>
              <w:jc w:val="center"/>
            </w:pPr>
            <w:r>
              <w:rPr>
                <w:rFonts w:ascii="Times New Roman" w:hAnsi="Times New Roman" w:eastAsia="宋体"/>
                <w:b/>
                <w:sz w:val="14"/>
              </w:rPr>
              <w:t>50.0%（误受 50%）</w:t>
            </w:r>
          </w:p>
        </w:tc>
        <w:tc>
          <w:tcPr>
            <w:tcW w:type="dxa" w:w="1714"/>
            <w:vAlign w:val="center"/>
            <w:cantSplit/>
          </w:tcPr>
          <w:p>
            <w:pPr>
              <w:jc w:val="center"/>
            </w:pPr>
            <w:r>
              <w:rPr>
                <w:rFonts w:ascii="Times New Roman" w:hAnsi="Times New Roman" w:eastAsia="宋体"/>
                <w:b/>
                <w:sz w:val="14"/>
              </w:rPr>
              <w:t>50.0%（误受 50%）</w:t>
            </w:r>
          </w:p>
        </w:tc>
        <w:tc>
          <w:tcPr>
            <w:tcW w:type="dxa" w:w="1714"/>
            <w:vAlign w:val="center"/>
            <w:cantSplit/>
          </w:tcPr>
          <w:p>
            <w:pPr>
              <w:jc w:val="center"/>
            </w:pPr>
            <w:r>
              <w:rPr>
                <w:rFonts w:ascii="Times New Roman" w:hAnsi="Times New Roman" w:eastAsia="宋体"/>
                <w:sz w:val="14"/>
              </w:rPr>
              <w:t>50.0%(误受 0%，停滞)</w:t>
            </w:r>
          </w:p>
        </w:tc>
        <w:tc>
          <w:tcPr>
            <w:tcW w:type="dxa" w:w="1714"/>
            <w:vAlign w:val="center"/>
            <w:cantSplit/>
          </w:tcPr>
          <w:p>
            <w:pPr>
              <w:jc w:val="center"/>
            </w:pPr>
            <w:r>
              <w:rPr>
                <w:rFonts w:ascii="Times New Roman" w:hAnsi="Times New Roman" w:eastAsia="宋体"/>
                <w:b/>
                <w:sz w:val="14"/>
              </w:rPr>
              <w:t>100%（误受 0%，升级 50%）</w:t>
            </w:r>
          </w:p>
        </w:tc>
      </w:tr>
    </w:tbl>
    <w:p>
      <w:r>
        <w:rPr>
          <w:rFonts w:ascii="Times New Roman" w:hAnsi="Times New Roman" w:eastAsia="宋体"/>
          <w:sz w:val="20"/>
        </w:rPr>
        <w:t>60% 压力测试中，等权委员会与 PBFT 的误受率为 50%；本协议将未决任务升级到实验设置中的独立诚实仲裁组，得到 0% 误受率（相对等权委员会 +50.0 pp，p&lt;0.01）。加权 BFT 同样不误受，但在 40%/60% 恶意比例下停滞，正确率为 50%。因此，本节验证的是仲裁对未决任务的恢复作用，而非全系统多数被攻陷时的无条件保证。</w:t>
      </w:r>
    </w:p>
    <w:p>
      <w:pPr>
        <w:pStyle w:val="Heading3"/>
      </w:pPr>
      <w:r>
        <w:t>D.2 概率性语义层下的容错(仿真)</w:t>
      </w:r>
    </w:p>
    <w:p>
      <w:r>
        <w:rPr>
          <w:rFonts w:ascii="Times New Roman" w:hAnsi="Times New Roman" w:eastAsia="宋体"/>
          <w:sz w:val="20"/>
        </w:rPr>
        <w:t>引入诚实智能体误差率 pᵢ(语义推理的概率特性)后,在 40% 恶意、n = 5、新信誉条件下:本节仿真假设诚实误差</w:t>
      </w:r>
      <w:r>
        <w:rPr>
          <w:rFonts w:ascii="Times New Roman" w:hAnsi="Times New Roman" w:eastAsia="宋体"/>
          <w:i/>
          <w:sz w:val="20"/>
        </w:rPr>
        <w:t>相互独立</w:t>
      </w:r>
      <w:r>
        <w:rPr>
          <w:rFonts w:ascii="Times New Roman" w:hAnsi="Times New Roman" w:eastAsia="宋体"/>
          <w:sz w:val="20"/>
        </w:rPr>
        <w:t>并取保守代表值 pᵢ=0.12,因此所报数字(误受 1.8%、正确率约 96%)对应</w:t>
      </w:r>
      <w:r>
        <w:rPr>
          <w:rFonts w:ascii="Times New Roman" w:hAnsi="Times New Roman" w:eastAsia="宋体"/>
          <w:i/>
          <w:sz w:val="20"/>
        </w:rPr>
        <w:t>独立误差区间</w:t>
      </w:r>
      <w:r>
        <w:rPr>
          <w:rFonts w:ascii="Times New Roman" w:hAnsi="Times New Roman" w:eastAsia="宋体"/>
          <w:sz w:val="20"/>
        </w:rPr>
        <w:t>;第 VIII-D.10 节给出其真实数据对照——当诚实误差为实测的高且</w:t>
      </w:r>
      <w:r>
        <w:rPr>
          <w:rFonts w:ascii="Times New Roman" w:hAnsi="Times New Roman" w:eastAsia="宋体"/>
          <w:i/>
          <w:sz w:val="20"/>
        </w:rPr>
        <w:t>相关</w:t>
      </w:r>
      <w:r>
        <w:rPr>
          <w:rFonts w:ascii="Times New Roman" w:hAnsi="Times New Roman" w:eastAsia="宋体"/>
          <w:sz w:val="20"/>
        </w:rPr>
        <w:t>取值时画像更严酷,但协议相对基线的安全优势依旧成立。</w:t>
      </w:r>
    </w:p>
    <w:p>
      <w:r>
        <w:rPr>
          <w:rFonts w:ascii="Times New Roman" w:hAnsi="Times New Roman" w:eastAsia="宋体"/>
          <w:b/>
          <w:sz w:val="20"/>
        </w:rPr>
        <w:t>表 2. 概率性语义层下 40% 拜占庭的参数化仿真（n = 5，诚实误差率 pᵢ）。</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vAlign w:val="center"/>
            <w:shd w:fill="D9E2F3"/>
            <w:cantSplit/>
          </w:tcPr>
          <w:p>
            <w:pPr>
              <w:jc w:val="center"/>
            </w:pPr>
            <w:r>
              <w:rPr>
                <w:rFonts w:ascii="Times New Roman" w:hAnsi="Times New Roman" w:eastAsia="宋体"/>
                <w:b/>
                <w:sz w:val="14"/>
              </w:rPr>
              <w:t>方法</w:t>
            </w:r>
          </w:p>
        </w:tc>
        <w:tc>
          <w:tcPr>
            <w:tcW w:type="dxa" w:w="2056"/>
            <w:vAlign w:val="center"/>
            <w:shd w:fill="D9E2F3"/>
            <w:cantSplit/>
          </w:tcPr>
          <w:p>
            <w:pPr>
              <w:jc w:val="center"/>
            </w:pPr>
            <w:r>
              <w:rPr>
                <w:rFonts w:ascii="Times New Roman" w:hAnsi="Times New Roman" w:eastAsia="宋体"/>
                <w:b/>
                <w:sz w:val="14"/>
              </w:rPr>
              <w:t>正确率</w:t>
            </w:r>
          </w:p>
        </w:tc>
        <w:tc>
          <w:tcPr>
            <w:tcW w:type="dxa" w:w="2056"/>
            <w:vAlign w:val="center"/>
            <w:shd w:fill="D9E2F3"/>
            <w:cantSplit/>
          </w:tcPr>
          <w:p>
            <w:pPr>
              <w:jc w:val="center"/>
            </w:pPr>
            <w:r>
              <w:rPr>
                <w:rFonts w:ascii="Times New Roman" w:hAnsi="Times New Roman" w:eastAsia="宋体"/>
                <w:b/>
                <w:sz w:val="14"/>
              </w:rPr>
              <w:t>误受率</w:t>
            </w:r>
          </w:p>
        </w:tc>
        <w:tc>
          <w:tcPr>
            <w:tcW w:type="dxa" w:w="2056"/>
            <w:vAlign w:val="center"/>
            <w:shd w:fill="D9E2F3"/>
            <w:cantSplit/>
          </w:tcPr>
          <w:p>
            <w:pPr>
              <w:jc w:val="center"/>
            </w:pPr>
            <w:r>
              <w:rPr>
                <w:rFonts w:ascii="Times New Roman" w:hAnsi="Times New Roman" w:eastAsia="宋体"/>
                <w:b/>
                <w:sz w:val="14"/>
              </w:rPr>
              <w:t>升级率</w:t>
            </w:r>
          </w:p>
        </w:tc>
        <w:tc>
          <w:tcPr>
            <w:tcW w:type="dxa" w:w="2056"/>
            <w:vAlign w:val="center"/>
            <w:shd w:fill="D9E2F3"/>
            <w:cantSplit/>
          </w:tcPr>
          <w:p>
            <w:pPr>
              <w:jc w:val="center"/>
            </w:pPr>
            <w:r>
              <w:rPr>
                <w:rFonts w:ascii="Times New Roman" w:hAnsi="Times New Roman" w:eastAsia="宋体"/>
                <w:b/>
                <w:sz w:val="14"/>
              </w:rPr>
              <w:t>平均延迟(模型)</w:t>
            </w:r>
          </w:p>
        </w:tc>
      </w:tr>
      <w:tr>
        <w:tc>
          <w:tcPr>
            <w:tcW w:type="dxa" w:w="2056"/>
            <w:vAlign w:val="center"/>
            <w:cantSplit/>
          </w:tcPr>
          <w:p>
            <w:pPr>
              <w:jc w:val="center"/>
            </w:pPr>
            <w:r>
              <w:rPr>
                <w:rFonts w:ascii="Times New Roman" w:hAnsi="Times New Roman" w:eastAsia="宋体"/>
                <w:b/>
                <w:sz w:val="14"/>
              </w:rPr>
              <w:t>本方案</w:t>
            </w:r>
          </w:p>
        </w:tc>
        <w:tc>
          <w:tcPr>
            <w:tcW w:type="dxa" w:w="2056"/>
            <w:vAlign w:val="center"/>
            <w:cantSplit/>
          </w:tcPr>
          <w:p>
            <w:pPr>
              <w:jc w:val="center"/>
            </w:pPr>
            <w:r>
              <w:rPr>
                <w:rFonts w:ascii="Times New Roman" w:hAnsi="Times New Roman" w:eastAsia="宋体"/>
                <w:b/>
                <w:sz w:val="14"/>
              </w:rPr>
              <w:t>95.9% ± 0.6%</w:t>
            </w:r>
          </w:p>
        </w:tc>
        <w:tc>
          <w:tcPr>
            <w:tcW w:type="dxa" w:w="2056"/>
            <w:vAlign w:val="center"/>
            <w:cantSplit/>
          </w:tcPr>
          <w:p>
            <w:pPr>
              <w:jc w:val="center"/>
            </w:pPr>
            <w:r>
              <w:rPr>
                <w:rFonts w:ascii="Times New Roman" w:hAnsi="Times New Roman" w:eastAsia="宋体"/>
                <w:b/>
                <w:sz w:val="14"/>
              </w:rPr>
              <w:t>1.8%</w:t>
            </w:r>
          </w:p>
        </w:tc>
        <w:tc>
          <w:tcPr>
            <w:tcW w:type="dxa" w:w="2056"/>
            <w:vAlign w:val="center"/>
            <w:cantSplit/>
          </w:tcPr>
          <w:p>
            <w:pPr>
              <w:jc w:val="center"/>
            </w:pPr>
            <w:r>
              <w:rPr>
                <w:rFonts w:ascii="Times New Roman" w:hAnsi="Times New Roman" w:eastAsia="宋体"/>
                <w:sz w:val="14"/>
              </w:rPr>
              <w:t>80.7%</w:t>
            </w:r>
          </w:p>
        </w:tc>
        <w:tc>
          <w:tcPr>
            <w:tcW w:type="dxa" w:w="2056"/>
            <w:vAlign w:val="center"/>
            <w:cantSplit/>
          </w:tcPr>
          <w:p>
            <w:pPr>
              <w:jc w:val="center"/>
            </w:pPr>
            <w:r>
              <w:rPr>
                <w:rFonts w:ascii="Times New Roman" w:hAnsi="Times New Roman" w:eastAsia="宋体"/>
                <w:sz w:val="14"/>
              </w:rPr>
              <w:t>18.9s</w:t>
            </w:r>
          </w:p>
        </w:tc>
      </w:tr>
      <w:tr>
        <w:tc>
          <w:tcPr>
            <w:tcW w:type="dxa" w:w="2056"/>
            <w:vAlign w:val="center"/>
            <w:cantSplit/>
          </w:tcPr>
          <w:p>
            <w:pPr>
              <w:jc w:val="center"/>
            </w:pPr>
            <w:r>
              <w:rPr>
                <w:rFonts w:ascii="Times New Roman" w:hAnsi="Times New Roman" w:eastAsia="宋体"/>
                <w:sz w:val="14"/>
              </w:rPr>
              <w:t>等权委员会 / PBFT</w:t>
            </w:r>
          </w:p>
        </w:tc>
        <w:tc>
          <w:tcPr>
            <w:tcW w:type="dxa" w:w="2056"/>
            <w:vAlign w:val="center"/>
            <w:cantSplit/>
          </w:tcPr>
          <w:p>
            <w:pPr>
              <w:jc w:val="center"/>
            </w:pPr>
            <w:r>
              <w:rPr>
                <w:rFonts w:ascii="Times New Roman" w:hAnsi="Times New Roman" w:eastAsia="宋体"/>
                <w:sz w:val="14"/>
              </w:rPr>
              <w:t>67.8% ± 1.4%</w:t>
            </w:r>
          </w:p>
        </w:tc>
        <w:tc>
          <w:tcPr>
            <w:tcW w:type="dxa" w:w="2056"/>
            <w:vAlign w:val="center"/>
            <w:cantSplit/>
          </w:tcPr>
          <w:p>
            <w:pPr>
              <w:jc w:val="center"/>
            </w:pPr>
            <w:r>
              <w:rPr>
                <w:rFonts w:ascii="Times New Roman" w:hAnsi="Times New Roman" w:eastAsia="宋体"/>
                <w:sz w:val="14"/>
              </w:rPr>
              <w:t>16.3%</w:t>
            </w:r>
          </w:p>
        </w:tc>
        <w:tc>
          <w:tcPr>
            <w:tcW w:type="dxa" w:w="2056"/>
            <w:vAlign w:val="center"/>
            <w:cantSplit/>
          </w:tcPr>
          <w:p>
            <w:pPr>
              <w:jc w:val="center"/>
            </w:pPr>
            <w:r>
              <w:rPr>
                <w:rFonts w:ascii="Times New Roman" w:hAnsi="Times New Roman" w:eastAsia="宋体"/>
                <w:sz w:val="14"/>
              </w:rPr>
              <w:t>—</w:t>
            </w:r>
          </w:p>
        </w:tc>
        <w:tc>
          <w:tcPr>
            <w:tcW w:type="dxa" w:w="2056"/>
            <w:vAlign w:val="center"/>
            <w:cantSplit/>
          </w:tcPr>
          <w:p>
            <w:pPr>
              <w:jc w:val="center"/>
            </w:pPr>
            <w:r>
              <w:rPr>
                <w:rFonts w:ascii="Times New Roman" w:hAnsi="Times New Roman" w:eastAsia="宋体"/>
                <w:sz w:val="14"/>
              </w:rPr>
              <w:t>8.0s</w:t>
            </w:r>
          </w:p>
        </w:tc>
      </w:tr>
      <w:tr>
        <w:tc>
          <w:tcPr>
            <w:tcW w:type="dxa" w:w="2056"/>
            <w:vAlign w:val="center"/>
            <w:cantSplit/>
          </w:tcPr>
          <w:p>
            <w:pPr>
              <w:jc w:val="center"/>
            </w:pPr>
            <w:r>
              <w:rPr>
                <w:rFonts w:ascii="Times New Roman" w:hAnsi="Times New Roman" w:eastAsia="宋体"/>
                <w:sz w:val="14"/>
              </w:rPr>
              <w:t>加权BFT(≥⅔权重)</w:t>
            </w:r>
          </w:p>
        </w:tc>
        <w:tc>
          <w:tcPr>
            <w:tcW w:type="dxa" w:w="2056"/>
            <w:vAlign w:val="center"/>
            <w:cantSplit/>
          </w:tcPr>
          <w:p>
            <w:pPr>
              <w:jc w:val="center"/>
            </w:pPr>
            <w:r>
              <w:rPr>
                <w:rFonts w:ascii="Times New Roman" w:hAnsi="Times New Roman" w:eastAsia="宋体"/>
                <w:sz w:val="14"/>
              </w:rPr>
              <w:t>0.0% ± 0.0%</w:t>
            </w:r>
          </w:p>
        </w:tc>
        <w:tc>
          <w:tcPr>
            <w:tcW w:type="dxa" w:w="2056"/>
            <w:vAlign w:val="center"/>
            <w:cantSplit/>
          </w:tcPr>
          <w:p>
            <w:pPr>
              <w:jc w:val="center"/>
            </w:pPr>
            <w:r>
              <w:rPr>
                <w:rFonts w:ascii="Times New Roman" w:hAnsi="Times New Roman" w:eastAsia="宋体"/>
                <w:sz w:val="14"/>
              </w:rPr>
              <w:t>1.8%</w:t>
            </w:r>
          </w:p>
        </w:tc>
        <w:tc>
          <w:tcPr>
            <w:tcW w:type="dxa" w:w="2056"/>
            <w:vAlign w:val="center"/>
            <w:cantSplit/>
          </w:tcPr>
          <w:p>
            <w:pPr>
              <w:jc w:val="center"/>
            </w:pPr>
            <w:r>
              <w:rPr>
                <w:rFonts w:ascii="Times New Roman" w:hAnsi="Times New Roman" w:eastAsia="宋体"/>
                <w:sz w:val="14"/>
              </w:rPr>
              <w:t>—</w:t>
            </w:r>
          </w:p>
        </w:tc>
        <w:tc>
          <w:tcPr>
            <w:tcW w:type="dxa" w:w="2056"/>
            <w:vAlign w:val="center"/>
            <w:cantSplit/>
          </w:tcPr>
          <w:p>
            <w:pPr>
              <w:jc w:val="center"/>
            </w:pPr>
            <w:r>
              <w:rPr>
                <w:rFonts w:ascii="Times New Roman" w:hAnsi="Times New Roman" w:eastAsia="宋体"/>
                <w:sz w:val="14"/>
              </w:rPr>
              <w:t>8.0s</w:t>
            </w:r>
          </w:p>
        </w:tc>
      </w:tr>
      <w:tr>
        <w:tc>
          <w:tcPr>
            <w:tcW w:type="dxa" w:w="2056"/>
            <w:vAlign w:val="center"/>
            <w:cantSplit/>
          </w:tcPr>
          <w:p>
            <w:pPr>
              <w:jc w:val="center"/>
            </w:pPr>
            <w:r>
              <w:rPr>
                <w:rFonts w:ascii="Times New Roman" w:hAnsi="Times New Roman" w:eastAsia="宋体"/>
                <w:sz w:val="14"/>
              </w:rPr>
              <w:t>单一中继</w:t>
            </w:r>
          </w:p>
        </w:tc>
        <w:tc>
          <w:tcPr>
            <w:tcW w:type="dxa" w:w="2056"/>
            <w:vAlign w:val="center"/>
            <w:cantSplit/>
          </w:tcPr>
          <w:p>
            <w:pPr>
              <w:jc w:val="center"/>
            </w:pPr>
            <w:r>
              <w:rPr>
                <w:rFonts w:ascii="Times New Roman" w:hAnsi="Times New Roman" w:eastAsia="宋体"/>
                <w:sz w:val="14"/>
              </w:rPr>
              <w:t>52.5% ± 1.7%</w:t>
            </w:r>
          </w:p>
        </w:tc>
        <w:tc>
          <w:tcPr>
            <w:tcW w:type="dxa" w:w="2056"/>
            <w:vAlign w:val="center"/>
            <w:cantSplit/>
          </w:tcPr>
          <w:p>
            <w:pPr>
              <w:jc w:val="center"/>
            </w:pPr>
            <w:r>
              <w:rPr>
                <w:rFonts w:ascii="Times New Roman" w:hAnsi="Times New Roman" w:eastAsia="宋体"/>
                <w:sz w:val="14"/>
              </w:rPr>
              <w:t>23.8%</w:t>
            </w:r>
          </w:p>
        </w:tc>
        <w:tc>
          <w:tcPr>
            <w:tcW w:type="dxa" w:w="2056"/>
            <w:vAlign w:val="center"/>
            <w:cantSplit/>
          </w:tcPr>
          <w:p>
            <w:pPr>
              <w:jc w:val="center"/>
            </w:pPr>
            <w:r>
              <w:rPr>
                <w:rFonts w:ascii="Times New Roman" w:hAnsi="Times New Roman" w:eastAsia="宋体"/>
                <w:sz w:val="14"/>
              </w:rPr>
              <w:t>—</w:t>
            </w:r>
          </w:p>
        </w:tc>
        <w:tc>
          <w:tcPr>
            <w:tcW w:type="dxa" w:w="2056"/>
            <w:vAlign w:val="center"/>
            <w:cantSplit/>
          </w:tcPr>
          <w:p>
            <w:pPr>
              <w:jc w:val="center"/>
            </w:pPr>
            <w:r>
              <w:rPr>
                <w:rFonts w:ascii="Times New Roman" w:hAnsi="Times New Roman" w:eastAsia="宋体"/>
                <w:sz w:val="14"/>
              </w:rPr>
              <w:t>8.0s</w:t>
            </w:r>
          </w:p>
        </w:tc>
      </w:tr>
    </w:tbl>
    <w:p>
      <w:r>
        <w:rPr>
          <w:rFonts w:ascii="Times New Roman" w:hAnsi="Times New Roman" w:eastAsia="宋体"/>
          <w:sz w:val="20"/>
        </w:rPr>
        <w:t>相对等权委员会，正确率提高 28.0 pp（95% CI [26.6,29.4]，p&lt;0.01），误受率降低 14.5 pp。冷启动时加权BFT 因无法达到 2/3 法定人数而停滞；在 30% 恶意、n=7 的序列设置中，信誉成熟后其正确率恢复至 88.0%，本协议则达到 99.8%，升级率由 80.7% 降至 11.7%。所有结果均受独立误差假设限制。</w:t>
      </w:r>
    </w:p>
    <w:p>
      <w:pPr>
        <w:pStyle w:val="Heading3"/>
      </w:pPr>
      <w:r>
        <w:t>D.3 消融:优势来源</w:t>
      </w:r>
    </w:p>
    <w:p>
      <w:r>
        <w:rPr>
          <w:rFonts w:ascii="Times New Roman" w:hAnsi="Times New Roman" w:eastAsia="宋体"/>
          <w:sz w:val="20"/>
        </w:rPr>
        <w:t>关闭仲裁后，正确率由 95.9% 降至 15.9%，表明大量子阈值任务依赖升级恢复。进一步以 200 个种子、每种子40 个任务分别开关策略异构性、哈希轮换和 commit-reveal；三项对照均关闭仲裁以隔离机制贡献（表 3）。</w:t>
      </w:r>
    </w:p>
    <w:p>
      <w:r>
        <w:rPr>
          <w:rFonts w:ascii="Times New Roman" w:hAnsi="Times New Roman" w:eastAsia="宋体"/>
          <w:b/>
          <w:sz w:val="20"/>
        </w:rPr>
        <w:t>表 3. P1 机制消融:各机制在其针对威胁下的开/关对照(n = 7,200 seeds × 40 tasks,差值 95% CI 均不含 0)。</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vAlign w:val="center"/>
            <w:shd w:fill="D9E2F3"/>
            <w:cantSplit/>
          </w:tcPr>
          <w:p>
            <w:pPr>
              <w:jc w:val="center"/>
            </w:pPr>
            <w:r>
              <w:rPr>
                <w:rFonts w:ascii="Times New Roman" w:hAnsi="Times New Roman" w:eastAsia="宋体"/>
                <w:b/>
                <w:sz w:val="14"/>
              </w:rPr>
              <w:t>机制(针对威胁)</w:t>
            </w:r>
          </w:p>
        </w:tc>
        <w:tc>
          <w:tcPr>
            <w:tcW w:type="dxa" w:w="2056"/>
            <w:vAlign w:val="center"/>
            <w:shd w:fill="D9E2F3"/>
            <w:cantSplit/>
          </w:tcPr>
          <w:p>
            <w:pPr>
              <w:jc w:val="center"/>
            </w:pPr>
            <w:r>
              <w:rPr>
                <w:rFonts w:ascii="Times New Roman" w:hAnsi="Times New Roman" w:eastAsia="宋体"/>
                <w:b/>
                <w:sz w:val="14"/>
              </w:rPr>
              <w:t>配置</w:t>
            </w:r>
          </w:p>
        </w:tc>
        <w:tc>
          <w:tcPr>
            <w:tcW w:type="dxa" w:w="2056"/>
            <w:vAlign w:val="center"/>
            <w:shd w:fill="D9E2F3"/>
            <w:cantSplit/>
          </w:tcPr>
          <w:p>
            <w:pPr>
              <w:jc w:val="center"/>
            </w:pPr>
            <w:r>
              <w:rPr>
                <w:rFonts w:ascii="Times New Roman" w:hAnsi="Times New Roman" w:eastAsia="宋体"/>
                <w:b/>
                <w:sz w:val="14"/>
              </w:rPr>
              <w:t>正确率</w:t>
            </w:r>
          </w:p>
        </w:tc>
        <w:tc>
          <w:tcPr>
            <w:tcW w:type="dxa" w:w="2056"/>
            <w:vAlign w:val="center"/>
            <w:shd w:fill="D9E2F3"/>
            <w:cantSplit/>
          </w:tcPr>
          <w:p>
            <w:pPr>
              <w:jc w:val="center"/>
            </w:pPr>
            <w:r>
              <w:rPr>
                <w:rFonts w:ascii="Times New Roman" w:hAnsi="Times New Roman" w:eastAsia="宋体"/>
                <w:b/>
                <w:sz w:val="14"/>
              </w:rPr>
              <w:t>误受率</w:t>
            </w:r>
          </w:p>
        </w:tc>
        <w:tc>
          <w:tcPr>
            <w:tcW w:type="dxa" w:w="2056"/>
            <w:vAlign w:val="center"/>
            <w:shd w:fill="D9E2F3"/>
            <w:cantSplit/>
          </w:tcPr>
          <w:p>
            <w:pPr>
              <w:jc w:val="center"/>
            </w:pPr>
            <w:r>
              <w:rPr>
                <w:rFonts w:ascii="Times New Roman" w:hAnsi="Times New Roman" w:eastAsia="宋体"/>
                <w:b/>
                <w:sz w:val="14"/>
              </w:rPr>
              <w:t>关键差值(开 vs 关)</w:t>
            </w:r>
          </w:p>
        </w:tc>
      </w:tr>
      <w:tr>
        <w:tc>
          <w:tcPr>
            <w:tcW w:type="dxa" w:w="2056"/>
            <w:vAlign w:val="center"/>
            <w:cantSplit/>
          </w:tcPr>
          <w:p>
            <w:pPr>
              <w:jc w:val="center"/>
            </w:pPr>
            <w:r>
              <w:rPr>
                <w:rFonts w:ascii="Times New Roman" w:hAnsi="Times New Roman" w:eastAsia="宋体"/>
                <w:sz w:val="14"/>
              </w:rPr>
              <w:t>异构性(相关错误)</w:t>
            </w:r>
          </w:p>
        </w:tc>
        <w:tc>
          <w:tcPr>
            <w:tcW w:type="dxa" w:w="2056"/>
            <w:vAlign w:val="center"/>
            <w:cantSplit/>
          </w:tcPr>
          <w:p>
            <w:pPr>
              <w:jc w:val="center"/>
            </w:pPr>
            <w:r>
              <w:rPr>
                <w:rFonts w:ascii="Times New Roman" w:hAnsi="Times New Roman" w:eastAsia="宋体"/>
                <w:sz w:val="14"/>
              </w:rPr>
              <w:t>开(ρ→0)</w:t>
            </w:r>
          </w:p>
        </w:tc>
        <w:tc>
          <w:tcPr>
            <w:tcW w:type="dxa" w:w="2056"/>
            <w:vAlign w:val="center"/>
            <w:cantSplit/>
          </w:tcPr>
          <w:p>
            <w:pPr>
              <w:jc w:val="center"/>
            </w:pPr>
            <w:r>
              <w:rPr>
                <w:rFonts w:ascii="Times New Roman" w:hAnsi="Times New Roman" w:eastAsia="宋体"/>
                <w:sz w:val="14"/>
              </w:rPr>
              <w:t>86.5%</w:t>
            </w:r>
          </w:p>
        </w:tc>
        <w:tc>
          <w:tcPr>
            <w:tcW w:type="dxa" w:w="2056"/>
            <w:vAlign w:val="center"/>
            <w:cantSplit/>
          </w:tcPr>
          <w:p>
            <w:pPr>
              <w:jc w:val="center"/>
            </w:pPr>
            <w:r>
              <w:rPr>
                <w:rFonts w:ascii="Times New Roman" w:hAnsi="Times New Roman" w:eastAsia="宋体"/>
                <w:b/>
                <w:sz w:val="14"/>
              </w:rPr>
              <w:t>0.2%</w:t>
            </w:r>
          </w:p>
        </w:tc>
        <w:tc>
          <w:tcPr>
            <w:tcW w:type="dxa" w:w="2056"/>
            <w:vAlign w:val="center"/>
            <w:cantSplit/>
          </w:tcPr>
          <w:p>
            <w:pPr>
              <w:jc w:val="center"/>
            </w:pPr>
            <w:r>
              <w:rPr>
                <w:rFonts w:ascii="Times New Roman" w:hAnsi="Times New Roman" w:eastAsia="宋体"/>
                <w:sz w:val="14"/>
              </w:rPr>
              <w:t>误受 −5.4pp(约 28×)</w:t>
            </w:r>
          </w:p>
        </w:tc>
      </w:tr>
      <w:tr>
        <w:tc>
          <w:tcPr>
            <w:tcW w:type="dxa" w:w="2056"/>
            <w:vAlign w:val="center"/>
            <w:cantSplit/>
          </w:tcPr>
          <w:p>
            <w:pPr>
              <w:jc w:val="center"/>
            </w:pPr>
          </w:p>
        </w:tc>
        <w:tc>
          <w:tcPr>
            <w:tcW w:type="dxa" w:w="2056"/>
            <w:vAlign w:val="center"/>
            <w:cantSplit/>
          </w:tcPr>
          <w:p>
            <w:pPr>
              <w:jc w:val="center"/>
            </w:pPr>
            <w:r>
              <w:rPr>
                <w:rFonts w:ascii="Times New Roman" w:hAnsi="Times New Roman" w:eastAsia="宋体"/>
                <w:sz w:val="14"/>
              </w:rPr>
              <w:t>关(ρ=0.85)</w:t>
            </w:r>
          </w:p>
        </w:tc>
        <w:tc>
          <w:tcPr>
            <w:tcW w:type="dxa" w:w="2056"/>
            <w:vAlign w:val="center"/>
            <w:cantSplit/>
          </w:tcPr>
          <w:p>
            <w:pPr>
              <w:jc w:val="center"/>
            </w:pPr>
            <w:r>
              <w:rPr>
                <w:rFonts w:ascii="Times New Roman" w:hAnsi="Times New Roman" w:eastAsia="宋体"/>
                <w:sz w:val="14"/>
              </w:rPr>
              <w:t>87.5%</w:t>
            </w:r>
          </w:p>
        </w:tc>
        <w:tc>
          <w:tcPr>
            <w:tcW w:type="dxa" w:w="2056"/>
            <w:vAlign w:val="center"/>
            <w:cantSplit/>
          </w:tcPr>
          <w:p>
            <w:pPr>
              <w:jc w:val="center"/>
            </w:pPr>
            <w:r>
              <w:rPr>
                <w:rFonts w:ascii="Times New Roman" w:hAnsi="Times New Roman" w:eastAsia="宋体"/>
                <w:sz w:val="14"/>
              </w:rPr>
              <w:t>5.6%</w:t>
            </w:r>
          </w:p>
        </w:tc>
        <w:tc>
          <w:tcPr>
            <w:tcW w:type="dxa" w:w="2056"/>
            <w:vAlign w:val="center"/>
            <w:cantSplit/>
          </w:tcPr>
          <w:p>
            <w:pPr>
              <w:jc w:val="center"/>
            </w:pPr>
          </w:p>
        </w:tc>
      </w:tr>
      <w:tr>
        <w:tc>
          <w:tcPr>
            <w:tcW w:type="dxa" w:w="2056"/>
            <w:vAlign w:val="center"/>
            <w:cantSplit/>
          </w:tcPr>
          <w:p>
            <w:pPr>
              <w:jc w:val="center"/>
            </w:pPr>
            <w:r>
              <w:rPr>
                <w:rFonts w:ascii="Times New Roman" w:hAnsi="Times New Roman" w:eastAsia="宋体"/>
                <w:sz w:val="14"/>
              </w:rPr>
              <w:t>哈希轮换(串通共址)</w:t>
            </w:r>
          </w:p>
        </w:tc>
        <w:tc>
          <w:tcPr>
            <w:tcW w:type="dxa" w:w="2056"/>
            <w:vAlign w:val="center"/>
            <w:cantSplit/>
          </w:tcPr>
          <w:p>
            <w:pPr>
              <w:jc w:val="center"/>
            </w:pPr>
            <w:r>
              <w:rPr>
                <w:rFonts w:ascii="Times New Roman" w:hAnsi="Times New Roman" w:eastAsia="宋体"/>
                <w:sz w:val="14"/>
              </w:rPr>
              <w:t>开(轮换+组织约束)</w:t>
            </w:r>
          </w:p>
        </w:tc>
        <w:tc>
          <w:tcPr>
            <w:tcW w:type="dxa" w:w="2056"/>
            <w:vAlign w:val="center"/>
            <w:cantSplit/>
          </w:tcPr>
          <w:p>
            <w:pPr>
              <w:jc w:val="center"/>
            </w:pPr>
            <w:r>
              <w:rPr>
                <w:rFonts w:ascii="Times New Roman" w:hAnsi="Times New Roman" w:eastAsia="宋体"/>
                <w:b/>
                <w:sz w:val="14"/>
              </w:rPr>
              <w:t>78.1%</w:t>
            </w:r>
          </w:p>
        </w:tc>
        <w:tc>
          <w:tcPr>
            <w:tcW w:type="dxa" w:w="2056"/>
            <w:vAlign w:val="center"/>
            <w:cantSplit/>
          </w:tcPr>
          <w:p>
            <w:pPr>
              <w:jc w:val="center"/>
            </w:pPr>
            <w:r>
              <w:rPr>
                <w:rFonts w:ascii="Times New Roman" w:hAnsi="Times New Roman" w:eastAsia="宋体"/>
                <w:b/>
                <w:sz w:val="14"/>
              </w:rPr>
              <w:t>0.2%</w:t>
            </w:r>
          </w:p>
        </w:tc>
        <w:tc>
          <w:tcPr>
            <w:tcW w:type="dxa" w:w="2056"/>
            <w:vAlign w:val="center"/>
            <w:cantSplit/>
          </w:tcPr>
          <w:p>
            <w:pPr>
              <w:jc w:val="center"/>
            </w:pPr>
            <w:r>
              <w:rPr>
                <w:rFonts w:ascii="Times New Roman" w:hAnsi="Times New Roman" w:eastAsia="宋体"/>
                <w:sz w:val="14"/>
              </w:rPr>
              <w:t>正确 +28.1pp;误受 −49.8pp</w:t>
            </w:r>
          </w:p>
        </w:tc>
      </w:tr>
      <w:tr>
        <w:tc>
          <w:tcPr>
            <w:tcW w:type="dxa" w:w="2056"/>
            <w:vAlign w:val="center"/>
            <w:cantSplit/>
          </w:tcPr>
          <w:p>
            <w:pPr>
              <w:jc w:val="center"/>
            </w:pPr>
          </w:p>
        </w:tc>
        <w:tc>
          <w:tcPr>
            <w:tcW w:type="dxa" w:w="2056"/>
            <w:vAlign w:val="center"/>
            <w:cantSplit/>
          </w:tcPr>
          <w:p>
            <w:pPr>
              <w:jc w:val="center"/>
            </w:pPr>
            <w:r>
              <w:rPr>
                <w:rFonts w:ascii="Times New Roman" w:hAnsi="Times New Roman" w:eastAsia="宋体"/>
                <w:sz w:val="14"/>
              </w:rPr>
              <w:t>关(固定共址委员会)</w:t>
            </w:r>
          </w:p>
        </w:tc>
        <w:tc>
          <w:tcPr>
            <w:tcW w:type="dxa" w:w="2056"/>
            <w:vAlign w:val="center"/>
            <w:cantSplit/>
          </w:tcPr>
          <w:p>
            <w:pPr>
              <w:jc w:val="center"/>
            </w:pPr>
            <w:r>
              <w:rPr>
                <w:rFonts w:ascii="Times New Roman" w:hAnsi="Times New Roman" w:eastAsia="宋体"/>
                <w:sz w:val="14"/>
              </w:rPr>
              <w:t>50.0%</w:t>
            </w:r>
          </w:p>
        </w:tc>
        <w:tc>
          <w:tcPr>
            <w:tcW w:type="dxa" w:w="2056"/>
            <w:vAlign w:val="center"/>
            <w:cantSplit/>
          </w:tcPr>
          <w:p>
            <w:pPr>
              <w:jc w:val="center"/>
            </w:pPr>
            <w:r>
              <w:rPr>
                <w:rFonts w:ascii="Times New Roman" w:hAnsi="Times New Roman" w:eastAsia="宋体"/>
                <w:sz w:val="14"/>
              </w:rPr>
              <w:t>50.0%</w:t>
            </w:r>
          </w:p>
        </w:tc>
        <w:tc>
          <w:tcPr>
            <w:tcW w:type="dxa" w:w="2056"/>
            <w:vAlign w:val="center"/>
            <w:cantSplit/>
          </w:tcPr>
          <w:p>
            <w:pPr>
              <w:jc w:val="center"/>
            </w:pPr>
          </w:p>
        </w:tc>
      </w:tr>
      <w:tr>
        <w:tc>
          <w:tcPr>
            <w:tcW w:type="dxa" w:w="2056"/>
            <w:vAlign w:val="center"/>
            <w:cantSplit/>
          </w:tcPr>
          <w:p>
            <w:pPr>
              <w:jc w:val="center"/>
            </w:pPr>
            <w:r>
              <w:rPr>
                <w:rFonts w:ascii="Times New Roman" w:hAnsi="Times New Roman" w:eastAsia="宋体"/>
                <w:sz w:val="14"/>
              </w:rPr>
              <w:t>commit-reveal(从众级联)</w:t>
            </w:r>
          </w:p>
        </w:tc>
        <w:tc>
          <w:tcPr>
            <w:tcW w:type="dxa" w:w="2056"/>
            <w:vAlign w:val="center"/>
            <w:cantSplit/>
          </w:tcPr>
          <w:p>
            <w:pPr>
              <w:jc w:val="center"/>
            </w:pPr>
            <w:r>
              <w:rPr>
                <w:rFonts w:ascii="Times New Roman" w:hAnsi="Times New Roman" w:eastAsia="宋体"/>
                <w:sz w:val="14"/>
              </w:rPr>
              <w:t>开(密封)</w:t>
            </w:r>
          </w:p>
        </w:tc>
        <w:tc>
          <w:tcPr>
            <w:tcW w:type="dxa" w:w="2056"/>
            <w:vAlign w:val="center"/>
            <w:cantSplit/>
          </w:tcPr>
          <w:p>
            <w:pPr>
              <w:jc w:val="center"/>
            </w:pPr>
            <w:r>
              <w:rPr>
                <w:rFonts w:ascii="Times New Roman" w:hAnsi="Times New Roman" w:eastAsia="宋体"/>
                <w:b/>
                <w:sz w:val="14"/>
              </w:rPr>
              <w:t>89.9%</w:t>
            </w:r>
          </w:p>
        </w:tc>
        <w:tc>
          <w:tcPr>
            <w:tcW w:type="dxa" w:w="2056"/>
            <w:vAlign w:val="center"/>
            <w:cantSplit/>
          </w:tcPr>
          <w:p>
            <w:pPr>
              <w:jc w:val="center"/>
            </w:pPr>
            <w:r>
              <w:rPr>
                <w:rFonts w:ascii="Times New Roman" w:hAnsi="Times New Roman" w:eastAsia="宋体"/>
                <w:b/>
                <w:sz w:val="14"/>
              </w:rPr>
              <w:t>0.1%</w:t>
            </w:r>
          </w:p>
        </w:tc>
        <w:tc>
          <w:tcPr>
            <w:tcW w:type="dxa" w:w="2056"/>
            <w:vAlign w:val="center"/>
            <w:cantSplit/>
          </w:tcPr>
          <w:p>
            <w:pPr>
              <w:jc w:val="center"/>
            </w:pPr>
            <w:r>
              <w:rPr>
                <w:rFonts w:ascii="Times New Roman" w:hAnsi="Times New Roman" w:eastAsia="宋体"/>
                <w:sz w:val="14"/>
              </w:rPr>
              <w:t>正确 +21.8pp;误受 −23.5pp</w:t>
            </w:r>
          </w:p>
        </w:tc>
      </w:tr>
      <w:tr>
        <w:tc>
          <w:tcPr>
            <w:tcW w:type="dxa" w:w="2056"/>
            <w:vAlign w:val="center"/>
            <w:cantSplit/>
          </w:tcPr>
          <w:p>
            <w:pPr>
              <w:jc w:val="center"/>
            </w:pPr>
          </w:p>
        </w:tc>
        <w:tc>
          <w:tcPr>
            <w:tcW w:type="dxa" w:w="2056"/>
            <w:vAlign w:val="center"/>
            <w:cantSplit/>
          </w:tcPr>
          <w:p>
            <w:pPr>
              <w:jc w:val="center"/>
            </w:pPr>
            <w:r>
              <w:rPr>
                <w:rFonts w:ascii="Times New Roman" w:hAnsi="Times New Roman" w:eastAsia="宋体"/>
                <w:sz w:val="14"/>
              </w:rPr>
              <w:t>关(公开顺序揭示)</w:t>
            </w:r>
          </w:p>
        </w:tc>
        <w:tc>
          <w:tcPr>
            <w:tcW w:type="dxa" w:w="2056"/>
            <w:vAlign w:val="center"/>
            <w:cantSplit/>
          </w:tcPr>
          <w:p>
            <w:pPr>
              <w:jc w:val="center"/>
            </w:pPr>
            <w:r>
              <w:rPr>
                <w:rFonts w:ascii="Times New Roman" w:hAnsi="Times New Roman" w:eastAsia="宋体"/>
                <w:sz w:val="14"/>
              </w:rPr>
              <w:t>68.1%</w:t>
            </w:r>
          </w:p>
        </w:tc>
        <w:tc>
          <w:tcPr>
            <w:tcW w:type="dxa" w:w="2056"/>
            <w:vAlign w:val="center"/>
            <w:cantSplit/>
          </w:tcPr>
          <w:p>
            <w:pPr>
              <w:jc w:val="center"/>
            </w:pPr>
            <w:r>
              <w:rPr>
                <w:rFonts w:ascii="Times New Roman" w:hAnsi="Times New Roman" w:eastAsia="宋体"/>
                <w:sz w:val="14"/>
              </w:rPr>
              <w:t>23.6%</w:t>
            </w:r>
          </w:p>
        </w:tc>
        <w:tc>
          <w:tcPr>
            <w:tcW w:type="dxa" w:w="2056"/>
            <w:vAlign w:val="center"/>
            <w:cantSplit/>
          </w:tcPr>
          <w:p>
            <w:pPr>
              <w:jc w:val="center"/>
            </w:pPr>
          </w:p>
        </w:tc>
      </w:tr>
    </w:tbl>
    <w:p>
      <w:r>
        <w:rPr>
          <w:rFonts w:ascii="Times New Roman" w:hAnsi="Times New Roman" w:eastAsia="宋体"/>
          <w:sz w:val="20"/>
        </w:rPr>
        <w:t xml:space="preserve">异构性主要降低相关误受，轮换和密封提交同时改善正确率与误受率。确定性层消融中，取消门控并把密码/结构检查交给 </w:t>
      </w:r>
      <w:r>
        <w:rPr>
          <w:rFonts w:ascii="Courier New" w:hAnsi="Courier New" w:eastAsia="宋体"/>
          <w:sz w:val="18"/>
        </w:rPr>
        <w:t>llama3.1:8b</w:t>
      </w:r>
      <w:r>
        <w:rPr>
          <w:rFonts w:ascii="Times New Roman" w:hAnsi="Times New Roman" w:eastAsia="宋体"/>
          <w:sz w:val="20"/>
        </w:rPr>
        <w:t xml:space="preserve"> 后，观测误差率为 0.5；在 40% 恶意、n=5 的仿真中，双层/单层正确率分别为 100%/13.7%。该构造性结果支持职责分层，但不外推到所有任务和模型。</w:t>
      </w:r>
    </w:p>
    <w:p>
      <w:pPr>
        <w:pStyle w:val="Heading3"/>
      </w:pPr>
      <w:r>
        <w:t>D.4 策略性对手与串通检测</w:t>
      </w:r>
    </w:p>
    <w:p>
      <w:r>
        <w:rPr>
          <w:rFonts w:ascii="Times New Roman" w:hAnsi="Times New Roman" w:eastAsia="宋体"/>
          <w:sz w:val="20"/>
        </w:rPr>
        <w:t xml:space="preserve">真实 </w:t>
      </w:r>
      <w:r>
        <w:rPr>
          <w:rFonts w:ascii="Courier New" w:hAnsi="Courier New" w:eastAsia="宋体"/>
          <w:sz w:val="18"/>
        </w:rPr>
        <w:t>ReputationStore</w:t>
      </w:r>
      <w:r>
        <w:rPr>
          <w:rFonts w:ascii="Times New Roman" w:hAnsi="Times New Roman" w:eastAsia="宋体"/>
          <w:sz w:val="20"/>
        </w:rPr>
        <w:t xml:space="preserve"> 与 </w:t>
      </w:r>
      <w:r>
        <w:rPr>
          <w:rFonts w:ascii="Courier New" w:hAnsi="Courier New" w:eastAsia="宋体"/>
          <w:sz w:val="18"/>
        </w:rPr>
        <w:t>BehaviorAnalyzer</w:t>
      </w:r>
      <w:r>
        <w:rPr>
          <w:rFonts w:ascii="Times New Roman" w:hAnsi="Times New Roman" w:eastAsia="宋体"/>
          <w:sz w:val="20"/>
        </w:rPr>
        <w:t xml:space="preserve"> 实验中，策略性对手诚实运行 50 个任务后转为 </w:t>
      </w:r>
      <w:r>
        <w:rPr>
          <w:rFonts w:ascii="Courier New" w:hAnsi="Courier New" w:eastAsia="宋体"/>
          <w:sz w:val="18"/>
        </w:rPr>
        <w:t>always-approve</w:t>
      </w:r>
      <w:r>
        <w:rPr>
          <w:rFonts w:ascii="Times New Roman" w:hAnsi="Times New Roman" w:eastAsia="宋体"/>
          <w:sz w:val="20"/>
        </w:rPr>
        <w:t>；异常方差和权重下降信号的平均检测延迟分别为 1.46 和 1.63 个任务（300 次试验，检出率均为 100%）。两个跨组织串通者在 50 个争议任务时真检出率为 100%、误报率为 3%；30 个任务时则为 92.3%/21%，故检测窗口取约 50。</w:t>
      </w:r>
    </w:p>
    <w:p>
      <w:pPr>
        <w:pStyle w:val="Heading3"/>
      </w:pPr>
      <w:r>
        <w:t>D.5 吞吐与可扩展性(场景 1)</w:t>
      </w:r>
    </w:p>
    <w:p>
      <w:r>
        <w:rPr>
          <w:rFonts w:ascii="Times New Roman" w:hAnsi="Times New Roman" w:eastAsia="宋体"/>
          <w:sz w:val="20"/>
        </w:rPr>
        <w:t xml:space="preserve">规则验证与聚合每任务约 5 μs，计算吞吐超过 </w:t>
      </w:r>
      <w:r>
        <w:rPr>
          <w:rFonts w:ascii="Courier New" w:hAnsi="Courier New" w:eastAsia="宋体"/>
          <w:sz w:val="18"/>
        </w:rPr>
        <w:t>2×10^5</w:t>
      </w:r>
      <w:r>
        <w:rPr>
          <w:rFonts w:ascii="Times New Roman" w:hAnsi="Times New Roman" w:eastAsia="宋体"/>
          <w:sz w:val="20"/>
        </w:rPr>
        <w:t xml:space="preserve"> tasks/s。按 </w:t>
      </w:r>
      <w:r>
        <w:rPr>
          <w:rFonts w:ascii="Courier New" w:hAnsi="Courier New" w:eastAsia="宋体"/>
          <w:sz w:val="18"/>
        </w:rPr>
        <w:t>N·L_max/n</w:t>
      </w:r>
      <w:r>
        <w:rPr>
          <w:rFonts w:ascii="Times New Roman" w:hAnsi="Times New Roman" w:eastAsia="宋体"/>
          <w:sz w:val="20"/>
        </w:rPr>
        <w:t xml:space="preserve"> 并发模型（</w:t>
      </w:r>
      <w:r>
        <w:rPr>
          <w:rFonts w:ascii="Courier New" w:hAnsi="Courier New" w:eastAsia="宋体"/>
          <w:sz w:val="18"/>
        </w:rPr>
        <w:t>L_max=3,n=5</w:t>
      </w:r>
      <w:r>
        <w:rPr>
          <w:rFonts w:ascii="Times New Roman" w:hAnsi="Times New Roman" w:eastAsia="宋体"/>
          <w:sz w:val="20"/>
        </w:rPr>
        <w:t>）与第 VII 节延迟估计，N=10/20/30 时端到端吞吐约为 0.53/1.07/1.60 tasks/s；链上确认而非本地验证是主要瓶颈。</w:t>
      </w:r>
    </w:p>
    <w:p>
      <w:pPr>
        <w:pStyle w:val="Heading3"/>
      </w:pPr>
      <w:r>
        <w:t>D.6 沉默攻击(场景 5)</w:t>
      </w:r>
    </w:p>
    <w:p>
      <w:r>
        <w:rPr>
          <w:rFonts w:ascii="Times New Roman" w:hAnsi="Times New Roman" w:eastAsia="宋体"/>
          <w:sz w:val="20"/>
        </w:rPr>
        <w:t>在 n=7、40 任务×60 次重复中，14%/28%/43% 的智能体扣留揭示。各设置终结率和正确率均为 100%；43% 沉默时全部任务升级仲裁，沉默者信誉降至 −10。该结果依赖仲裁组可用。</w:t>
      </w:r>
    </w:p>
    <w:p>
      <w:pPr>
        <w:pStyle w:val="Heading3"/>
      </w:pPr>
      <w:r>
        <w:t>D.7 参数敏感性</w:t>
      </w:r>
    </w:p>
    <w:p>
      <w:r>
        <w:rPr>
          <w:rFonts w:ascii="Times New Roman" w:hAnsi="Times New Roman" w:eastAsia="宋体"/>
          <w:sz w:val="20"/>
        </w:rPr>
        <w:t>在 40% 拜占庭、n=5 下，</w:t>
      </w:r>
      <w:r>
        <w:rPr>
          <w:rFonts w:ascii="Courier New" w:hAnsi="Courier New" w:eastAsia="宋体"/>
          <w:sz w:val="18"/>
        </w:rPr>
        <w:t>θ=0.65/0.70/0.75</w:t>
      </w:r>
      <w:r>
        <w:rPr>
          <w:rFonts w:ascii="Times New Roman" w:hAnsi="Times New Roman" w:eastAsia="宋体"/>
          <w:sz w:val="20"/>
        </w:rPr>
        <w:t xml:space="preserve"> 时正确率为 96.0%/95.7%/96.5%；</w:t>
      </w:r>
      <w:r>
        <w:rPr>
          <w:rFonts w:ascii="Courier New" w:hAnsi="Courier New" w:eastAsia="宋体"/>
          <w:sz w:val="18"/>
        </w:rPr>
        <w:t>p_i=0.05/0.10/0.15/0.20</w:t>
      </w:r>
      <w:r>
        <w:rPr>
          <w:rFonts w:ascii="Times New Roman" w:hAnsi="Times New Roman" w:eastAsia="宋体"/>
          <w:sz w:val="20"/>
        </w:rPr>
        <w:t>时为 99.5%/97.0%/93.5%/89.1%。趋势在扫描范围内一致，但不外推到其他委员会规模或相关误差分布。</w:t>
      </w:r>
    </w:p>
    <w:p>
      <w:pPr>
        <w:pStyle w:val="Heading3"/>
      </w:pPr>
      <w:r>
        <w:t>D.8 激励机制的参数化检验</w:t>
      </w:r>
    </w:p>
    <w:p>
      <w:r>
        <w:rPr>
          <w:rFonts w:ascii="Times New Roman" w:hAnsi="Times New Roman" w:eastAsia="宋体"/>
          <w:sz w:val="20"/>
        </w:rPr>
        <w:t xml:space="preserve">在 n=8、300 任务、60 次重复和验证成本 </w:t>
      </w:r>
      <w:r>
        <w:rPr>
          <w:rFonts w:ascii="Courier New" w:hAnsi="Courier New" w:eastAsia="宋体"/>
          <w:sz w:val="18"/>
        </w:rPr>
        <w:t>v=0.2</w:t>
      </w:r>
      <w:r>
        <w:rPr>
          <w:rFonts w:ascii="Times New Roman" w:hAnsi="Times New Roman" w:eastAsia="宋体"/>
          <w:sz w:val="20"/>
        </w:rPr>
        <w:t xml:space="preserve"> 下，诚实/一律高置信度/搭便车/恶意策略的累计收益分别为165.7/161.3/30.0/−75.0，最终信誉为 9.67/9.56/4.79/−10。结果与第 V 节充分条件一致，但不构成一般性的占优策略或 DSIC 结论。</w:t>
      </w:r>
    </w:p>
    <w:p>
      <w:pPr>
        <w:pStyle w:val="Heading3"/>
      </w:pPr>
      <w:r>
        <w:t>D.9 链上成本(FISCO-BCOS 实测)</w:t>
      </w:r>
    </w:p>
    <w:p>
      <w:r>
        <w:rPr>
          <w:rFonts w:ascii="Times New Roman" w:hAnsi="Times New Roman" w:eastAsia="宋体"/>
          <w:sz w:val="20"/>
        </w:rPr>
        <w:t>调用协议必须报告链上开销。我们直接从运行中的 FISCO-BCOS 账本测量</w:t>
      </w:r>
      <w:r>
        <w:rPr>
          <w:rFonts w:ascii="Times New Roman" w:hAnsi="Times New Roman" w:eastAsia="宋体"/>
          <w:i/>
          <w:sz w:val="20"/>
        </w:rPr>
        <w:t>真实</w:t>
      </w:r>
      <w:r>
        <w:rPr>
          <w:rFonts w:ascii="Times New Roman" w:hAnsi="Times New Roman" w:eastAsia="宋体"/>
          <w:sz w:val="20"/>
        </w:rPr>
        <w:t xml:space="preserve">链上足迹:扫描全链,识别中继跨链闭环已实际上链的协议交易,读取其真实 </w:t>
      </w:r>
      <w:r>
        <w:rPr>
          <w:rFonts w:ascii="Courier New" w:hAnsi="Courier New" w:eastAsia="宋体"/>
          <w:sz w:val="18"/>
        </w:rPr>
        <w:t>gasUsed</w:t>
      </w:r>
      <w:r>
        <w:rPr>
          <w:rFonts w:ascii="Times New Roman" w:hAnsi="Times New Roman" w:eastAsia="宋体"/>
          <w:sz w:val="20"/>
        </w:rPr>
        <w:t xml:space="preserve">、输入字节、出块间隔与账本增长——所有数字均来自对已执行交易的 </w:t>
      </w:r>
      <w:r>
        <w:rPr>
          <w:rFonts w:ascii="Courier New" w:hAnsi="Courier New" w:eastAsia="宋体"/>
          <w:sz w:val="18"/>
        </w:rPr>
        <w:t>eth_getTransactionReceipt</w:t>
      </w:r>
      <w:r>
        <w:rPr>
          <w:rFonts w:ascii="Times New Roman" w:hAnsi="Times New Roman" w:eastAsia="宋体"/>
          <w:sz w:val="20"/>
        </w:rPr>
        <w:t>/</w:t>
      </w:r>
      <w:r>
        <w:rPr>
          <w:rFonts w:ascii="Courier New" w:hAnsi="Courier New" w:eastAsia="宋体"/>
          <w:sz w:val="18"/>
        </w:rPr>
        <w:t>eth_getBlockByNumber</w:t>
      </w:r>
      <w:r>
        <w:rPr>
          <w:rFonts w:ascii="Times New Roman" w:hAnsi="Times New Roman" w:eastAsia="宋体"/>
          <w:sz w:val="20"/>
        </w:rPr>
        <w:t>,无任何估算或伪造。经</w:t>
      </w:r>
      <w:r>
        <w:rPr>
          <w:rFonts w:ascii="Courier New" w:hAnsi="Courier New" w:eastAsia="宋体"/>
          <w:sz w:val="18"/>
        </w:rPr>
        <w:t>node demo/experiments/run_onchain_cost.js</w:t>
      </w:r>
      <w:r>
        <w:rPr>
          <w:rFonts w:ascii="Times New Roman" w:hAnsi="Times New Roman" w:eastAsia="宋体"/>
          <w:sz w:val="20"/>
        </w:rPr>
        <w:t xml:space="preserve"> 一键复跑,归档于 </w:t>
      </w:r>
      <w:r>
        <w:rPr>
          <w:rFonts w:ascii="Courier New" w:hAnsi="Courier New" w:eastAsia="宋体"/>
          <w:sz w:val="18"/>
        </w:rPr>
        <w:t>demo/experiments/onchain_cost_results.json</w:t>
      </w:r>
      <w:r>
        <w:rPr>
          <w:rFonts w:ascii="Times New Roman" w:hAnsi="Times New Roman" w:eastAsia="宋体"/>
          <w:sz w:val="20"/>
        </w:rPr>
        <w:t>。</w:t>
      </w:r>
    </w:p>
    <w:p>
      <w:r>
        <w:rPr>
          <w:rFonts w:ascii="Times New Roman" w:hAnsi="Times New Roman" w:eastAsia="宋体"/>
          <w:sz w:val="20"/>
        </w:rPr>
        <w:t>关键在于本协议的链上/链下分工:</w:t>
      </w:r>
      <w:r>
        <w:rPr>
          <w:rFonts w:ascii="Times New Roman" w:hAnsi="Times New Roman" w:eastAsia="宋体"/>
          <w:b/>
          <w:sz w:val="20"/>
        </w:rPr>
        <w:t>commit-reveal、加权聚合与信誉更新均在链下中继进程内完成,协调合约只把聚合后的结果上链</w:t>
      </w:r>
      <w:r>
        <w:rPr>
          <w:rFonts w:ascii="Times New Roman" w:hAnsi="Times New Roman" w:eastAsia="宋体"/>
          <w:sz w:val="20"/>
        </w:rPr>
        <w:t>——</w:t>
      </w:r>
      <w:r>
        <w:rPr>
          <w:rFonts w:ascii="Courier New" w:hAnsi="Courier New" w:eastAsia="宋体"/>
          <w:sz w:val="18"/>
        </w:rPr>
        <w:t>receiveLite(·)</w:t>
      </w:r>
      <w:r>
        <w:rPr>
          <w:rFonts w:ascii="Times New Roman" w:hAnsi="Times New Roman" w:eastAsia="宋体"/>
          <w:sz w:val="20"/>
        </w:rPr>
        <w:t xml:space="preserve"> 锚定 negotiationProofDigest 与 payloadHash,</w:t>
      </w:r>
      <w:r>
        <w:rPr>
          <w:rFonts w:ascii="Courier New" w:hAnsi="Courier New" w:eastAsia="宋体"/>
          <w:sz w:val="18"/>
        </w:rPr>
        <w:t>submitBlockHeader(·)</w:t>
      </w:r>
      <w:r>
        <w:rPr>
          <w:rFonts w:ascii="Times New Roman" w:hAnsi="Times New Roman" w:eastAsia="宋体"/>
          <w:sz w:val="20"/>
        </w:rPr>
        <w:t xml:space="preserve"> 锚定源链头部。二者均只存储定长摘要,</w:t>
      </w:r>
      <w:r>
        <w:rPr>
          <w:rFonts w:ascii="Times New Roman" w:hAnsi="Times New Roman" w:eastAsia="宋体"/>
          <w:b/>
          <w:sz w:val="20"/>
        </w:rPr>
        <w:t>与委员会规模 n 无关</w:t>
      </w:r>
      <w:r>
        <w:rPr>
          <w:rFonts w:ascii="Times New Roman" w:hAnsi="Times New Roman" w:eastAsia="宋体"/>
          <w:sz w:val="20"/>
        </w:rPr>
        <w:t xml:space="preserve">。因此每个调用任务的链上写入是 </w:t>
      </w:r>
      <w:r>
        <w:rPr>
          <w:rFonts w:ascii="Times New Roman" w:hAnsi="Times New Roman" w:eastAsia="宋体"/>
          <w:i/>
          <w:sz w:val="20"/>
        </w:rPr>
        <w:t>O(1)</w:t>
      </w:r>
      <w:r>
        <w:rPr>
          <w:rFonts w:ascii="Times New Roman" w:hAnsi="Times New Roman" w:eastAsia="宋体"/>
          <w:sz w:val="20"/>
        </w:rPr>
        <w:t xml:space="preserve">,而非朴素链上 BFT 中每张选票都上链的 </w:t>
      </w:r>
      <w:r>
        <w:rPr>
          <w:rFonts w:ascii="Times New Roman" w:hAnsi="Times New Roman" w:eastAsia="宋体"/>
          <w:i/>
          <w:sz w:val="20"/>
        </w:rPr>
        <w:t>O(n)</w:t>
      </w:r>
      <w:r>
        <w:rPr>
          <w:rFonts w:ascii="Times New Roman" w:hAnsi="Times New Roman" w:eastAsia="宋体"/>
          <w:sz w:val="20"/>
        </w:rPr>
        <w:t>。各协议操作的实测链上开销见表 4。</w:t>
      </w:r>
    </w:p>
    <w:p>
      <w:r>
        <w:rPr>
          <w:rFonts w:ascii="Times New Roman" w:hAnsi="Times New Roman" w:eastAsia="宋体"/>
          <w:b/>
          <w:sz w:val="20"/>
        </w:rPr>
        <w:t>表 4. 实测协议交易的链上 gas(FISCO-BCOS 实账本,扫描 1122 个区块,127 笔协议交易)。</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c>
          <w:tcPr>
            <w:tcW w:type="dxa" w:w="1714"/>
            <w:vAlign w:val="center"/>
            <w:shd w:fill="D9E2F3"/>
            <w:cantSplit/>
          </w:tcPr>
          <w:p>
            <w:pPr>
              <w:jc w:val="center"/>
            </w:pPr>
            <w:r>
              <w:rPr>
                <w:rFonts w:ascii="Times New Roman" w:hAnsi="Times New Roman" w:eastAsia="宋体"/>
                <w:b/>
                <w:sz w:val="14"/>
              </w:rPr>
              <w:t>链上操作</w:t>
            </w:r>
          </w:p>
        </w:tc>
        <w:tc>
          <w:tcPr>
            <w:tcW w:type="dxa" w:w="1714"/>
            <w:vAlign w:val="center"/>
            <w:shd w:fill="D9E2F3"/>
            <w:cantSplit/>
          </w:tcPr>
          <w:p>
            <w:pPr>
              <w:jc w:val="center"/>
            </w:pPr>
            <w:r>
              <w:rPr>
                <w:rFonts w:ascii="Times New Roman" w:hAnsi="Times New Roman" w:eastAsia="宋体"/>
                <w:b/>
                <w:sz w:val="14"/>
              </w:rPr>
              <w:t>笔数</w:t>
            </w:r>
          </w:p>
        </w:tc>
        <w:tc>
          <w:tcPr>
            <w:tcW w:type="dxa" w:w="1714"/>
            <w:vAlign w:val="center"/>
            <w:shd w:fill="D9E2F3"/>
            <w:cantSplit/>
          </w:tcPr>
          <w:p>
            <w:pPr>
              <w:jc w:val="center"/>
            </w:pPr>
            <w:r>
              <w:rPr>
                <w:rFonts w:ascii="Times New Roman" w:hAnsi="Times New Roman" w:eastAsia="宋体"/>
                <w:b/>
                <w:sz w:val="14"/>
              </w:rPr>
              <w:t>gasUsed(均值)</w:t>
            </w:r>
          </w:p>
        </w:tc>
        <w:tc>
          <w:tcPr>
            <w:tcW w:type="dxa" w:w="1714"/>
            <w:vAlign w:val="center"/>
            <w:shd w:fill="D9E2F3"/>
            <w:cantSplit/>
          </w:tcPr>
          <w:p>
            <w:pPr>
              <w:jc w:val="center"/>
            </w:pPr>
            <w:r>
              <w:rPr>
                <w:rFonts w:ascii="Times New Roman" w:hAnsi="Times New Roman" w:eastAsia="宋体"/>
                <w:b/>
                <w:sz w:val="14"/>
              </w:rPr>
              <w:t>gas(min..max)</w:t>
            </w:r>
          </w:p>
        </w:tc>
        <w:tc>
          <w:tcPr>
            <w:tcW w:type="dxa" w:w="1714"/>
            <w:vAlign w:val="center"/>
            <w:shd w:fill="D9E2F3"/>
            <w:cantSplit/>
          </w:tcPr>
          <w:p>
            <w:pPr>
              <w:jc w:val="center"/>
            </w:pPr>
            <w:r>
              <w:rPr>
                <w:rFonts w:ascii="Times New Roman" w:hAnsi="Times New Roman" w:eastAsia="宋体"/>
                <w:b/>
                <w:sz w:val="14"/>
              </w:rPr>
              <w:t>输入字节</w:t>
            </w:r>
          </w:p>
        </w:tc>
        <w:tc>
          <w:tcPr>
            <w:tcW w:type="dxa" w:w="1714"/>
            <w:vAlign w:val="center"/>
            <w:shd w:fill="D9E2F3"/>
            <w:cantSplit/>
          </w:tcPr>
          <w:p>
            <w:pPr>
              <w:jc w:val="center"/>
            </w:pPr>
            <w:r>
              <w:rPr>
                <w:rFonts w:ascii="Times New Roman" w:hAnsi="Times New Roman" w:eastAsia="宋体"/>
                <w:b/>
                <w:sz w:val="14"/>
              </w:rPr>
              <w:t>角色</w:t>
            </w:r>
          </w:p>
        </w:tc>
      </w:tr>
      <w:tr>
        <w:tc>
          <w:tcPr>
            <w:tcW w:type="dxa" w:w="1714"/>
            <w:vAlign w:val="center"/>
            <w:cantSplit/>
          </w:tcPr>
          <w:p>
            <w:pPr>
              <w:jc w:val="center"/>
            </w:pPr>
            <w:r>
              <w:rPr>
                <w:rFonts w:ascii="Courier New" w:hAnsi="Courier New" w:eastAsia="宋体"/>
                <w:sz w:val="16"/>
              </w:rPr>
              <w:t>submitBlockHeader</w:t>
            </w:r>
            <w:r>
              <w:rPr>
                <w:rFonts w:ascii="Times New Roman" w:hAnsi="Times New Roman" w:eastAsia="宋体"/>
                <w:sz w:val="14"/>
              </w:rPr>
              <w:t>(LightClient)</w:t>
            </w:r>
          </w:p>
        </w:tc>
        <w:tc>
          <w:tcPr>
            <w:tcW w:type="dxa" w:w="1714"/>
            <w:vAlign w:val="center"/>
            <w:cantSplit/>
          </w:tcPr>
          <w:p>
            <w:pPr>
              <w:jc w:val="center"/>
            </w:pPr>
            <w:r>
              <w:rPr>
                <w:rFonts w:ascii="Times New Roman" w:hAnsi="Times New Roman" w:eastAsia="宋体"/>
                <w:sz w:val="14"/>
              </w:rPr>
              <w:t>109</w:t>
            </w:r>
          </w:p>
        </w:tc>
        <w:tc>
          <w:tcPr>
            <w:tcW w:type="dxa" w:w="1714"/>
            <w:vAlign w:val="center"/>
            <w:cantSplit/>
          </w:tcPr>
          <w:p>
            <w:pPr>
              <w:jc w:val="center"/>
            </w:pPr>
            <w:r>
              <w:rPr>
                <w:rFonts w:ascii="Times New Roman" w:hAnsi="Times New Roman" w:eastAsia="宋体"/>
                <w:sz w:val="14"/>
              </w:rPr>
              <w:t>82079</w:t>
            </w:r>
          </w:p>
        </w:tc>
        <w:tc>
          <w:tcPr>
            <w:tcW w:type="dxa" w:w="1714"/>
            <w:vAlign w:val="center"/>
            <w:cantSplit/>
          </w:tcPr>
          <w:p>
            <w:pPr>
              <w:jc w:val="center"/>
            </w:pPr>
            <w:r>
              <w:rPr>
                <w:rFonts w:ascii="Times New Roman" w:hAnsi="Times New Roman" w:eastAsia="宋体"/>
                <w:sz w:val="14"/>
              </w:rPr>
              <w:t>74534..82149</w:t>
            </w:r>
          </w:p>
        </w:tc>
        <w:tc>
          <w:tcPr>
            <w:tcW w:type="dxa" w:w="1714"/>
            <w:vAlign w:val="center"/>
            <w:cantSplit/>
          </w:tcPr>
          <w:p>
            <w:pPr>
              <w:jc w:val="center"/>
            </w:pPr>
            <w:r>
              <w:rPr>
                <w:rFonts w:ascii="Times New Roman" w:hAnsi="Times New Roman" w:eastAsia="宋体"/>
                <w:sz w:val="14"/>
              </w:rPr>
              <w:t>452</w:t>
            </w:r>
          </w:p>
        </w:tc>
        <w:tc>
          <w:tcPr>
            <w:tcW w:type="dxa" w:w="1714"/>
            <w:vAlign w:val="center"/>
            <w:cantSplit/>
          </w:tcPr>
          <w:p>
            <w:pPr>
              <w:jc w:val="center"/>
            </w:pPr>
            <w:r>
              <w:rPr>
                <w:rFonts w:ascii="Times New Roman" w:hAnsi="Times New Roman" w:eastAsia="宋体"/>
                <w:sz w:val="14"/>
              </w:rPr>
              <w:t>源链头部锚定(按源链新块广播,跨任务摊销)</w:t>
            </w:r>
          </w:p>
        </w:tc>
      </w:tr>
      <w:tr>
        <w:tc>
          <w:tcPr>
            <w:tcW w:type="dxa" w:w="1714"/>
            <w:vAlign w:val="center"/>
            <w:cantSplit/>
          </w:tcPr>
          <w:p>
            <w:pPr>
              <w:jc w:val="center"/>
            </w:pPr>
            <w:r>
              <w:rPr>
                <w:rFonts w:ascii="Courier New" w:hAnsi="Courier New" w:eastAsia="宋体"/>
                <w:sz w:val="16"/>
              </w:rPr>
              <w:t>receiveLite</w:t>
            </w:r>
            <w:r>
              <w:rPr>
                <w:rFonts w:ascii="Times New Roman" w:hAnsi="Times New Roman" w:eastAsia="宋体"/>
                <w:sz w:val="14"/>
              </w:rPr>
              <w:t>(Gateway)</w:t>
            </w:r>
          </w:p>
        </w:tc>
        <w:tc>
          <w:tcPr>
            <w:tcW w:type="dxa" w:w="1714"/>
            <w:vAlign w:val="center"/>
            <w:cantSplit/>
          </w:tcPr>
          <w:p>
            <w:pPr>
              <w:jc w:val="center"/>
            </w:pPr>
            <w:r>
              <w:rPr>
                <w:rFonts w:ascii="Times New Roman" w:hAnsi="Times New Roman" w:eastAsia="宋体"/>
                <w:sz w:val="14"/>
              </w:rPr>
              <w:t>7</w:t>
            </w:r>
          </w:p>
        </w:tc>
        <w:tc>
          <w:tcPr>
            <w:tcW w:type="dxa" w:w="1714"/>
            <w:vAlign w:val="center"/>
            <w:cantSplit/>
          </w:tcPr>
          <w:p>
            <w:pPr>
              <w:jc w:val="center"/>
            </w:pPr>
            <w:r>
              <w:rPr>
                <w:rFonts w:ascii="Times New Roman" w:hAnsi="Times New Roman" w:eastAsia="宋体"/>
                <w:sz w:val="14"/>
              </w:rPr>
              <w:t>39518</w:t>
            </w:r>
          </w:p>
        </w:tc>
        <w:tc>
          <w:tcPr>
            <w:tcW w:type="dxa" w:w="1714"/>
            <w:vAlign w:val="center"/>
            <w:cantSplit/>
          </w:tcPr>
          <w:p>
            <w:pPr>
              <w:jc w:val="center"/>
            </w:pPr>
            <w:r>
              <w:rPr>
                <w:rFonts w:ascii="Times New Roman" w:hAnsi="Times New Roman" w:eastAsia="宋体"/>
                <w:sz w:val="14"/>
              </w:rPr>
              <w:t>39487..39585</w:t>
            </w:r>
          </w:p>
        </w:tc>
        <w:tc>
          <w:tcPr>
            <w:tcW w:type="dxa" w:w="1714"/>
            <w:vAlign w:val="center"/>
            <w:cantSplit/>
          </w:tcPr>
          <w:p>
            <w:pPr>
              <w:jc w:val="center"/>
            </w:pPr>
            <w:r>
              <w:rPr>
                <w:rFonts w:ascii="Times New Roman" w:hAnsi="Times New Roman" w:eastAsia="宋体"/>
                <w:sz w:val="14"/>
              </w:rPr>
              <w:t>845</w:t>
            </w:r>
          </w:p>
        </w:tc>
        <w:tc>
          <w:tcPr>
            <w:tcW w:type="dxa" w:w="1714"/>
            <w:vAlign w:val="center"/>
            <w:cantSplit/>
          </w:tcPr>
          <w:p>
            <w:pPr>
              <w:jc w:val="center"/>
            </w:pPr>
            <w:r>
              <w:rPr>
                <w:rFonts w:ascii="Times New Roman" w:hAnsi="Times New Roman" w:eastAsia="宋体"/>
                <w:b/>
                <w:sz w:val="14"/>
              </w:rPr>
              <w:t>每任务结果锚定(摘要+载荷哈希),n 无关</w:t>
            </w:r>
          </w:p>
        </w:tc>
      </w:tr>
      <w:tr>
        <w:tc>
          <w:tcPr>
            <w:tcW w:type="dxa" w:w="1714"/>
            <w:vAlign w:val="center"/>
            <w:cantSplit/>
          </w:tcPr>
          <w:p>
            <w:pPr>
              <w:jc w:val="center"/>
            </w:pPr>
            <w:r>
              <w:rPr>
                <w:rFonts w:ascii="Courier New" w:hAnsi="Courier New" w:eastAsia="宋体"/>
                <w:sz w:val="16"/>
              </w:rPr>
              <w:t>send</w:t>
            </w:r>
            <w:r>
              <w:rPr>
                <w:rFonts w:ascii="Times New Roman" w:hAnsi="Times New Roman" w:eastAsia="宋体"/>
                <w:sz w:val="14"/>
              </w:rPr>
              <w:t>(Gateway)</w:t>
            </w:r>
          </w:p>
        </w:tc>
        <w:tc>
          <w:tcPr>
            <w:tcW w:type="dxa" w:w="1714"/>
            <w:vAlign w:val="center"/>
            <w:cantSplit/>
          </w:tcPr>
          <w:p>
            <w:pPr>
              <w:jc w:val="center"/>
            </w:pPr>
            <w:r>
              <w:rPr>
                <w:rFonts w:ascii="Times New Roman" w:hAnsi="Times New Roman" w:eastAsia="宋体"/>
                <w:sz w:val="14"/>
              </w:rPr>
              <w:t>9</w:t>
            </w:r>
          </w:p>
        </w:tc>
        <w:tc>
          <w:tcPr>
            <w:tcW w:type="dxa" w:w="1714"/>
            <w:vAlign w:val="center"/>
            <w:cantSplit/>
          </w:tcPr>
          <w:p>
            <w:pPr>
              <w:jc w:val="center"/>
            </w:pPr>
            <w:r>
              <w:rPr>
                <w:rFonts w:ascii="Times New Roman" w:hAnsi="Times New Roman" w:eastAsia="宋体"/>
                <w:sz w:val="14"/>
              </w:rPr>
              <w:t>17414</w:t>
            </w:r>
          </w:p>
        </w:tc>
        <w:tc>
          <w:tcPr>
            <w:tcW w:type="dxa" w:w="1714"/>
            <w:vAlign w:val="center"/>
            <w:cantSplit/>
          </w:tcPr>
          <w:p>
            <w:pPr>
              <w:jc w:val="center"/>
            </w:pPr>
            <w:r>
              <w:rPr>
                <w:rFonts w:ascii="Times New Roman" w:hAnsi="Times New Roman" w:eastAsia="宋体"/>
                <w:sz w:val="14"/>
              </w:rPr>
              <w:t>—</w:t>
            </w:r>
          </w:p>
        </w:tc>
        <w:tc>
          <w:tcPr>
            <w:tcW w:type="dxa" w:w="1714"/>
            <w:vAlign w:val="center"/>
            <w:cantSplit/>
          </w:tcPr>
          <w:p>
            <w:pPr>
              <w:jc w:val="center"/>
            </w:pPr>
            <w:r>
              <w:rPr>
                <w:rFonts w:ascii="Times New Roman" w:hAnsi="Times New Roman" w:eastAsia="宋体"/>
                <w:sz w:val="14"/>
              </w:rPr>
              <w:t>580</w:t>
            </w:r>
          </w:p>
        </w:tc>
        <w:tc>
          <w:tcPr>
            <w:tcW w:type="dxa" w:w="1714"/>
            <w:vAlign w:val="center"/>
            <w:cantSplit/>
          </w:tcPr>
          <w:p>
            <w:pPr>
              <w:jc w:val="center"/>
            </w:pPr>
            <w:r>
              <w:rPr>
                <w:rFonts w:ascii="Times New Roman" w:hAnsi="Times New Roman" w:eastAsia="宋体"/>
                <w:sz w:val="14"/>
              </w:rPr>
              <w:t>跨链调用发起</w:t>
            </w:r>
          </w:p>
        </w:tc>
      </w:tr>
    </w:tbl>
    <w:p>
      <w:r>
        <w:rPr>
          <w:rFonts w:ascii="Times New Roman" w:hAnsi="Times New Roman" w:eastAsia="宋体"/>
          <w:sz w:val="20"/>
        </w:rPr>
        <w:t xml:space="preserve">每个调用任务的链上写入即 </w:t>
      </w:r>
      <w:r>
        <w:rPr>
          <w:rFonts w:ascii="Times New Roman" w:hAnsi="Times New Roman" w:eastAsia="宋体"/>
          <w:i/>
          <w:sz w:val="20"/>
        </w:rPr>
        <w:t>一次</w:t>
      </w:r>
      <w:r>
        <w:rPr>
          <w:rFonts w:ascii="Times New Roman" w:hAnsi="Times New Roman" w:eastAsia="宋体"/>
          <w:sz w:val="20"/>
        </w:rPr>
        <w:t xml:space="preserve"> </w:t>
      </w:r>
      <w:r>
        <w:rPr>
          <w:rFonts w:ascii="Courier New" w:hAnsi="Courier New" w:eastAsia="宋体"/>
          <w:sz w:val="18"/>
        </w:rPr>
        <w:t>receiveLite</w:t>
      </w:r>
      <w:r>
        <w:rPr>
          <w:rFonts w:ascii="Times New Roman" w:hAnsi="Times New Roman" w:eastAsia="宋体"/>
          <w:sz w:val="20"/>
        </w:rPr>
        <w:t xml:space="preserve">,约 </w:t>
      </w:r>
      <w:r>
        <w:rPr>
          <w:rFonts w:ascii="Times New Roman" w:hAnsi="Times New Roman" w:eastAsia="宋体"/>
          <w:b/>
          <w:sz w:val="20"/>
        </w:rPr>
        <w:t>39518 gas / 845 字节,且不随委员会规模增长</w:t>
      </w:r>
      <w:r>
        <w:rPr>
          <w:rFonts w:ascii="Times New Roman" w:hAnsi="Times New Roman" w:eastAsia="宋体"/>
          <w:sz w:val="20"/>
        </w:rPr>
        <w:t>;源链头部提交(82079 gas)按源块广播并被同区间的多个任务摊销。观测到的出块间隔中位数约 7.5s(p10≈7.2s),与第 VII 节端到端延迟模型(乐观 8s)一致。</w:t>
      </w:r>
    </w:p>
    <w:p>
      <w:r>
        <w:rPr>
          <w:rFonts w:ascii="Times New Roman" w:hAnsi="Times New Roman" w:eastAsia="宋体"/>
          <w:sz w:val="20"/>
        </w:rPr>
        <w:t xml:space="preserve">若把 </w:t>
      </w:r>
      <w:r>
        <w:rPr>
          <w:rFonts w:ascii="Courier New" w:hAnsi="Courier New" w:eastAsia="宋体"/>
          <w:sz w:val="18"/>
        </w:rPr>
        <w:t>2n</w:t>
      </w:r>
      <w:r>
        <w:rPr>
          <w:rFonts w:ascii="Times New Roman" w:hAnsi="Times New Roman" w:eastAsia="宋体"/>
          <w:sz w:val="20"/>
        </w:rPr>
        <w:t xml:space="preserve"> 张 commit/reveal 选票全部上链，并以实测 </w:t>
      </w:r>
      <w:r>
        <w:rPr>
          <w:rFonts w:ascii="Courier New" w:hAnsi="Courier New" w:eastAsia="宋体"/>
          <w:sz w:val="18"/>
        </w:rPr>
        <w:t>send</w:t>
      </w:r>
      <w:r>
        <w:rPr>
          <w:rFonts w:ascii="Times New Roman" w:hAnsi="Times New Roman" w:eastAsia="宋体"/>
          <w:sz w:val="20"/>
        </w:rPr>
        <w:t xml:space="preserve"> 的 17414 gas 作为单票下界，则 n=5/7/15 时约需本协议的 4.4/6.2/13.2 倍 gas。该比较只覆盖乐观路径；完整问责仍依赖链下审计包可用，且未计入尚未实现的链上争议交易。</w:t>
      </w:r>
    </w:p>
    <w:p>
      <w:pPr>
        <w:pStyle w:val="Heading3"/>
      </w:pPr>
      <w:r>
        <w:t>D.10 真实模型相关失败与语义重放</w:t>
      </w:r>
    </w:p>
    <w:p>
      <w:r>
        <w:rPr>
          <w:rFonts w:ascii="Times New Roman" w:hAnsi="Times New Roman" w:eastAsia="宋体"/>
          <w:sz w:val="20"/>
        </w:rPr>
        <w:t xml:space="preserve">我们在 RTX 4090 上以 </w:t>
      </w:r>
      <w:r>
        <w:rPr>
          <w:rFonts w:ascii="Courier New" w:hAnsi="Courier New" w:eastAsia="宋体"/>
          <w:sz w:val="18"/>
        </w:rPr>
        <w:t>llama3.1:8b</w:t>
      </w:r>
      <w:r>
        <w:rPr>
          <w:rFonts w:ascii="Times New Roman" w:hAnsi="Times New Roman" w:eastAsia="宋体"/>
          <w:sz w:val="20"/>
        </w:rPr>
        <w:t xml:space="preserve"> 和 </w:t>
      </w:r>
      <w:r>
        <w:rPr>
          <w:rFonts w:ascii="Courier New" w:hAnsi="Courier New" w:eastAsia="宋体"/>
          <w:sz w:val="18"/>
        </w:rPr>
        <w:t>qwen2.5:7b</w:t>
      </w:r>
      <w:r>
        <w:rPr>
          <w:rFonts w:ascii="Times New Roman" w:hAnsi="Times New Roman" w:eastAsia="宋体"/>
          <w:sz w:val="20"/>
        </w:rPr>
        <w:t xml:space="preserve"> 判断 16 个困难跨链语义案例，每案各采样 8 次，共 256 次推理。两模型准确率分别为 68.0% 和 79.7%；同模型与跨模型错误相关系数分别为 0.79 和 0.44，同质/异质委员会误受率分别为 33.3% 和 22.2%。随后将真实判断作为诚实票注入生产聚合规则，并加入恶意伪造接受票（表 5）。</w:t>
      </w:r>
    </w:p>
    <w:p>
      <w:r>
        <w:rPr>
          <w:rFonts w:ascii="Times New Roman" w:hAnsi="Times New Roman" w:eastAsia="宋体"/>
          <w:b/>
          <w:sz w:val="20"/>
        </w:rPr>
        <w:t>表 5. 真实判断驱动的语义层:本方案正确率/误受率(n = 5,真实诚实判断 + 注入恶意票)。</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c>
          <w:tcPr>
            <w:tcW w:type="dxa" w:w="2056"/>
            <w:vAlign w:val="center"/>
            <w:shd w:fill="D9E2F3"/>
            <w:cantSplit/>
          </w:tcPr>
          <w:p>
            <w:pPr>
              <w:jc w:val="center"/>
            </w:pPr>
            <w:r>
              <w:rPr>
                <w:rFonts w:ascii="Times New Roman" w:hAnsi="Times New Roman" w:eastAsia="宋体"/>
                <w:b/>
                <w:sz w:val="14"/>
              </w:rPr>
              <w:t>恶意比例</w:t>
            </w:r>
          </w:p>
        </w:tc>
        <w:tc>
          <w:tcPr>
            <w:tcW w:type="dxa" w:w="2056"/>
            <w:vAlign w:val="center"/>
            <w:shd w:fill="D9E2F3"/>
            <w:cantSplit/>
          </w:tcPr>
          <w:p>
            <w:pPr>
              <w:jc w:val="center"/>
            </w:pPr>
            <w:r>
              <w:rPr>
                <w:rFonts w:ascii="Times New Roman" w:hAnsi="Times New Roman" w:eastAsia="宋体"/>
                <w:b/>
                <w:sz w:val="14"/>
              </w:rPr>
              <w:t>同质(llama3.1)</w:t>
            </w:r>
          </w:p>
        </w:tc>
        <w:tc>
          <w:tcPr>
            <w:tcW w:type="dxa" w:w="2056"/>
            <w:vAlign w:val="center"/>
            <w:shd w:fill="D9E2F3"/>
            <w:cantSplit/>
          </w:tcPr>
          <w:p>
            <w:pPr>
              <w:jc w:val="center"/>
            </w:pPr>
            <w:r>
              <w:rPr>
                <w:rFonts w:ascii="Times New Roman" w:hAnsi="Times New Roman" w:eastAsia="宋体"/>
                <w:b/>
                <w:sz w:val="14"/>
              </w:rPr>
              <w:t>同质(qwen2.5)</w:t>
            </w:r>
          </w:p>
        </w:tc>
        <w:tc>
          <w:tcPr>
            <w:tcW w:type="dxa" w:w="2056"/>
            <w:vAlign w:val="center"/>
            <w:shd w:fill="D9E2F3"/>
            <w:cantSplit/>
          </w:tcPr>
          <w:p>
            <w:pPr>
              <w:jc w:val="center"/>
            </w:pPr>
            <w:r>
              <w:rPr>
                <w:rFonts w:ascii="Times New Roman" w:hAnsi="Times New Roman" w:eastAsia="宋体"/>
                <w:b/>
                <w:sz w:val="14"/>
              </w:rPr>
              <w:t>异构(混合)</w:t>
            </w:r>
          </w:p>
        </w:tc>
        <w:tc>
          <w:tcPr>
            <w:tcW w:type="dxa" w:w="2056"/>
            <w:vAlign w:val="center"/>
            <w:shd w:fill="D9E2F3"/>
            <w:cantSplit/>
          </w:tcPr>
          <w:p>
            <w:pPr>
              <w:jc w:val="center"/>
            </w:pPr>
            <w:r>
              <w:rPr>
                <w:rFonts w:ascii="Times New Roman" w:hAnsi="Times New Roman" w:eastAsia="宋体"/>
                <w:b/>
                <w:sz w:val="14"/>
              </w:rPr>
              <w:t>等权/PBFT(任一同质)</w:t>
            </w:r>
          </w:p>
        </w:tc>
      </w:tr>
      <w:tr>
        <w:tc>
          <w:tcPr>
            <w:tcW w:type="dxa" w:w="2056"/>
            <w:vAlign w:val="center"/>
            <w:cantSplit/>
          </w:tcPr>
          <w:p>
            <w:pPr>
              <w:jc w:val="center"/>
            </w:pPr>
            <w:r>
              <w:rPr>
                <w:rFonts w:ascii="Times New Roman" w:hAnsi="Times New Roman" w:eastAsia="宋体"/>
                <w:sz w:val="14"/>
              </w:rPr>
              <w:t>20%</w:t>
            </w:r>
          </w:p>
        </w:tc>
        <w:tc>
          <w:tcPr>
            <w:tcW w:type="dxa" w:w="2056"/>
            <w:vAlign w:val="center"/>
            <w:cantSplit/>
          </w:tcPr>
          <w:p>
            <w:pPr>
              <w:jc w:val="center"/>
            </w:pPr>
            <w:r>
              <w:rPr>
                <w:rFonts w:ascii="Times New Roman" w:hAnsi="Times New Roman" w:eastAsia="宋体"/>
                <w:sz w:val="14"/>
              </w:rPr>
              <w:t>66% / 误受 17%</w:t>
            </w:r>
          </w:p>
        </w:tc>
        <w:tc>
          <w:tcPr>
            <w:tcW w:type="dxa" w:w="2056"/>
            <w:vAlign w:val="center"/>
            <w:cantSplit/>
          </w:tcPr>
          <w:p>
            <w:pPr>
              <w:jc w:val="center"/>
            </w:pPr>
            <w:r>
              <w:rPr>
                <w:rFonts w:ascii="Times New Roman" w:hAnsi="Times New Roman" w:eastAsia="宋体"/>
                <w:sz w:val="14"/>
              </w:rPr>
              <w:t>81% / 7%</w:t>
            </w:r>
          </w:p>
        </w:tc>
        <w:tc>
          <w:tcPr>
            <w:tcW w:type="dxa" w:w="2056"/>
            <w:vAlign w:val="center"/>
            <w:cantSplit/>
          </w:tcPr>
          <w:p>
            <w:pPr>
              <w:jc w:val="center"/>
            </w:pPr>
            <w:r>
              <w:rPr>
                <w:rFonts w:ascii="Times New Roman" w:hAnsi="Times New Roman" w:eastAsia="宋体"/>
                <w:sz w:val="14"/>
              </w:rPr>
              <w:t>76% / 12%</w:t>
            </w:r>
          </w:p>
        </w:tc>
        <w:tc>
          <w:tcPr>
            <w:tcW w:type="dxa" w:w="2056"/>
            <w:vAlign w:val="center"/>
            <w:cantSplit/>
          </w:tcPr>
          <w:p>
            <w:pPr>
              <w:jc w:val="center"/>
            </w:pPr>
            <w:r>
              <w:rPr>
                <w:rFonts w:ascii="Times New Roman" w:hAnsi="Times New Roman" w:eastAsia="宋体"/>
                <w:sz w:val="14"/>
              </w:rPr>
              <w:t>68% / 17%</w:t>
            </w:r>
          </w:p>
        </w:tc>
      </w:tr>
      <w:tr>
        <w:tc>
          <w:tcPr>
            <w:tcW w:type="dxa" w:w="2056"/>
            <w:vAlign w:val="center"/>
            <w:cantSplit/>
          </w:tcPr>
          <w:p>
            <w:pPr>
              <w:jc w:val="center"/>
            </w:pPr>
            <w:r>
              <w:rPr>
                <w:rFonts w:ascii="Times New Roman" w:hAnsi="Times New Roman" w:eastAsia="宋体"/>
                <w:sz w:val="14"/>
              </w:rPr>
              <w:t>40%</w:t>
            </w:r>
          </w:p>
        </w:tc>
        <w:tc>
          <w:tcPr>
            <w:tcW w:type="dxa" w:w="2056"/>
            <w:vAlign w:val="center"/>
            <w:cantSplit/>
          </w:tcPr>
          <w:p>
            <w:pPr>
              <w:jc w:val="center"/>
            </w:pPr>
            <w:r>
              <w:rPr>
                <w:rFonts w:ascii="Times New Roman" w:hAnsi="Times New Roman" w:eastAsia="宋体"/>
                <w:sz w:val="14"/>
              </w:rPr>
              <w:t>68% / 18%</w:t>
            </w:r>
          </w:p>
        </w:tc>
        <w:tc>
          <w:tcPr>
            <w:tcW w:type="dxa" w:w="2056"/>
            <w:vAlign w:val="center"/>
            <w:cantSplit/>
          </w:tcPr>
          <w:p>
            <w:pPr>
              <w:jc w:val="center"/>
            </w:pPr>
            <w:r>
              <w:rPr>
                <w:rFonts w:ascii="Times New Roman" w:hAnsi="Times New Roman" w:eastAsia="宋体"/>
                <w:sz w:val="14"/>
              </w:rPr>
              <w:t>81% / 6%</w:t>
            </w:r>
          </w:p>
        </w:tc>
        <w:tc>
          <w:tcPr>
            <w:tcW w:type="dxa" w:w="2056"/>
            <w:vAlign w:val="center"/>
            <w:cantSplit/>
          </w:tcPr>
          <w:p>
            <w:pPr>
              <w:jc w:val="center"/>
            </w:pPr>
            <w:r>
              <w:rPr>
                <w:rFonts w:ascii="Times New Roman" w:hAnsi="Times New Roman" w:eastAsia="宋体"/>
                <w:sz w:val="14"/>
              </w:rPr>
              <w:t>74% / 13%</w:t>
            </w:r>
          </w:p>
        </w:tc>
        <w:tc>
          <w:tcPr>
            <w:tcW w:type="dxa" w:w="2056"/>
            <w:vAlign w:val="center"/>
            <w:cantSplit/>
          </w:tcPr>
          <w:p>
            <w:pPr>
              <w:jc w:val="center"/>
            </w:pPr>
            <w:r>
              <w:rPr>
                <w:rFonts w:ascii="Times New Roman" w:hAnsi="Times New Roman" w:eastAsia="宋体"/>
                <w:sz w:val="14"/>
              </w:rPr>
              <w:t>72% / 18%</w:t>
            </w:r>
          </w:p>
        </w:tc>
      </w:tr>
      <w:tr>
        <w:tc>
          <w:tcPr>
            <w:tcW w:type="dxa" w:w="2056"/>
            <w:vAlign w:val="center"/>
            <w:cantSplit/>
          </w:tcPr>
          <w:p>
            <w:pPr>
              <w:jc w:val="center"/>
            </w:pPr>
            <w:r>
              <w:rPr>
                <w:rFonts w:ascii="Times New Roman" w:hAnsi="Times New Roman" w:eastAsia="宋体"/>
                <w:sz w:val="14"/>
              </w:rPr>
              <w:t>60%(恶意占多数)</w:t>
            </w:r>
          </w:p>
        </w:tc>
        <w:tc>
          <w:tcPr>
            <w:tcW w:type="dxa" w:w="2056"/>
            <w:vAlign w:val="center"/>
            <w:cantSplit/>
          </w:tcPr>
          <w:p>
            <w:pPr>
              <w:jc w:val="center"/>
            </w:pPr>
            <w:r>
              <w:rPr>
                <w:rFonts w:ascii="Times New Roman" w:hAnsi="Times New Roman" w:eastAsia="宋体"/>
                <w:sz w:val="14"/>
              </w:rPr>
              <w:t>71% / 18%</w:t>
            </w:r>
          </w:p>
        </w:tc>
        <w:tc>
          <w:tcPr>
            <w:tcW w:type="dxa" w:w="2056"/>
            <w:vAlign w:val="center"/>
            <w:cantSplit/>
          </w:tcPr>
          <w:p>
            <w:pPr>
              <w:jc w:val="center"/>
            </w:pPr>
            <w:r>
              <w:rPr>
                <w:rFonts w:ascii="Times New Roman" w:hAnsi="Times New Roman" w:eastAsia="宋体"/>
                <w:sz w:val="14"/>
              </w:rPr>
              <w:t>81% / 6%</w:t>
            </w:r>
          </w:p>
        </w:tc>
        <w:tc>
          <w:tcPr>
            <w:tcW w:type="dxa" w:w="2056"/>
            <w:vAlign w:val="center"/>
            <w:cantSplit/>
          </w:tcPr>
          <w:p>
            <w:pPr>
              <w:jc w:val="center"/>
            </w:pPr>
            <w:r>
              <w:rPr>
                <w:rFonts w:ascii="Times New Roman" w:hAnsi="Times New Roman" w:eastAsia="宋体"/>
                <w:sz w:val="14"/>
              </w:rPr>
              <w:t>73% / 16%</w:t>
            </w:r>
          </w:p>
        </w:tc>
        <w:tc>
          <w:tcPr>
            <w:tcW w:type="dxa" w:w="2056"/>
            <w:vAlign w:val="center"/>
            <w:cantSplit/>
          </w:tcPr>
          <w:p>
            <w:pPr>
              <w:jc w:val="center"/>
            </w:pPr>
            <w:r>
              <w:rPr>
                <w:rFonts w:ascii="Times New Roman" w:hAnsi="Times New Roman" w:eastAsia="宋体"/>
                <w:b/>
                <w:sz w:val="14"/>
              </w:rPr>
              <w:t>44% / 误受 56%</w:t>
            </w:r>
          </w:p>
        </w:tc>
      </w:tr>
    </w:tbl>
    <w:p>
      <w:r>
        <w:rPr>
          <w:rFonts w:ascii="Times New Roman" w:hAnsi="Times New Roman" w:eastAsia="宋体"/>
          <w:sz w:val="20"/>
        </w:rPr>
        <w:t>真实误差(20%–32%)且相关，使误受率升至 6%–18%，高于独立误差仿真的 1.8%，故 D.2 不是部署上界。异构委员会优于 llama3.1 同质条件，却弱于 qwen2.5 同质条件，说明去相关与成员准确率之间存在权衡。60% 压力测试结果仍依赖独立诚实仲裁，不能解释为全系统多数被攻陷时的无条件保证。</w:t>
      </w:r>
    </w:p>
    <w:p>
      <w:pPr>
        <w:pStyle w:val="Heading3"/>
      </w:pPr>
      <w:r>
        <w:t>D.11 伪造拒绝攻击(对称对照,场景 2)</w:t>
      </w:r>
    </w:p>
    <w:p>
      <w:r>
        <w:rPr>
          <w:rFonts w:ascii="Times New Roman" w:hAnsi="Times New Roman" w:eastAsia="宋体"/>
          <w:sz w:val="20"/>
        </w:rPr>
        <w:t xml:space="preserve">在相同的 n=5、30×10 任务设置中注入 </w:t>
      </w:r>
      <w:r>
        <w:rPr>
          <w:rFonts w:ascii="Courier New" w:hAnsi="Courier New" w:eastAsia="宋体"/>
          <w:sz w:val="18"/>
        </w:rPr>
        <w:t>always-reject</w:t>
      </w:r>
      <w:r>
        <w:rPr>
          <w:rFonts w:ascii="Times New Roman" w:hAnsi="Times New Roman" w:eastAsia="宋体"/>
          <w:sz w:val="20"/>
        </w:rPr>
        <w:t>。60% 恶意比例下，等权委员会与 PBFT 的误拒率为 50%；本协议将 50% 的任务升级到独立诚实仲裁组，观测误拒率为 0%（+50.0 pp，p&lt;0.01）。该结果验证“未决即升级”在给定仲裁假设下的作用，不构成恶意多数下的无条件活性保证。</w:t>
      </w:r>
    </w:p>
    <w:p>
      <w:pPr>
        <w:pStyle w:val="Heading3"/>
      </w:pPr>
      <w:r>
        <w:t>D.12 分阶段延迟分解(off-chain 实测 + 链上锚定实测)</w:t>
      </w:r>
    </w:p>
    <w:p>
      <w:r>
        <w:rPr>
          <w:rFonts w:ascii="Times New Roman" w:hAnsi="Times New Roman" w:eastAsia="宋体"/>
          <w:sz w:val="20"/>
        </w:rPr>
        <w:t>本机规则路径中，语义执行与仲裁约 0.006 ms、reveal 校验约 0.0001 ms、聚合约 0.0006 ms；FISCO-BCOS 出块间隔中位数约 7.5 s。RPC 和 LLM 延迟仍采用第 VII 节模型值，且未测量跨主机传播、排队和审计包持久化，因而这些数字只说明本地编排 CPU 开销较小，不代表完整分布式部署的端到端延迟。</w:t>
      </w:r>
    </w:p>
    <w:p>
      <w:pPr>
        <w:pStyle w:val="Heading1"/>
      </w:pPr>
      <w:r>
        <w:t>IX. 结论</w:t>
      </w:r>
    </w:p>
    <w:p>
      <w:r>
        <w:rPr>
          <w:rFonts w:ascii="Times New Roman" w:hAnsi="Times New Roman" w:eastAsia="宋体"/>
          <w:sz w:val="20"/>
        </w:rPr>
        <w:t>本文提出面向跨链语义查询的智能合约可信调用链下智能体协议,用于约束智能合约调用链下智能体时产生的概率性错误和拜占庭风险。协议把可重放的确定性检查与多智能体语义判断分层,采用密封提交、信誉与置信度联合加权及未决仲裁,并在目标链上仅锚定结果和审计包摘要。Fabric→FISCO-BCOS 单向跨链原型与参数化仿真表明,这一混合设计可在所测攻击条件下降低误受和误拒,同时将每任务链上写入保持为 O(1)。真实双模型对照进一步表明,独立误差仿真会低估相关失败,委员会设计必须同时考虑成员准确率和错误相关性。</w:t>
      </w:r>
    </w:p>
    <w:p>
      <w:r>
        <w:rPr>
          <w:rFonts w:ascii="Times New Roman" w:hAnsi="Times New Roman" w:eastAsia="宋体"/>
          <w:sz w:val="20"/>
        </w:rPr>
        <w:t>本协议的保证是条件性的:链上摘要只能证明某份审计记录未被替换,不能证明链外事实或模型结论为真;快速路径依赖恶意权重低于阈值,压力测试中的多数恶意容错依赖独立诚实仲裁;链下协调器仍可能审查、泄露或不提供审计包。因此,本工作提供的是可审计的风险约束机制,而不是语义真值证明。下一步工作应优先完成协调器复制与数据可用性机制,在跨机构部署中测量端到端延迟,并用更大且预先标注的真实任务集校准置信度与相关失败模型。</w:t>
      </w:r>
    </w:p>
    <w:p>
      <w:pPr>
        <w:pStyle w:val="Heading1"/>
      </w:pPr>
      <w:r>
        <w:t>伦理考量</w:t>
      </w:r>
    </w:p>
    <w:p>
      <w:r>
        <w:rPr>
          <w:rFonts w:ascii="Times New Roman" w:hAnsi="Times New Roman" w:eastAsia="宋体"/>
          <w:sz w:val="20"/>
        </w:rPr>
        <w:t>本文所述实验在作者控制的联盟链测试环境、参数化仿真和构造的跨链语义案例上进行,不涉及人体受试者、个人敏感数据或对生产系统的主动攻击。公开复现实验工件前,应移除本地路径、账户地址、节点凭据及其他可识别部署主体的元数据。该协议不应被解释为对高风险业务判断的自动授权;部署者仍需根据任务影响设置人工复核、最小权限和失败回退策略。</w:t>
      </w:r>
    </w:p>
    <w:p>
      <w:pPr>
        <w:pStyle w:val="Heading1"/>
      </w:pPr>
      <w:r>
        <w:t>参考文献</w:t>
      </w:r>
    </w:p>
    <w:p>
      <w:pPr>
        <w:ind w:left="259" w:hanging="259"/>
        <w:jc w:val="left"/>
      </w:pPr>
      <w:r>
        <w:rPr>
          <w:rFonts w:ascii="Times New Roman" w:hAnsi="Times New Roman" w:eastAsia="宋体"/>
          <w:sz w:val="20"/>
        </w:rPr>
        <w:t>[1] H. Tian, Z. Ruan, and Z. Fan, "A Cross-Chain Mechanism Based on Hierarchically Managed Notary Group," Int. J. Adv. Comput. Sci. Appl., vol. 16, no. 4, 2025, doi: 10.14569/IJACSA.2025.0160450.</w:t>
      </w:r>
    </w:p>
    <w:p>
      <w:pPr>
        <w:ind w:left="259" w:hanging="259"/>
        <w:jc w:val="left"/>
      </w:pPr>
      <w:r>
        <w:rPr>
          <w:rFonts w:ascii="Times New Roman" w:hAnsi="Times New Roman" w:eastAsia="宋体"/>
          <w:sz w:val="20"/>
        </w:rPr>
        <w:t>[2] L. Zheng et al., "Rethinking the Reliability of Multi-Agent Systems: A Perspective from Byzantine Fault Tolerance," in Proc. AAAI Conf. Artif. Intell. (AAAI-26), 2026, art. no. 40806.</w:t>
      </w:r>
    </w:p>
    <w:p>
      <w:pPr>
        <w:ind w:left="259" w:hanging="259"/>
        <w:jc w:val="left"/>
      </w:pPr>
      <w:r>
        <w:rPr>
          <w:rFonts w:ascii="Times New Roman" w:hAnsi="Times New Roman" w:eastAsia="宋体"/>
          <w:sz w:val="20"/>
        </w:rPr>
        <w:t>[3] H. Luo, G. Sun, Y. Liu, D. Zhao, D. Niyato, H. Yu, and S. Dustdar, "A Weighted Byzantine Fault Tolerance Consensus Driven Trusted Multiple Large Language Models Network," IEEE Trans. Cogn. Commun. Netw., vol. 12, pp. 3815–3830, 2026, doi: 10.1109/TCCN.2025.3620286.</w:t>
      </w:r>
    </w:p>
    <w:p>
      <w:pPr>
        <w:ind w:left="259" w:hanging="259"/>
        <w:jc w:val="left"/>
      </w:pPr>
      <w:r>
        <w:rPr>
          <w:rFonts w:ascii="Times New Roman" w:hAnsi="Times New Roman" w:eastAsia="宋体"/>
          <w:sz w:val="20"/>
        </w:rPr>
        <w:t>[4] Y. Jo and C. Park, "Byzantine-Robust Decentralized Coordination of LLM Agents," arXiv:2507.14928, 2025.</w:t>
      </w:r>
    </w:p>
    <w:p>
      <w:pPr>
        <w:ind w:left="259" w:hanging="259"/>
        <w:jc w:val="left"/>
      </w:pPr>
      <w:r>
        <w:rPr>
          <w:rFonts w:ascii="Times New Roman" w:hAnsi="Times New Roman" w:eastAsia="宋体"/>
          <w:sz w:val="20"/>
        </w:rPr>
        <w:t>[5] K. Patel, S. Surendira, J. George, and S. Kapale, "The Six Sigma Agent: Achieving Enterprise-Grade Reliability in LLM Systems Through Consensus-Driven Decomposed Execution," arXiv:2601.22290, 2026.</w:t>
      </w:r>
    </w:p>
    <w:p>
      <w:pPr>
        <w:ind w:left="259" w:hanging="259"/>
        <w:jc w:val="left"/>
      </w:pPr>
      <w:r>
        <w:rPr>
          <w:rFonts w:ascii="Times New Roman" w:hAnsi="Times New Roman" w:eastAsia="宋体"/>
          <w:sz w:val="20"/>
        </w:rPr>
        <w:t>[6] M. Cemri et al., "Why Do Multi-Agent LLM Systems Fail?" in Adv. Neural Inf. Process. Syst., vol. 38, Datasets and Benchmarks Track, 2025.</w:t>
      </w:r>
    </w:p>
    <w:p>
      <w:pPr>
        <w:ind w:left="259" w:hanging="259"/>
        <w:jc w:val="left"/>
      </w:pPr>
      <w:r>
        <w:rPr>
          <w:rFonts w:ascii="Times New Roman" w:hAnsi="Times New Roman" w:eastAsia="宋体"/>
          <w:sz w:val="20"/>
        </w:rPr>
        <w:t>[7] S. Srivastava, D. Agarwal, and B. K. Chaurasia, "Proof of Repute Consensus (PoRC): A Decentralized Approach to Blockchain Interoperability," Peer-to-Peer Netw. Appl., vol. 19, art. no. 50, 2026, doi: 10.1007/s12083-026-02206-w.</w:t>
      </w:r>
    </w:p>
    <w:p>
      <w:pPr>
        <w:ind w:left="259" w:hanging="259"/>
        <w:jc w:val="left"/>
      </w:pPr>
      <w:r>
        <w:rPr>
          <w:rFonts w:ascii="Times New Roman" w:hAnsi="Times New Roman" w:eastAsia="宋体"/>
          <w:sz w:val="20"/>
        </w:rPr>
        <w:t>[8] Y. Ding, A. Twabi, J. Yu, L. Zhang, T. Kondo, and H. Sato, "Decentralized Multi-Agent System with Trust-Aware Communication," arXiv:2512.02410, 2025.</w:t>
      </w:r>
    </w:p>
    <w:p>
      <w:pPr>
        <w:ind w:left="259" w:hanging="259"/>
        <w:jc w:val="left"/>
      </w:pPr>
      <w:r>
        <w:rPr>
          <w:rFonts w:ascii="Times New Roman" w:hAnsi="Times New Roman" w:eastAsia="宋体"/>
          <w:sz w:val="20"/>
        </w:rPr>
        <w:t>[9] M. Qi et al., "Towards Transparent and Incentive-Compatible Collaboration in Decentralized LLM Multi-Agent Systems: A Blockchain-Driven Approach," arXiv:2509.16736, 2025.</w:t>
      </w:r>
    </w:p>
    <w:p>
      <w:pPr>
        <w:ind w:left="259" w:hanging="259"/>
        <w:jc w:val="left"/>
      </w:pPr>
      <w:r>
        <w:rPr>
          <w:rFonts w:ascii="Times New Roman" w:hAnsi="Times New Roman" w:eastAsia="宋体"/>
          <w:sz w:val="20"/>
        </w:rPr>
        <w:t>[10] IEEE Std 3221.01-2025, "IEEE Standard for Blockchain Interoperability—Cross-Chain Transaction Consistency Protocol."</w:t>
      </w:r>
    </w:p>
    <w:p>
      <w:pPr>
        <w:ind w:left="259" w:hanging="259"/>
        <w:jc w:val="left"/>
      </w:pPr>
      <w:r>
        <w:rPr>
          <w:rFonts w:ascii="Times New Roman" w:hAnsi="Times New Roman" w:eastAsia="宋体"/>
          <w:sz w:val="20"/>
        </w:rPr>
        <w:t>[11] Hyperledger Cacti Project, "Hyperledger Cacti Documentation: Interoperability Across DLT Networks," 2026. [Online]. Available: https://hyperledger-cacti.github.io/cacti/</w:t>
      </w:r>
    </w:p>
    <w:p>
      <w:pPr>
        <w:ind w:left="259" w:hanging="259"/>
        <w:jc w:val="left"/>
      </w:pPr>
      <w:r>
        <w:rPr>
          <w:rFonts w:ascii="Times New Roman" w:hAnsi="Times New Roman" w:eastAsia="宋体"/>
          <w:sz w:val="20"/>
        </w:rPr>
        <w:t>[12] FISCO-BCOS, "WeCross: Cross-Chain Collaboration Platform," 2026. [Online]. Available: https://fisco-bcos-30-en-document.readthedocs.io/en/latest/docs/advanced_function/wecross.html</w:t>
      </w:r>
    </w:p>
    <w:p>
      <w:pPr>
        <w:ind w:left="259" w:hanging="259"/>
        <w:jc w:val="left"/>
      </w:pPr>
      <w:r>
        <w:rPr>
          <w:rFonts w:ascii="Times New Roman" w:hAnsi="Times New Roman" w:eastAsia="宋体"/>
          <w:sz w:val="20"/>
        </w:rPr>
        <w:t>[13] C. Yin et al., "Atomic Smart Contract Interoperability with High Efficiency via Cross-Chain Integrated Execution," arXiv:2502.12820, 2025.</w:t>
      </w:r>
    </w:p>
    <w:p>
      <w:pPr>
        <w:ind w:left="259" w:hanging="259"/>
        <w:jc w:val="left"/>
      </w:pPr>
      <w:r>
        <w:rPr>
          <w:rFonts w:ascii="Times New Roman" w:hAnsi="Times New Roman" w:eastAsia="宋体"/>
          <w:sz w:val="20"/>
        </w:rPr>
        <w:t>[14] A. Dua et al., "Security and Privacy in Permissioned Blockchain Interoperability: A Systematic Review," Comput. Mater. Contin., vol. 85, no. 2, pp. 2579–2624, 2025, doi: 10.32604/cmc.2025.070413.</w:t>
      </w:r>
    </w:p>
    <w:p>
      <w:pPr>
        <w:ind w:left="259" w:hanging="259"/>
        <w:jc w:val="left"/>
      </w:pPr>
      <w:r>
        <w:rPr>
          <w:rFonts w:ascii="Times New Roman" w:hAnsi="Times New Roman" w:eastAsia="宋体"/>
          <w:sz w:val="20"/>
        </w:rPr>
        <w:t>[15] N. Li, M. Qi, Z. Xu, X. Zhu, W. Zhou, S. Wen, and Y. Xiang, "Blockchain Cross-Chain Bridge Security: Challenges, Solutions, and Future Outlook," Distrib. Ledger Technol. Res. Pract., vol. 4, no. 1, pp. 8:1–8:34, 2025, doi: 10.1145/3696429.</w:t>
      </w:r>
    </w:p>
    <w:p>
      <w:pPr>
        <w:ind w:left="259" w:hanging="259"/>
        <w:jc w:val="left"/>
      </w:pPr>
      <w:r>
        <w:rPr>
          <w:rFonts w:ascii="Times New Roman" w:hAnsi="Times New Roman" w:eastAsia="宋体"/>
          <w:sz w:val="20"/>
        </w:rPr>
        <w:t>[16] S. Zhai, J. Wei, R. Yang, and W. Zhang, "Relay Chain Reputation Management Model Based on PowerTrust Algorithm," Comput. Appl. Res., vol. 42, no. 10, pp. 2939–2946, 2025, doi: 10.19734/j.issn.1001-3695.2025.03.0069.</w:t>
      </w:r>
    </w:p>
    <w:p>
      <w:pPr>
        <w:ind w:left="259" w:hanging="259"/>
        <w:jc w:val="left"/>
      </w:pPr>
      <w:r>
        <w:rPr>
          <w:rFonts w:ascii="Times New Roman" w:hAnsi="Times New Roman" w:eastAsia="宋体"/>
          <w:sz w:val="20"/>
        </w:rPr>
        <w:t>[17] G. Scaffino, L. Aumayr, M. Bastankhah, Z. Avarikioti, and M. Maffei, "Alba: The Dawn of Scalable Bridges for Blockchains," in Proc. Network and Distributed System Security Symp. (NDSS), 2025.</w:t>
      </w:r>
    </w:p>
    <w:p>
      <w:pPr>
        <w:ind w:left="259" w:hanging="259"/>
        <w:jc w:val="left"/>
      </w:pPr>
      <w:r>
        <w:rPr>
          <w:rFonts w:ascii="Times New Roman" w:hAnsi="Times New Roman" w:eastAsia="宋体"/>
          <w:sz w:val="20"/>
        </w:rPr>
        <w:t>[18] A. Augusto, R. Belchior, J. Pfannschmidt, A. Vasconcelos, and M. Correia, "XChainWatcher: Identifying Anomalies in Cross-Chain Bridges," in Proc. 26th ACM Int. Middleware Conf., pp. 413–426, 2025, doi: 10.1145/3721462.3770781.</w:t>
      </w:r>
    </w:p>
    <w:sectPr w:rsidR="00FC693F" w:rsidRPr="0006063C" w:rsidSect="00034616">
      <w:type w:val="continuous"/>
      <w:pgSz w:w="12240" w:h="15840"/>
      <w:pgMar w:top="1037" w:right="979" w:bottom="1037" w:left="97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Times New Roman" w:hAnsi="Times New Roman" w:eastAsia="黑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00"/>
      <w:contextualSpacing/>
    </w:pPr>
    <w:rPr>
      <w:rFonts w:asciiTheme="majorHAnsi" w:eastAsiaTheme="majorEastAsia" w:hAnsiTheme="majorHAnsi" w:cstheme="majorBidi" w:ascii="Times New Roman" w:hAnsi="Times New Roman"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pPr>
    <w:rPr>
      <w:rFonts w:ascii="Courier New" w:hAnsi="Courier New" w:eastAsia="等线"/>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面向跨链语义查询的智能合约可信调用链下智能体协议</dc:title>
  <dc:subject>NDSS 双盲评审内容稿（中文版）</dc:subject>
  <dc:creator>Anonymous</dc:creator>
  <cp:keywords>cross-chain, multi-agent, Byzantine robustness, auditability</cp:keywords>
  <dc:description>Generated from the anonymized Markdown manuscript.</dc:description>
  <cp:lastModifiedBy>Anonymous</cp:lastModifiedBy>
  <cp:revision>1</cp:revision>
  <dcterms:created xsi:type="dcterms:W3CDTF">2013-12-23T23:15:00Z</dcterms:created>
  <dcterms:modified xsi:type="dcterms:W3CDTF">2013-12-23T23:15:00Z</dcterms:modified>
  <cp:category/>
</cp:coreProperties>
</file>