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44"/>
        </w:rPr>
        <w:t>Electronics论文：初稿图与实验复用建议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结论：初稿的图和实验可以复用，但应当“复用原始资产，重写论文解释”。9幅图中，没有一幅适合整图原封不动放入当前稿；最值得保留的是系统架构、生命周期、链上成本和两组语义服务实验。</w:t>
      </w:r>
    </w:p>
    <w:p>
      <w:pPr>
        <w:pStyle w:val="Heading1"/>
      </w:pPr>
      <w:r>
        <w:t>一、优先放入正文的资产</w:t>
      </w:r>
    </w:p>
    <w:p>
      <w:pPr>
        <w:pStyle w:val="Heading2"/>
      </w:pPr>
      <w:r>
        <w:t>1. 原图1：系统总体架构图——大幅修改后复用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原图的三层结构非常有价值：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目标链FISCO-BCOS；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链下执行网络；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源链Fabric；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请求、取证、判断、仲裁和结果回传路径。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但图中当前仍是旧论文口径：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Invocation Coordinator Contract；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VRF selection；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rep×conf aggregation；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verifier committee；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commit–reveal judgments；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arbiter committee。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建议保留图的空间结构，改成：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目标链：查询登记、回执根锚定、结果回调；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链下核心：查询编译器、证据DAG调度器、确定性验证器；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可插拔语义服务池：规则服务、领域模型、LLM Agent；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冲突解析：替代端点、补充取证、追加语义服务、可选仲裁；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链下审计存储：证据包、执行轨迹、服务输出；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源端：Fabric、FISCO-BCOS及链下业务材料。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这样复用的是原来的跨链系统框架，不再让“Agent委员会协议”压过“证据流和可审计查询”。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建议位置：第4节开头，作为全文主图。</w:t>
      </w:r>
    </w:p>
    <w:p>
      <w:pPr>
        <w:pStyle w:val="Heading2"/>
      </w:pPr>
      <w:r>
        <w:t>2. 原图2：调用生命周期状态机——修改后复用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原图已经具备较好的异常路径表达：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PENDING；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COLLECTING；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VERIFYING；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ARBITRATING；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CONFIRMED/REJECTED/TIMEOUT。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它与当前的有界查询状态机高度兼容，但需要将“委员会投票阈值”替换为证据和执行条件。建议改为：CREATED→FETCHING→VALIDATING→SEMANTIC→RESOLVING→ANCHORED。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异常终态为：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FAILED：基础设施、权限或内部执行失败；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INSUFFICIENT：证据缺失、冲突或语义分歧未化解；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SATISFIED/UNSATISFIED是业务结果，不再与执行状态混合。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原图中的这些转换可以保留但要重新命名：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collector conflict → evidence conflict；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valid reveals不足 → required evidence/service response不足；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arbitration → resolving；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deadline exceeded → FAILED或INSUFFICIENT。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建议位置：第4.1—4.2节。</w:t>
      </w:r>
    </w:p>
    <w:p>
      <w:pPr>
        <w:pStyle w:val="Heading2"/>
      </w:pPr>
      <w:r>
        <w:t>3. 原图9和原表4：FISCO链上成本——最值得复用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这是初稿中最可靠、与当前论文最直接相关的一组实验。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真实账本数据包括：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扫描1122个区块、127笔协议交易；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submitBlockHeader：109笔，平均82,079 gas，范围74,534—82,149，输入452字节；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receiveLite：7笔，平均39,518 gas，范围39,487—39,585，输入845字节；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send：9笔，平均17,414 gas，输入580字节。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可以直接复用的是：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原表4中的实测交易记录；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原图9(a)的三类操作gas对比；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结果摘要写链成本基本稳定这一事实。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需要核验：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当前框架是否仍使用同一版本合约；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receiveLite是否确实对应当前的审计回执摘要锚定；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7笔结果交易样本偏少，最好补充到至少几十或上百笔。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原图9(b)不能作为“全部实测结果”直接使用，因为朴素链上BFT成本是按照每票17,414 gas推算的。可以改造成：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横轴：语义服务数量m；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实线：每个服务输出分别上链的朴素方案，属于模型估算；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虚线：本文只锚定一个回执根的方案，实际测量；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图注明确标注“measured anchor cost”和“modeled per-service logging baseline”。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建议位置：RQ2链上成本，作为正文核心图。</w:t>
      </w:r>
    </w:p>
    <w:p>
      <w:pPr>
        <w:pStyle w:val="Heading2"/>
      </w:pPr>
      <w:r>
        <w:t>4. 原“单层与双层验证”实验——扩充后复用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原实验比较：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双层：确定性门控后再调用LLM；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单层：将结构、密码和语义判断全部交给LLM。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这个问题与当前框架高度一致，因为当前第4.4节的核心就是“能够确定性验证的条件不交给Agent猜测”。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原始结果中：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双层语义样本只有0/20错误；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取消门控后，llama3.1:8b对结构/密码类样本的错误率达到0.5；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后面的13.7%、8.0%、30.6%是把真实误差率代入委员会仿真得到的，不适合直接搬入当前稿。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建议复用方式：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保留真实LLM对结构/密码错误的判断记录；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扩大测试集，分别包含错链、错高度、错签名、错模式、过期证据、缺字段和语义冲突；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比较“全部交给LLM”和“确定性预验证＋语义服务”；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指标改为错误检出率、误放行率、token开销和处理延迟；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删除委员会聚合正确率。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这会成为RQ5中非常有说服力的核心消融：证明确定性预验证不是普通工程实现，而是安全消费语义输出的必要机制。</w:t>
      </w:r>
    </w:p>
    <w:p>
      <w:pPr>
        <w:pStyle w:val="Heading2"/>
      </w:pPr>
      <w:r>
        <w:t>5. 原图4：模型异构性与相关错误——修改后小规模复用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原实验使用了真实模型：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llama3.1:8b；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qwen2.5:7b；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16个跨链语义案例；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每个案例每模型采样8次；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共256次真实推理。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原始结果：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同模型Agent错误相关系数约0.79；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跨模型约0.44；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同质委员会误受率33.3%；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异质委员会误受率22.2%。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这组结果仍然能支持当前第4.6节中的“服务实现多样性”设计，但不能继续写成拜占庭委员会安全实验。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建议改成：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图(a)：同模型语义服务与跨模型语义服务的错误相关性；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图(b)：静态单服务、同模型冗余、跨模型冗余的业务错误率或冲突发现率；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结论限定为：模型族多样性有助于暴露相关错误，但不能保证语义真值。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由于只有16个案例，建议补充至至少100—200个具有明确ground truth的语义任务。否则将其放在RQ5或附录，不作为摘要中的主要结果。</w:t>
      </w:r>
    </w:p>
    <w:p>
      <w:pPr>
        <w:pStyle w:val="Heading1"/>
      </w:pPr>
      <w:r>
        <w:t>二、可以复用实验框架，但不能直接复用旧结果</w:t>
      </w:r>
    </w:p>
    <w:p>
      <w:pPr>
        <w:pStyle w:val="Heading2"/>
      </w:pPr>
      <w:r>
        <w:t>6. 原沉默攻击实验 → 服务超时与不可用实验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原实验关注Agent提交承诺后不揭示，与commit–reveal绑定过深，不适合直接搬。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可以复用：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故障注入脚本；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不同比例服务无响应的控制方式；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完成率、恢复时间、升级率等指标。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需要改为：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语义服务超时；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源链RPC不可用；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适配器无响应；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候补服务切换；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全部候补耗尽后返回INSUFFICIENT或FAILED。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这是当前RQ3需要的新实验，旧数据必须重跑。</w:t>
      </w:r>
    </w:p>
    <w:p>
      <w:pPr>
        <w:pStyle w:val="Heading2"/>
      </w:pPr>
      <w:r>
        <w:t>7. 原吞吐和延迟分析 → 拆分后复用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原数据中有三种不同性质的证据：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约5 μs确定性验证/聚合：局部微基准；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约7.5秒区块确认：真实链上测量；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约3秒RPC、4秒LLM、8秒乐观路径、21秒仲裁路径：分析模型或估计值。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可以直接保留：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本地确定性验证微基准；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区块确认时间分布。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不能直接作为实测结果：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8秒、21秒端到端时延；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N=30时约1.6 tasks/s；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端到端吞吐随Agent池线性扩展。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建议重构为三层结果：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本地组件微基准；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链上确认实测；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完整查询的端到端实测。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并按照当前DAG设计测量顺序执行、并行执行和依赖感知调度，而不是继续以委员会大小为主要自变量。</w:t>
      </w:r>
    </w:p>
    <w:p>
      <w:pPr>
        <w:pStyle w:val="Heading2"/>
      </w:pPr>
      <w:r>
        <w:t>8. 原选组集中度实验 → 调度集中度实验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原图8和表A11比较：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VRF＋组织约束；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VRF但无组织约束；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静态公证委员会；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HHI、Gini、恶意组织过半概率。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当前论文不需要把“去中心化委员会”作为主要卖点，但可以把实验改成服务调度是否长期集中在少数提供方：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固定单服务；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只按历史信誉调度；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信誉＋负载调度；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信誉＋负载＋组织/模型多样性。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保留指标：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最大组织调用占比；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最大模型提供方占比；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HHI；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Gini；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服务失败时的可替代性。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建议只放附录或RQ5中的一个小面板，不能与DAG、审计实验争正文篇幅。</w:t>
      </w:r>
    </w:p>
    <w:p>
      <w:pPr>
        <w:pStyle w:val="Heading1"/>
      </w:pPr>
      <w:r>
        <w:t>三、不建议放回当前稿的图和实验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以下内容会把论文重新拉回“恶意Agent委员会安全协议”，破坏现在的聚焦性。</w:t>
      </w:r>
    </w:p>
    <w:p>
      <w:pPr>
        <w:pStyle w:val="Heading2"/>
      </w:pPr>
      <w:r>
        <w:t>原图3：拜占庭比例—正确率/误受率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不建议复用。原因是当前论文不再主张在60%恶意Agent下保持100%正确，更不应把仲裁者默认设为诚实真值来源。</w:t>
      </w:r>
    </w:p>
    <w:p>
      <w:pPr>
        <w:pStyle w:val="Heading2"/>
      </w:pPr>
      <w:r>
        <w:t>原图5：40%恶意下MA3C与PBFT、BFT对比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不建议复用。它回答的是委员会协议优于投票协议，不是跨链证据查询框架是否有效。</w:t>
      </w:r>
    </w:p>
    <w:p>
      <w:pPr>
        <w:pStyle w:val="Heading2"/>
      </w:pPr>
      <w:r>
        <w:t>原图6：异构性、VRF、commit–reveal三机制消融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不能整图复用：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异构性子实验可拆出来改写；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VRF轮换和commit–reveal不再是当前核心；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整图保留会使评审认为贡献仍然是Agent共识协议。</w:t>
      </w:r>
    </w:p>
    <w:p>
      <w:pPr>
        <w:pStyle w:val="Heading2"/>
      </w:pPr>
      <w:r>
        <w:t>原图7：置信度校准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不建议复用。其14,400个样本主要来自潜在能力模型抽样，而非大规模真实标注集。当前论文也不再以rep×conf加权聚合作为核心。</w:t>
      </w:r>
    </w:p>
    <w:p>
      <w:pPr>
        <w:pStyle w:val="Heading2"/>
      </w:pPr>
      <w:r>
        <w:t>原策略性对手、串通检测、博弈收益实验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包括表A4、A5、A9，不建议复用。这些应留给Agent安全方向论文。</w:t>
      </w:r>
    </w:p>
    <w:p>
      <w:pPr>
        <w:pStyle w:val="Heading2"/>
      </w:pPr>
      <w:r>
        <w:t>原参数敏感性和伪造接受/拒绝实验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阈值θ、拜占庭比例、always-approve和always-reject都属于旧协议参数和威胁模型，不适合当前框架。</w:t>
      </w:r>
    </w:p>
    <w:p>
      <w:pPr>
        <w:pStyle w:val="Heading1"/>
      </w:pPr>
      <w:r>
        <w:t>四、保持聚焦性后的最终图件组合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建议当前论文正文控制在6幅核心图左右：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系统总体架构——由原图1重绘。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查询生命周期与异常终态——由原图2重绘。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供应链融资证据依赖DAG——新增。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端到端性能与DAG扩展性——新增实测。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故障恢复与审计重构——新增实测。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链上成本——由原图9和表4改造。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Agent相关实验最多保留一幅补充图：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确定性门控＋模型异构性消融——由原单层/双层实验和原图4改造，可放RQ5或附录。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正文表格建议只保留：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统一证据对象字段；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原型配置；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工作负载与基线；</w:t>
      </w:r>
    </w:p>
    <w:p>
      <w:pPr>
        <w:pStyle w:val="ListBulle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链上成本实测。</w:t>
      </w:r>
    </w:p>
    <w:p>
      <w:pPr>
        <w:jc w:val="both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最重要的判断是：当前论文可以复用初稿的跨链系统、真实账本和语义服务实验资产，但不能复用初稿以“委员会抵抗恶意Agent”为中心的结论结构。真正缺失且无法从初稿补回的是审计轨迹完整性、审计重构开销和DAG调度消融，这三组必须新增，否则“证据编排”和“可审计”仍然只是设计主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b w:val="0"/>
        <w:i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b w:val="0"/>
        <w:i w:val="0"/>
        <w:color w:val="666666"/>
        <w:sz w:val="18"/>
      </w:rPr>
      <w:t>初稿图与实验复用建议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Electronics论文：初稿图与实验复用建议</dc:title>
  <dc:subject>初稿图和实验的直接复用、修改后复用与不建议复用范围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