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D8E35">
      <w:pPr>
        <w:rPr>
          <w:rFonts w:eastAsia="宋体-18030"/>
          <w:b/>
          <w:bCs/>
          <w:szCs w:val="21"/>
        </w:rPr>
      </w:pPr>
    </w:p>
    <w:p w14:paraId="52488A16">
      <w:pPr>
        <w:spacing w:line="720" w:lineRule="auto"/>
        <w:jc w:val="center"/>
        <w:rPr>
          <w:rFonts w:ascii="华文中宋" w:hAnsi="华文中宋" w:eastAsia="华文中宋"/>
          <w:sz w:val="52"/>
          <w:szCs w:val="52"/>
        </w:rPr>
      </w:pPr>
      <w:r>
        <w:rPr>
          <w:rFonts w:ascii="华文中宋" w:hAnsi="华文中宋" w:eastAsia="华文中宋"/>
          <w:sz w:val="52"/>
          <w:szCs w:val="52"/>
        </w:rPr>
        <w:t>武汉理工大学毕业设计（论文）</w:t>
      </w:r>
    </w:p>
    <w:p w14:paraId="5DEF69C7">
      <w:pPr>
        <w:spacing w:before="1092" w:beforeLines="350" w:line="360" w:lineRule="auto"/>
        <w:jc w:val="center"/>
        <w:rPr>
          <w:rFonts w:hint="eastAsia" w:ascii="黑体" w:eastAsia="黑体"/>
          <w:b w:val="0"/>
          <w:bCs/>
          <w:sz w:val="44"/>
          <w:szCs w:val="44"/>
        </w:rPr>
      </w:pPr>
      <w:r>
        <w:rPr>
          <w:rFonts w:hint="eastAsia" w:ascii="黑体" w:eastAsia="黑体"/>
          <w:b w:val="0"/>
          <w:bCs/>
          <w:sz w:val="44"/>
          <w:szCs w:val="44"/>
          <w:lang w:val="en-US" w:eastAsia="zh-CN"/>
        </w:rPr>
        <w:t>基于微服务的供应链履约物流系统的设计与实现</w:t>
      </w:r>
    </w:p>
    <w:p w14:paraId="62366231">
      <w:pPr>
        <w:tabs>
          <w:tab w:val="left" w:pos="7200"/>
        </w:tabs>
        <w:spacing w:before="312" w:beforeLines="100" w:line="360" w:lineRule="auto"/>
        <w:ind w:right="2136" w:rightChars="890"/>
        <w:jc w:val="both"/>
        <w:rPr>
          <w:rFonts w:ascii="华文中宋" w:hAnsi="华文中宋" w:eastAsia="华文中宋"/>
          <w:sz w:val="32"/>
          <w:szCs w:val="32"/>
        </w:rPr>
      </w:pPr>
    </w:p>
    <w:p w14:paraId="21F665A3">
      <w:pPr>
        <w:tabs>
          <w:tab w:val="left" w:pos="7200"/>
        </w:tabs>
        <w:spacing w:before="312" w:beforeLines="100" w:line="360" w:lineRule="auto"/>
        <w:ind w:right="2136" w:rightChars="890"/>
        <w:jc w:val="both"/>
        <w:rPr>
          <w:rFonts w:ascii="华文中宋" w:hAnsi="华文中宋" w:eastAsia="华文中宋"/>
          <w:sz w:val="32"/>
          <w:szCs w:val="32"/>
        </w:rPr>
      </w:pPr>
    </w:p>
    <w:p w14:paraId="078ABDE6">
      <w:pPr>
        <w:tabs>
          <w:tab w:val="left" w:pos="7200"/>
        </w:tabs>
        <w:spacing w:line="240" w:lineRule="auto"/>
        <w:ind w:left="0" w:leftChars="0" w:right="0" w:rightChars="0" w:firstLine="0" w:firstLineChars="0"/>
        <w:jc w:val="both"/>
        <w:rPr>
          <w:rFonts w:hint="default" w:ascii="华文中宋" w:hAnsi="华文中宋" w:eastAsia="华文中宋"/>
          <w:sz w:val="32"/>
          <w:szCs w:val="32"/>
          <w:u w:val="single"/>
          <w:lang w:val="en-US" w:eastAsia="zh-CN"/>
        </w:rPr>
      </w:pPr>
      <w:r>
        <w:rPr>
          <w:rFonts w:ascii="华文中宋" w:hAnsi="华文中宋" w:eastAsia="华文中宋"/>
          <w:sz w:val="32"/>
          <w:szCs w:val="32"/>
        </w:rPr>
        <w:t>学院（系）：</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计算机与人工智能</w:t>
      </w:r>
      <w:r>
        <w:rPr>
          <w:rFonts w:ascii="华文中宋" w:hAnsi="华文中宋" w:eastAsia="华文中宋"/>
          <w:sz w:val="32"/>
          <w:szCs w:val="32"/>
          <w:u w:val="single"/>
        </w:rPr>
        <w:t>学院</w:t>
      </w:r>
      <w:r>
        <w:rPr>
          <w:rFonts w:hint="eastAsia" w:ascii="华文中宋" w:hAnsi="华文中宋" w:eastAsia="华文中宋"/>
          <w:sz w:val="32"/>
          <w:szCs w:val="32"/>
          <w:u w:val="single"/>
          <w:lang w:val="en-US" w:eastAsia="zh-CN"/>
        </w:rPr>
        <w:t xml:space="preserve">        </w:t>
      </w:r>
    </w:p>
    <w:p w14:paraId="7CF21099">
      <w:pPr>
        <w:spacing w:line="240" w:lineRule="auto"/>
        <w:ind w:right="0" w:rightChars="0"/>
        <w:jc w:val="both"/>
        <w:rPr>
          <w:rFonts w:ascii="华文中宋" w:hAnsi="华文中宋" w:eastAsia="华文中宋"/>
          <w:sz w:val="32"/>
          <w:szCs w:val="32"/>
        </w:rPr>
      </w:pPr>
      <w:r>
        <w:rPr>
          <w:rFonts w:ascii="华文中宋" w:hAnsi="华文中宋" w:eastAsia="华文中宋"/>
          <w:sz w:val="32"/>
          <w:szCs w:val="32"/>
        </w:rPr>
        <w:t>专业班级：</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计算机科学与技术</w:t>
      </w:r>
      <w:r>
        <w:rPr>
          <w:rFonts w:ascii="华文中宋" w:hAnsi="华文中宋" w:eastAsia="华文中宋"/>
          <w:sz w:val="32"/>
          <w:szCs w:val="32"/>
          <w:u w:val="single"/>
        </w:rPr>
        <w:t>专业 </w:t>
      </w:r>
      <w:r>
        <w:rPr>
          <w:rFonts w:hint="eastAsia" w:ascii="华文中宋" w:hAnsi="华文中宋" w:eastAsia="华文中宋"/>
          <w:sz w:val="32"/>
          <w:szCs w:val="32"/>
          <w:u w:val="single"/>
          <w:lang w:val="en-US" w:eastAsia="zh-CN"/>
        </w:rPr>
        <w:t>zy2202</w:t>
      </w:r>
      <w:r>
        <w:rPr>
          <w:rFonts w:ascii="华文中宋" w:hAnsi="华文中宋" w:eastAsia="华文中宋"/>
          <w:sz w:val="32"/>
          <w:szCs w:val="32"/>
          <w:u w:val="single"/>
        </w:rPr>
        <w:t>班</w:t>
      </w:r>
      <w:r>
        <w:rPr>
          <w:rFonts w:hint="eastAsia"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w:t>
      </w:r>
      <w:r>
        <w:rPr>
          <w:rFonts w:hint="eastAsia" w:ascii="华文中宋" w:hAnsi="华文中宋" w:eastAsia="华文中宋"/>
          <w:sz w:val="32"/>
          <w:szCs w:val="32"/>
          <w:u w:val="single"/>
        </w:rPr>
        <w:t xml:space="preserve"> </w:t>
      </w:r>
    </w:p>
    <w:p w14:paraId="74F8EA40">
      <w:pPr>
        <w:spacing w:line="240" w:lineRule="auto"/>
        <w:ind w:right="0" w:rightChars="0"/>
        <w:jc w:val="both"/>
        <w:rPr>
          <w:rFonts w:ascii="华文中宋" w:hAnsi="华文中宋" w:eastAsia="华文中宋"/>
          <w:sz w:val="32"/>
          <w:szCs w:val="32"/>
        </w:rPr>
      </w:pPr>
      <w:r>
        <w:rPr>
          <w:rFonts w:ascii="华文中宋" w:hAnsi="华文中宋" w:eastAsia="华文中宋"/>
          <w:sz w:val="32"/>
          <w:szCs w:val="32"/>
        </w:rPr>
        <w:t>学生姓名：</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占鑫</w:t>
      </w:r>
      <w:r>
        <w:rPr>
          <w:rFonts w:hint="eastAsia"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w:t>
      </w:r>
      <w:r>
        <w:rPr>
          <w:rFonts w:hint="eastAsia" w:ascii="华文中宋" w:hAnsi="华文中宋" w:eastAsia="华文中宋"/>
          <w:sz w:val="32"/>
          <w:szCs w:val="32"/>
          <w:u w:val="single"/>
        </w:rPr>
        <w:t xml:space="preserve"> </w:t>
      </w:r>
    </w:p>
    <w:p w14:paraId="3FDFFC2C">
      <w:pPr>
        <w:spacing w:line="240" w:lineRule="auto"/>
        <w:ind w:right="0" w:rightChars="0"/>
        <w:jc w:val="both"/>
        <w:rPr>
          <w:rFonts w:hint="eastAsia" w:ascii="华文中宋" w:hAnsi="华文中宋" w:eastAsia="华文中宋"/>
          <w:sz w:val="32"/>
          <w:szCs w:val="32"/>
          <w:u w:val="single"/>
        </w:rPr>
      </w:pPr>
      <w:r>
        <w:rPr>
          <w:rFonts w:ascii="华文中宋" w:hAnsi="华文中宋" w:eastAsia="华文中宋"/>
          <w:sz w:val="32"/>
          <w:szCs w:val="32"/>
        </w:rPr>
        <w:t>指导教师：</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rPr>
        <w:t xml:space="preserve">   </w:t>
      </w:r>
      <w:r>
        <w:rPr>
          <w:rFonts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刘春</w:t>
      </w:r>
      <w:r>
        <w:rPr>
          <w:rFonts w:hint="eastAsia" w:ascii="华文中宋" w:hAnsi="华文中宋" w:eastAsia="华文中宋"/>
          <w:sz w:val="32"/>
          <w:szCs w:val="32"/>
          <w:u w:val="single"/>
        </w:rPr>
        <w:t xml:space="preserve">    </w:t>
      </w:r>
      <w:r>
        <w:rPr>
          <w:rFonts w:hint="eastAsia" w:ascii="华文中宋" w:hAnsi="华文中宋" w:eastAsia="华文中宋"/>
          <w:sz w:val="32"/>
          <w:szCs w:val="32"/>
          <w:u w:val="single"/>
          <w:lang w:val="en-US" w:eastAsia="zh-CN"/>
        </w:rPr>
        <w:t xml:space="preserve">            </w:t>
      </w:r>
      <w:r>
        <w:rPr>
          <w:rFonts w:hint="eastAsia" w:ascii="华文中宋" w:hAnsi="华文中宋" w:eastAsia="华文中宋"/>
          <w:sz w:val="32"/>
          <w:szCs w:val="32"/>
          <w:u w:val="single"/>
        </w:rPr>
        <w:t xml:space="preserve">  </w:t>
      </w:r>
    </w:p>
    <w:p w14:paraId="30EAD219">
      <w:pPr>
        <w:rPr>
          <w:rFonts w:hint="eastAsia" w:ascii="华文中宋" w:hAnsi="华文中宋" w:eastAsia="华文中宋"/>
          <w:sz w:val="32"/>
          <w:szCs w:val="32"/>
          <w:u w:val="single"/>
          <w:lang w:val="en-US" w:eastAsia="zh-CN"/>
        </w:rPr>
      </w:pPr>
      <w:r>
        <w:rPr>
          <w:rFonts w:hint="eastAsia" w:ascii="华文中宋" w:hAnsi="华文中宋" w:eastAsia="华文中宋"/>
          <w:sz w:val="32"/>
          <w:szCs w:val="32"/>
          <w:u w:val="single"/>
        </w:rPr>
        <w:br w:type="page"/>
      </w:r>
    </w:p>
    <w:p w14:paraId="32707C2D">
      <w:pPr>
        <w:spacing w:before="468" w:beforeLines="150" w:line="360" w:lineRule="auto"/>
        <w:jc w:val="center"/>
        <w:rPr>
          <w:rFonts w:ascii="黑体" w:hAnsi="黑体" w:eastAsia="黑体"/>
          <w:bCs/>
          <w:sz w:val="36"/>
          <w:szCs w:val="36"/>
        </w:rPr>
      </w:pPr>
      <w:r>
        <w:rPr>
          <w:rFonts w:ascii="黑体" w:hAnsi="黑体" w:eastAsia="黑体"/>
          <w:bCs/>
          <w:sz w:val="36"/>
          <w:szCs w:val="36"/>
        </w:rPr>
        <w:t>学位论文原创性声明</w:t>
      </w:r>
    </w:p>
    <w:p w14:paraId="4BC22C44">
      <w:pPr>
        <w:spacing w:line="360" w:lineRule="auto"/>
        <w:ind w:firstLine="480" w:firstLineChars="20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5DC7809">
      <w:pPr>
        <w:spacing w:line="360" w:lineRule="auto"/>
        <w:ind w:firstLine="5280" w:firstLineChars="2200"/>
        <w:rPr>
          <w:sz w:val="24"/>
        </w:rPr>
      </w:pPr>
      <w:r>
        <w:rPr>
          <w:sz w:val="24"/>
        </w:rPr>
        <w:t xml:space="preserve">作者签名：              </w:t>
      </w:r>
    </w:p>
    <w:p w14:paraId="4F5717E6">
      <w:pPr>
        <w:spacing w:line="360" w:lineRule="auto"/>
        <w:ind w:left="2880" w:leftChars="1200" w:firstLine="1200" w:firstLineChars="500"/>
        <w:rPr>
          <w:sz w:val="24"/>
        </w:rPr>
      </w:pPr>
      <w:r>
        <w:rPr>
          <w:sz w:val="24"/>
        </w:rPr>
        <w:t xml:space="preserve"> </w:t>
      </w:r>
      <w:r>
        <w:rPr>
          <w:rFonts w:hint="eastAsia"/>
          <w:sz w:val="24"/>
        </w:rPr>
        <w:t xml:space="preserve">            </w:t>
      </w:r>
      <w:r>
        <w:rPr>
          <w:sz w:val="24"/>
        </w:rPr>
        <w:t>年   月   日</w:t>
      </w:r>
    </w:p>
    <w:p w14:paraId="506390A3">
      <w:pPr>
        <w:spacing w:before="312" w:beforeLines="100" w:line="360" w:lineRule="auto"/>
        <w:jc w:val="center"/>
        <w:rPr>
          <w:b/>
          <w:bCs/>
          <w:sz w:val="40"/>
          <w:szCs w:val="36"/>
        </w:rPr>
      </w:pPr>
    </w:p>
    <w:p w14:paraId="75F8845D">
      <w:pPr>
        <w:spacing w:before="468" w:beforeLines="150" w:line="360" w:lineRule="auto"/>
        <w:jc w:val="center"/>
        <w:rPr>
          <w:rFonts w:ascii="黑体" w:hAnsi="黑体" w:eastAsia="黑体"/>
          <w:bCs/>
          <w:sz w:val="36"/>
          <w:szCs w:val="36"/>
        </w:rPr>
      </w:pPr>
      <w:r>
        <w:rPr>
          <w:rFonts w:ascii="黑体" w:hAnsi="黑体" w:eastAsia="黑体"/>
          <w:bCs/>
          <w:sz w:val="36"/>
          <w:szCs w:val="36"/>
        </w:rPr>
        <w:t>学位论文版权使用授权书</w:t>
      </w:r>
    </w:p>
    <w:p w14:paraId="74AC8245">
      <w:pPr>
        <w:spacing w:line="360" w:lineRule="auto"/>
        <w:ind w:firstLine="480" w:firstLineChars="20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913FC3D">
      <w:pPr>
        <w:spacing w:line="360" w:lineRule="auto"/>
        <w:ind w:firstLine="480" w:firstLineChars="200"/>
        <w:rPr>
          <w:sz w:val="24"/>
          <w:szCs w:val="21"/>
        </w:rPr>
      </w:pPr>
      <w:r>
        <w:rPr>
          <w:sz w:val="24"/>
          <w:szCs w:val="21"/>
        </w:rPr>
        <w:t>本学位论文属于1、保密囗，在    年解密后适用本授权书</w:t>
      </w:r>
    </w:p>
    <w:p w14:paraId="741B32D3">
      <w:pPr>
        <w:spacing w:line="360" w:lineRule="auto"/>
        <w:ind w:firstLine="2160" w:firstLineChars="900"/>
        <w:rPr>
          <w:sz w:val="24"/>
          <w:szCs w:val="21"/>
        </w:rPr>
      </w:pPr>
      <w:r>
        <w:rPr>
          <w:sz w:val="24"/>
          <w:szCs w:val="21"/>
        </w:rPr>
        <w:t>2、不保密囗  。</w:t>
      </w:r>
    </w:p>
    <w:p w14:paraId="4D88A7E9">
      <w:pPr>
        <w:spacing w:line="360" w:lineRule="auto"/>
        <w:ind w:firstLine="2160" w:firstLineChars="900"/>
        <w:rPr>
          <w:sz w:val="24"/>
          <w:szCs w:val="21"/>
        </w:rPr>
      </w:pPr>
      <w:r>
        <w:rPr>
          <w:sz w:val="24"/>
          <w:szCs w:val="21"/>
        </w:rPr>
        <w:t>（请在以上相应方框内打“√”）</w:t>
      </w:r>
    </w:p>
    <w:p w14:paraId="4AEB8C29">
      <w:pPr>
        <w:spacing w:line="360" w:lineRule="auto"/>
        <w:ind w:left="480" w:leftChars="200" w:firstLine="4440" w:firstLineChars="1850"/>
        <w:rPr>
          <w:sz w:val="24"/>
        </w:rPr>
      </w:pPr>
      <w:r>
        <w:rPr>
          <w:sz w:val="24"/>
        </w:rPr>
        <w:t>作者签名：      年   月    日</w:t>
      </w:r>
    </w:p>
    <w:p w14:paraId="750E73EB">
      <w:pPr>
        <w:spacing w:line="360" w:lineRule="auto"/>
        <w:ind w:left="480" w:leftChars="200" w:firstLine="4440" w:firstLineChars="1850"/>
        <w:rPr>
          <w:rFonts w:hint="eastAsia" w:ascii="宋体" w:hAnsi="宋体"/>
          <w:sz w:val="24"/>
        </w:rPr>
      </w:pPr>
      <w:r>
        <w:rPr>
          <w:sz w:val="24"/>
        </w:rPr>
        <w:t>导师签名：      年   月    日</w:t>
      </w:r>
      <w:r>
        <w:rPr>
          <w:rFonts w:hint="eastAsia" w:ascii="宋体" w:hAnsi="宋体"/>
          <w:sz w:val="24"/>
        </w:rPr>
        <w:br w:type="page"/>
      </w:r>
    </w:p>
    <w:p w14:paraId="4277D37E">
      <w:pPr>
        <w:pStyle w:val="2"/>
        <w:bidi w:val="0"/>
      </w:pPr>
      <w:r>
        <w:rPr>
          <w:rFonts w:hint="eastAsia"/>
        </w:rPr>
        <w:t>摘  要</w:t>
      </w:r>
    </w:p>
    <w:p w14:paraId="653DC212">
      <w:pPr>
        <w:spacing w:line="300" w:lineRule="auto"/>
        <w:ind w:firstLine="480" w:firstLineChars="200"/>
        <w:rPr>
          <w:rFonts w:ascii="宋体" w:hAnsi="宋体"/>
          <w:sz w:val="24"/>
        </w:rPr>
      </w:pPr>
      <w:r>
        <w:rPr>
          <w:rFonts w:ascii="宋体" w:hAnsi="宋体"/>
          <w:sz w:val="24"/>
        </w:rPr>
        <w:t>本文借助计算流体力学软件FLUENT首先针对一日产650吨的空气燃烧的燃油浮法玻璃熔窑火焰空间进行了三维数值模拟，×××××××××××××××××××××××××××××××××××对两种情况进行了比较，所得结果对于×××具有重要的指导意义。</w:t>
      </w:r>
    </w:p>
    <w:p w14:paraId="712D235C">
      <w:pPr>
        <w:spacing w:line="300" w:lineRule="auto"/>
        <w:ind w:firstLine="480" w:firstLineChars="200"/>
        <w:rPr>
          <w:rFonts w:ascii="宋体" w:hAnsi="宋体"/>
          <w:sz w:val="24"/>
        </w:rPr>
      </w:pPr>
      <w:r>
        <w:rPr>
          <w:rFonts w:ascii="宋体" w:hAnsi="宋体"/>
          <w:sz w:val="24"/>
        </w:rPr>
        <w:t>论文主要研究了××××××××××××××××××××××。</w:t>
      </w:r>
    </w:p>
    <w:p w14:paraId="6064784F">
      <w:pPr>
        <w:spacing w:line="300" w:lineRule="auto"/>
        <w:ind w:firstLine="480" w:firstLineChars="200"/>
        <w:rPr>
          <w:rFonts w:ascii="宋体" w:hAnsi="宋体"/>
          <w:sz w:val="24"/>
        </w:rPr>
      </w:pPr>
      <w:r>
        <w:rPr>
          <w:rFonts w:ascii="宋体" w:hAnsi="宋体"/>
          <w:sz w:val="24"/>
        </w:rPr>
        <w:t>研究结果表明：×××××××××××××××××××××××</w:t>
      </w:r>
      <w:r>
        <w:rPr>
          <w:rFonts w:hint="eastAsia" w:ascii="宋体" w:hAnsi="宋体"/>
          <w:sz w:val="24"/>
        </w:rPr>
        <w:t xml:space="preserve"> </w:t>
      </w:r>
      <w:r>
        <w:rPr>
          <w:rFonts w:ascii="宋体" w:hAnsi="宋体"/>
          <w:sz w:val="24"/>
        </w:rPr>
        <w:t>×××××××。</w:t>
      </w:r>
    </w:p>
    <w:p w14:paraId="70FB5C73">
      <w:pPr>
        <w:spacing w:line="360" w:lineRule="auto"/>
        <w:ind w:firstLine="480" w:firstLineChars="200"/>
        <w:rPr>
          <w:rFonts w:ascii="宋体" w:hAnsi="宋体"/>
          <w:sz w:val="24"/>
        </w:rPr>
      </w:pPr>
      <w:r>
        <w:rPr>
          <w:rFonts w:ascii="宋体" w:hAnsi="宋体"/>
          <w:sz w:val="24"/>
        </w:rPr>
        <w:t>本文的特</w:t>
      </w:r>
      <w:r>
        <w:rPr>
          <w:rFonts w:ascii="宋体" w:hAnsi="宋体"/>
        </w:rPr>
        <w:t>色</w:t>
      </w:r>
      <w:r>
        <w:rPr>
          <w:rFonts w:ascii="宋体" w:hAnsi="宋体"/>
          <w:sz w:val="24"/>
        </w:rPr>
        <w:t xml:space="preserve">：××××××××××××××××××××××××。 </w:t>
      </w:r>
    </w:p>
    <w:p w14:paraId="39B6A6DC">
      <w:pPr>
        <w:spacing w:line="360" w:lineRule="auto"/>
        <w:ind w:firstLine="480" w:firstLineChars="200"/>
        <w:jc w:val="center"/>
        <w:rPr>
          <w:rFonts w:ascii="宋体" w:hAnsi="宋体"/>
          <w:sz w:val="24"/>
        </w:rPr>
      </w:pPr>
      <w:r>
        <w:rPr>
          <w:rFonts w:hint="eastAsia" w:ascii="宋体" w:hAnsi="宋体"/>
          <w:sz w:val="24"/>
        </w:rPr>
        <w:t>（宋体小四号）</w:t>
      </w:r>
    </w:p>
    <w:p w14:paraId="5891025D">
      <w:pPr>
        <w:spacing w:before="156" w:beforeLines="50" w:line="360" w:lineRule="auto"/>
        <w:rPr>
          <w:rFonts w:ascii="宋体" w:hAnsi="宋体"/>
          <w:sz w:val="24"/>
        </w:rPr>
      </w:pPr>
      <w:r>
        <w:rPr>
          <w:rFonts w:eastAsia="黑体"/>
          <w:bCs/>
          <w:sz w:val="28"/>
        </w:rPr>
        <w:t>关键词：</w:t>
      </w:r>
      <w:r>
        <w:rPr>
          <w:rFonts w:ascii="宋体" w:hAnsi="宋体"/>
          <w:sz w:val="24"/>
        </w:rPr>
        <w:t>××××；×××；××××；××</w:t>
      </w:r>
    </w:p>
    <w:p w14:paraId="42DFD416">
      <w:pPr>
        <w:spacing w:line="360" w:lineRule="auto"/>
        <w:rPr>
          <w:rFonts w:ascii="宋体" w:hAnsi="宋体"/>
          <w:sz w:val="24"/>
        </w:rPr>
      </w:pPr>
      <w:r>
        <w:rPr>
          <w:rFonts w:hint="eastAsia"/>
          <w:sz w:val="26"/>
        </w:rPr>
        <w:t>（黑体四号）      （宋体小四号）</w:t>
      </w:r>
    </w:p>
    <w:p w14:paraId="06242945">
      <w:pPr>
        <w:spacing w:before="156" w:beforeLines="50" w:after="156" w:afterLines="50" w:line="300" w:lineRule="auto"/>
      </w:pPr>
    </w:p>
    <w:p w14:paraId="693FE0E1">
      <w:pPr>
        <w:spacing w:before="468" w:beforeLines="150" w:after="468" w:afterLines="150" w:line="240" w:lineRule="auto"/>
        <w:jc w:val="center"/>
        <w:rPr>
          <w:rFonts w:eastAsia="黑体"/>
          <w:sz w:val="24"/>
        </w:rPr>
      </w:pPr>
      <w:r>
        <w:rPr>
          <w:b/>
          <w:bCs/>
          <w:sz w:val="24"/>
        </w:rPr>
        <w:br w:type="page"/>
      </w:r>
      <w:r>
        <w:rPr>
          <w:rFonts w:eastAsia="黑体"/>
          <w:b/>
          <w:sz w:val="36"/>
          <w:szCs w:val="36"/>
        </w:rPr>
        <w:t>Abstract</w:t>
      </w:r>
    </w:p>
    <w:p w14:paraId="2D327537">
      <w:pPr>
        <w:spacing w:line="360" w:lineRule="auto"/>
        <w:ind w:firstLine="480" w:firstLineChars="200"/>
        <w:rPr>
          <w:sz w:val="24"/>
        </w:rPr>
      </w:pPr>
      <w:r>
        <w:rPr>
          <w:sz w:val="24"/>
        </w:rPr>
        <w:t xml:space="preserve">This paper first simulates the combustion space of a 650t/day air-fuel combustion float glass furnace.Then transform it into a oxy-fuel one with the model and compare them. The results have important guiding significance in transforming float glass furnace from air-fuel to oxy-fuel combustion. </w:t>
      </w:r>
    </w:p>
    <w:p w14:paraId="0B68B3D7">
      <w:pPr>
        <w:spacing w:line="360" w:lineRule="auto"/>
        <w:ind w:firstLine="480" w:firstLineChars="200"/>
        <w:rPr>
          <w:sz w:val="24"/>
        </w:rPr>
      </w:pPr>
      <w:r>
        <w:rPr>
          <w:sz w:val="24"/>
        </w:rPr>
        <w:t>××××××××××××××××××××××××××××××××××××××××.</w:t>
      </w:r>
    </w:p>
    <w:p w14:paraId="25117F1C">
      <w:pPr>
        <w:spacing w:line="360" w:lineRule="auto"/>
        <w:ind w:firstLine="480" w:firstLineChars="200"/>
        <w:rPr>
          <w:sz w:val="24"/>
        </w:rPr>
      </w:pPr>
      <w:r>
        <w:rPr>
          <w:sz w:val="24"/>
        </w:rPr>
        <w:t>××××××××××××××××××××××××××××××××××××××××××××××××××××××××××××××××××××××××××××××××××××××××××××××××.</w:t>
      </w:r>
    </w:p>
    <w:p w14:paraId="6A048C4C">
      <w:pPr>
        <w:spacing w:line="360" w:lineRule="auto"/>
        <w:ind w:firstLine="480" w:firstLineChars="200"/>
        <w:jc w:val="center"/>
        <w:rPr>
          <w:sz w:val="24"/>
        </w:rPr>
      </w:pPr>
      <w:r>
        <w:rPr>
          <w:rFonts w:hint="eastAsia"/>
          <w:sz w:val="24"/>
        </w:rPr>
        <w:t>（Time New Roman小四号）</w:t>
      </w:r>
    </w:p>
    <w:p w14:paraId="787AF8C4">
      <w:pPr>
        <w:spacing w:line="360" w:lineRule="auto"/>
        <w:ind w:firstLine="520" w:firstLineChars="200"/>
        <w:rPr>
          <w:sz w:val="26"/>
        </w:rPr>
      </w:pPr>
    </w:p>
    <w:p w14:paraId="590E779E">
      <w:pPr>
        <w:spacing w:line="300" w:lineRule="auto"/>
        <w:rPr>
          <w:b/>
          <w:sz w:val="24"/>
        </w:rPr>
      </w:pPr>
      <w:r>
        <w:rPr>
          <w:b/>
          <w:sz w:val="28"/>
          <w:szCs w:val="28"/>
        </w:rPr>
        <w:t>Key Words</w:t>
      </w:r>
      <w:r>
        <w:rPr>
          <w:b/>
          <w:sz w:val="24"/>
        </w:rPr>
        <w:t>：</w:t>
      </w:r>
      <w:r>
        <w:rPr>
          <w:sz w:val="24"/>
        </w:rPr>
        <w:t>×××××；××××；numerical simulation；air-fuel combustion</w:t>
      </w:r>
    </w:p>
    <w:p w14:paraId="36DC1561">
      <w:pPr>
        <w:spacing w:line="420" w:lineRule="atLeast"/>
        <w:rPr>
          <w:rFonts w:hint="eastAsia"/>
        </w:rPr>
      </w:pPr>
      <w:r>
        <w:rPr>
          <w:rFonts w:hint="eastAsia"/>
        </w:rPr>
        <w:t>（Time New Roman粗体四号）   （Time New Roman</w:t>
      </w:r>
    </w:p>
    <w:p w14:paraId="28E887D3">
      <w:pPr>
        <w:spacing w:line="420" w:lineRule="atLeast"/>
        <w:rPr>
          <w:rFonts w:hint="eastAsia"/>
        </w:rPr>
      </w:pPr>
    </w:p>
    <w:p w14:paraId="2F3D30AE">
      <w:pPr>
        <w:spacing w:line="420" w:lineRule="atLeast"/>
        <w:rPr>
          <w:rFonts w:hint="eastAsia"/>
        </w:rPr>
      </w:pPr>
    </w:p>
    <w:p w14:paraId="53230FEF">
      <w:pPr>
        <w:spacing w:line="420" w:lineRule="atLeast"/>
        <w:rPr>
          <w:rFonts w:hint="eastAsia"/>
        </w:rPr>
        <w:sectPr>
          <w:pgSz w:w="11906" w:h="16838"/>
          <w:pgMar w:top="1417" w:right="1134" w:bottom="1134" w:left="1417" w:header="1474" w:footer="1361" w:gutter="0"/>
          <w:pgBorders>
            <w:top w:val="none" w:sz="0" w:space="0"/>
            <w:left w:val="none" w:sz="0" w:space="0"/>
            <w:bottom w:val="none" w:sz="0" w:space="0"/>
            <w:right w:val="none" w:sz="0" w:space="0"/>
          </w:pgBorders>
          <w:cols w:space="0" w:num="1"/>
          <w:rtlGutter w:val="0"/>
          <w:docGrid w:type="lines" w:linePitch="312" w:charSpace="0"/>
        </w:sectPr>
      </w:pPr>
    </w:p>
    <w:p w14:paraId="54393E5D">
      <w:pPr>
        <w:pStyle w:val="2"/>
        <w:bidi w:val="0"/>
      </w:pPr>
      <w:bookmarkStart w:id="0" w:name="_Toc177972380"/>
      <w:r>
        <w:rPr>
          <w:rFonts w:hint="eastAsia"/>
        </w:rPr>
        <w:t>第</w:t>
      </w:r>
      <w:r>
        <w:rPr>
          <w:rFonts w:hint="eastAsia"/>
          <w:lang w:val="en-US" w:eastAsia="zh-CN"/>
        </w:rPr>
        <w:t>一</w:t>
      </w:r>
      <w:r>
        <w:rPr>
          <w:rFonts w:hint="eastAsia"/>
        </w:rPr>
        <w:t>章 绪论</w:t>
      </w:r>
      <w:bookmarkEnd w:id="0"/>
    </w:p>
    <w:p w14:paraId="23F2F952">
      <w:pPr>
        <w:pStyle w:val="3"/>
        <w:bidi w:val="0"/>
        <w:rPr>
          <w:rFonts w:hint="eastAsia"/>
        </w:rPr>
      </w:pPr>
      <w:bookmarkStart w:id="1" w:name="_Toc177972388"/>
      <w:r>
        <w:rPr>
          <w:rFonts w:hint="eastAsia"/>
        </w:rPr>
        <w:t>1.1 研究背景与意义</w:t>
      </w:r>
    </w:p>
    <w:p w14:paraId="71DE8F96">
      <w:pPr>
        <w:keepNext w:val="0"/>
        <w:keepLines w:val="0"/>
        <w:widowControl/>
        <w:suppressLineNumbers w:val="0"/>
        <w:spacing w:beforeAutospacing="0" w:afterAutospacing="0"/>
        <w:jc w:val="both"/>
        <w:rPr>
          <w:rFonts w:hint="eastAsia" w:ascii="宋体" w:hAnsi="宋体"/>
          <w:b w:val="0"/>
          <w:bCs w:val="0"/>
          <w:sz w:val="24"/>
        </w:rPr>
      </w:pPr>
    </w:p>
    <w:p w14:paraId="2D07B799">
      <w:pPr>
        <w:pStyle w:val="3"/>
        <w:bidi w:val="0"/>
        <w:rPr>
          <w:rFonts w:hint="eastAsia"/>
        </w:rPr>
      </w:pPr>
      <w:r>
        <w:rPr>
          <w:rFonts w:hint="eastAsia"/>
        </w:rPr>
        <w:t>1.2 国内外研究现状</w:t>
      </w:r>
    </w:p>
    <w:p w14:paraId="4FEB26B4">
      <w:pPr>
        <w:keepNext w:val="0"/>
        <w:keepLines w:val="0"/>
        <w:widowControl/>
        <w:suppressLineNumbers w:val="0"/>
        <w:spacing w:beforeAutospacing="0" w:afterAutospacing="0"/>
        <w:jc w:val="both"/>
        <w:rPr>
          <w:rFonts w:hint="eastAsia" w:ascii="黑体" w:hAnsi="黑体" w:eastAsia="黑体" w:cs="黑体"/>
          <w:b w:val="0"/>
          <w:bCs w:val="0"/>
          <w:sz w:val="30"/>
          <w:szCs w:val="30"/>
        </w:rPr>
      </w:pPr>
    </w:p>
    <w:p w14:paraId="2C01DC0D">
      <w:pPr>
        <w:pStyle w:val="3"/>
        <w:bidi w:val="0"/>
        <w:rPr>
          <w:rFonts w:hint="eastAsia"/>
        </w:rPr>
      </w:pPr>
      <w:r>
        <w:rPr>
          <w:rFonts w:hint="eastAsia"/>
        </w:rPr>
        <w:t>1.3 研究目标和研究内容</w:t>
      </w:r>
    </w:p>
    <w:p w14:paraId="02F2A408">
      <w:pPr>
        <w:spacing w:beforeAutospacing="0" w:afterAutospacing="0"/>
        <w:rPr>
          <w:rFonts w:hint="eastAsia" w:ascii="黑体" w:hAnsi="黑体" w:eastAsia="黑体" w:cs="黑体"/>
          <w:b w:val="0"/>
          <w:bCs w:val="0"/>
          <w:sz w:val="30"/>
          <w:szCs w:val="30"/>
        </w:rPr>
      </w:pPr>
    </w:p>
    <w:p w14:paraId="0616262B">
      <w:pPr>
        <w:pStyle w:val="3"/>
        <w:bidi w:val="0"/>
        <w:rPr>
          <w:rFonts w:hint="eastAsia"/>
        </w:rPr>
      </w:pPr>
      <w:r>
        <w:rPr>
          <w:rFonts w:hint="eastAsia"/>
        </w:rPr>
        <w:t>1.4 论文结构安排</w:t>
      </w:r>
    </w:p>
    <w:p w14:paraId="1197DD85">
      <w:pPr>
        <w:keepNext w:val="0"/>
        <w:keepLines w:val="0"/>
        <w:widowControl/>
        <w:suppressLineNumbers w:val="0"/>
        <w:jc w:val="left"/>
        <w:rPr>
          <w:rFonts w:hint="eastAsia" w:ascii="宋体" w:hAnsi="宋体"/>
          <w:sz w:val="24"/>
        </w:rPr>
      </w:pPr>
      <w:r>
        <w:rPr>
          <w:rFonts w:hint="eastAsia" w:ascii="宋体" w:hAnsi="宋体"/>
          <w:sz w:val="24"/>
        </w:rPr>
        <w:br w:type="page"/>
      </w:r>
    </w:p>
    <w:p w14:paraId="711B233D">
      <w:pPr>
        <w:pStyle w:val="2"/>
        <w:bidi w:val="0"/>
        <w:rPr>
          <w:rFonts w:hint="eastAsia" w:ascii="宋体" w:hAnsi="宋体" w:eastAsia="宋体" w:cs="宋体"/>
          <w:sz w:val="24"/>
          <w:szCs w:val="24"/>
        </w:rPr>
      </w:pPr>
      <w:r>
        <w:rPr>
          <w:rFonts w:hint="eastAsia"/>
        </w:rPr>
        <w:t>第</w:t>
      </w:r>
      <w:r>
        <w:rPr>
          <w:rFonts w:hint="eastAsia"/>
          <w:lang w:val="en-US" w:eastAsia="zh-CN"/>
        </w:rPr>
        <w:t>二</w:t>
      </w:r>
      <w:r>
        <w:rPr>
          <w:rFonts w:hint="eastAsia"/>
        </w:rPr>
        <w:t>章 系统需求分析</w:t>
      </w:r>
    </w:p>
    <w:p w14:paraId="768CB565">
      <w:pPr>
        <w:pStyle w:val="3"/>
        <w:bidi w:val="0"/>
      </w:pPr>
      <w:r>
        <w:rPr>
          <w:rFonts w:hint="eastAsia"/>
        </w:rPr>
        <w:t xml:space="preserve">3.1 </w:t>
      </w:r>
      <w:r>
        <w:rPr>
          <w:lang w:val="en-US" w:eastAsia="zh-CN"/>
        </w:rPr>
        <w:t>系统建设目标</w:t>
      </w:r>
    </w:p>
    <w:p w14:paraId="4865397E">
      <w:pPr>
        <w:ind w:firstLine="420" w:firstLineChars="0"/>
        <w:rPr>
          <w:rFonts w:hint="eastAsia"/>
          <w:lang w:val="en-US" w:eastAsia="zh-CN"/>
        </w:rPr>
      </w:pPr>
      <w:r>
        <w:rPr>
          <w:rFonts w:hint="eastAsia"/>
          <w:lang w:val="en-US" w:eastAsia="zh-CN"/>
        </w:rPr>
        <w:t>本系统的</w:t>
      </w:r>
      <w:r>
        <w:rPr>
          <w:lang w:val="en-US" w:eastAsia="zh-CN"/>
        </w:rPr>
        <w:t>建设目标</w:t>
      </w:r>
      <w:r>
        <w:rPr>
          <w:rFonts w:hint="eastAsia"/>
          <w:lang w:val="en-US" w:eastAsia="zh-CN"/>
        </w:rPr>
        <w:t>在于构建一个高并发、高可用且具备强大协同能力的供应链履约系统。该系统需要保障正向链路交付与库存精准防超卖，也需要整个履约核心流程在面对电商大促等海量请求冲击时，具备高性能与高稳定性。从而全方位降低企业的履约成本并提升用户的最终体验。</w:t>
      </w:r>
    </w:p>
    <w:p w14:paraId="47771D95">
      <w:pPr>
        <w:pStyle w:val="3"/>
        <w:bidi w:val="0"/>
        <w:rPr>
          <w:rFonts w:hint="eastAsia"/>
        </w:rPr>
      </w:pPr>
      <w:r>
        <w:rPr>
          <w:rFonts w:hint="eastAsia"/>
        </w:rPr>
        <w:t xml:space="preserve">3.2 </w:t>
      </w:r>
      <w:r>
        <w:rPr>
          <w:rFonts w:hint="eastAsia"/>
          <w:lang w:val="en-US" w:eastAsia="zh-CN"/>
        </w:rPr>
        <w:t>功能性需求</w:t>
      </w:r>
      <w:r>
        <w:rPr>
          <w:rFonts w:hint="eastAsia"/>
        </w:rPr>
        <w:t>分析</w:t>
      </w:r>
    </w:p>
    <w:p w14:paraId="0F4453E4">
      <w:pPr>
        <w:pStyle w:val="4"/>
        <w:bidi w:val="0"/>
        <w:rPr>
          <w:rFonts w:hint="eastAsia"/>
          <w:lang w:val="en-US" w:eastAsia="zh-CN"/>
        </w:rPr>
      </w:pPr>
      <w:r>
        <w:rPr>
          <w:rFonts w:hint="eastAsia"/>
          <w:lang w:val="en-US" w:eastAsia="zh-CN"/>
        </w:rPr>
        <w:t>3.2.1 业务流程分析</w:t>
      </w:r>
    </w:p>
    <w:p w14:paraId="1383AFF0">
      <w:pPr>
        <w:bidi w:val="0"/>
        <w:ind w:firstLine="420" w:firstLineChars="0"/>
        <w:rPr>
          <w:rFonts w:hint="eastAsia"/>
          <w:lang w:val="en-US" w:eastAsia="zh-CN"/>
        </w:rPr>
      </w:pPr>
      <w:r>
        <w:rPr>
          <w:rFonts w:hint="eastAsia"/>
          <w:lang w:val="en-US" w:eastAsia="zh-CN"/>
        </w:rPr>
        <w:t>以下选取两个履约系统核心的业务流程进行详细介绍，以突出其关键特点和重要性。</w:t>
      </w:r>
    </w:p>
    <w:p w14:paraId="5C47EA08">
      <w:pPr>
        <w:ind w:firstLine="420" w:firstLineChars="0"/>
        <w:rPr>
          <w:rFonts w:hint="eastAsia"/>
          <w:lang w:val="en-US" w:eastAsia="zh-CN"/>
        </w:rPr>
      </w:pPr>
      <w:r>
        <w:rPr>
          <w:rFonts w:hint="eastAsia"/>
          <w:lang w:val="en-US" w:eastAsia="zh-CN"/>
        </w:rPr>
        <w:t>（1）</w:t>
      </w:r>
      <w:r>
        <w:rPr>
          <w:rFonts w:ascii="宋体" w:hAnsi="宋体" w:eastAsia="宋体" w:cs="宋体"/>
          <w:sz w:val="24"/>
          <w:szCs w:val="24"/>
        </w:rPr>
        <w:t>正向履约主流程</w:t>
      </w:r>
    </w:p>
    <w:p w14:paraId="67BA8B02">
      <w:pPr>
        <w:ind w:firstLine="420" w:firstLineChars="0"/>
        <w:rPr>
          <w:rFonts w:ascii="宋体" w:hAnsi="宋体" w:eastAsia="宋体" w:cs="宋体"/>
          <w:sz w:val="24"/>
          <w:szCs w:val="24"/>
        </w:rPr>
      </w:pPr>
      <w:r>
        <w:rPr>
          <w:rFonts w:ascii="宋体" w:hAnsi="宋体" w:eastAsia="宋体" w:cs="宋体"/>
          <w:sz w:val="24"/>
          <w:szCs w:val="24"/>
        </w:rPr>
        <w:t>上游电商平台将销售订单推送至 OMS 履约中心接收后，结合收货地址与 ISC 库存中心的水位数据，执行路由算法决定发货仓库；</w:t>
      </w:r>
    </w:p>
    <w:p w14:paraId="06FEC523">
      <w:pPr>
        <w:ind w:firstLine="420" w:firstLineChars="0"/>
        <w:rPr>
          <w:rFonts w:ascii="宋体" w:hAnsi="宋体" w:eastAsia="宋体" w:cs="宋体"/>
          <w:sz w:val="24"/>
          <w:szCs w:val="24"/>
        </w:rPr>
      </w:pPr>
      <w:r>
        <w:rPr>
          <w:rFonts w:ascii="宋体" w:hAnsi="宋体" w:eastAsia="宋体" w:cs="宋体"/>
          <w:sz w:val="24"/>
          <w:szCs w:val="24"/>
        </w:rPr>
        <w:t xml:space="preserve">决策完成后，ISC 执行库存预占；随后 OMS 将指令下发至对应的 WMS 仓储系统；WMS 将多笔零散订单聚类为波次，指导工人完成拣货、复核与打包；最后交由 </w:t>
      </w:r>
      <w:r>
        <w:rPr>
          <w:rFonts w:hint="eastAsia" w:ascii="宋体" w:hAnsi="宋体" w:cs="宋体"/>
          <w:sz w:val="24"/>
          <w:szCs w:val="24"/>
          <w:lang w:val="en-US" w:eastAsia="zh-CN"/>
        </w:rPr>
        <w:t>LGS</w:t>
      </w:r>
      <w:r>
        <w:rPr>
          <w:rFonts w:ascii="宋体" w:hAnsi="宋体" w:eastAsia="宋体" w:cs="宋体"/>
          <w:sz w:val="24"/>
          <w:szCs w:val="24"/>
        </w:rPr>
        <w:t>（物流网关）获取物流面单并</w:t>
      </w:r>
      <w:r>
        <w:rPr>
          <w:rFonts w:hint="eastAsia" w:ascii="宋体" w:hAnsi="宋体" w:cs="宋体"/>
          <w:sz w:val="24"/>
          <w:szCs w:val="24"/>
          <w:lang w:val="en-US" w:eastAsia="zh-CN"/>
        </w:rPr>
        <w:t>推送至三方物流公司</w:t>
      </w:r>
      <w:r>
        <w:rPr>
          <w:rFonts w:ascii="宋体" w:hAnsi="宋体" w:eastAsia="宋体" w:cs="宋体"/>
          <w:sz w:val="24"/>
          <w:szCs w:val="24"/>
        </w:rPr>
        <w:t>发货。</w:t>
      </w:r>
    </w:p>
    <w:p w14:paraId="5E84DC0D">
      <w:pPr>
        <w:spacing w:line="240" w:lineRule="auto"/>
        <w:ind w:firstLine="0" w:firstLineChars="0"/>
        <w:rPr>
          <w:rFonts w:hint="eastAsia" w:ascii="宋体" w:hAnsi="宋体" w:eastAsia="宋体" w:cs="宋体"/>
          <w:sz w:val="24"/>
          <w:szCs w:val="24"/>
          <w:lang w:val="en-US" w:eastAsia="zh-CN"/>
        </w:rPr>
      </w:pPr>
      <w:r>
        <w:drawing>
          <wp:inline distT="0" distB="0" distL="114300" distR="114300">
            <wp:extent cx="5934075" cy="4327525"/>
            <wp:effectExtent l="0" t="0" r="9525"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934075" cy="4327525"/>
                    </a:xfrm>
                    <a:prstGeom prst="rect">
                      <a:avLst/>
                    </a:prstGeom>
                    <a:noFill/>
                    <a:ln>
                      <a:noFill/>
                    </a:ln>
                  </pic:spPr>
                </pic:pic>
              </a:graphicData>
            </a:graphic>
          </wp:inline>
        </w:drawing>
      </w:r>
    </w:p>
    <w:p w14:paraId="32A5F1BC">
      <w:pPr>
        <w:numPr>
          <w:ilvl w:val="0"/>
          <w:numId w:val="1"/>
        </w:numPr>
        <w:ind w:firstLine="420" w:firstLineChars="0"/>
        <w:rPr>
          <w:rFonts w:hint="eastAsia"/>
          <w:lang w:val="en-US" w:eastAsia="zh-CN"/>
        </w:rPr>
      </w:pPr>
      <w:r>
        <w:rPr>
          <w:rFonts w:hint="eastAsia"/>
          <w:lang w:val="en-US" w:eastAsia="zh-CN"/>
        </w:rPr>
        <w:t>逆向拦截与异常处理流程</w:t>
      </w:r>
    </w:p>
    <w:p w14:paraId="6B3573BE">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在供应链的实际运行中，正向履约链路并非总是</w:t>
      </w:r>
      <w:r>
        <w:rPr>
          <w:rFonts w:hint="eastAsia" w:ascii="宋体" w:hAnsi="宋体" w:cs="宋体"/>
          <w:sz w:val="24"/>
          <w:szCs w:val="24"/>
          <w:lang w:val="en-US" w:eastAsia="zh-CN"/>
        </w:rPr>
        <w:t>不出差错</w:t>
      </w:r>
      <w:r>
        <w:rPr>
          <w:rFonts w:ascii="宋体" w:hAnsi="宋体" w:eastAsia="宋体" w:cs="宋体"/>
          <w:sz w:val="24"/>
          <w:szCs w:val="24"/>
        </w:rPr>
        <w:t>。用户下单后可能会因为各种原因发起取消订单申请；系统内部也可能因为库存超卖、物流停运等触发异常熔断。为了保障用户体验并减少无效的仓储物流成本，系统必须具备强大的逆向拦截能力。</w:t>
      </w:r>
    </w:p>
    <w:p w14:paraId="52856F78">
      <w:pPr>
        <w:numPr>
          <w:ilvl w:val="0"/>
          <w:numId w:val="0"/>
        </w:numPr>
        <w:ind w:firstLine="420" w:firstLineChars="0"/>
        <w:rPr>
          <w:rFonts w:ascii="宋体" w:hAnsi="宋体" w:eastAsia="宋体" w:cs="宋体"/>
          <w:sz w:val="24"/>
          <w:szCs w:val="24"/>
        </w:rPr>
      </w:pPr>
      <w:r>
        <w:rPr>
          <w:rFonts w:ascii="宋体" w:hAnsi="宋体" w:eastAsia="宋体" w:cs="宋体"/>
          <w:sz w:val="24"/>
          <w:szCs w:val="24"/>
        </w:rPr>
        <w:t>逆向拦截流程</w:t>
      </w:r>
      <w:r>
        <w:rPr>
          <w:rFonts w:hint="eastAsia" w:ascii="宋体" w:hAnsi="宋体" w:cs="宋体"/>
          <w:sz w:val="24"/>
          <w:szCs w:val="24"/>
          <w:lang w:val="en-US" w:eastAsia="zh-CN"/>
        </w:rPr>
        <w:t>能够</w:t>
      </w:r>
      <w:r>
        <w:rPr>
          <w:rFonts w:ascii="宋体" w:hAnsi="宋体" w:eastAsia="宋体" w:cs="宋体"/>
          <w:sz w:val="24"/>
          <w:szCs w:val="24"/>
        </w:rPr>
        <w:t>高效响应上游发起的订单取消请求，核心策略依据 OMS 接收请求时订单所处的生命周期状态动态决策。若订单状态显示已完成发货交接，OMS 将直接拒绝拦截请求，提示转入售后退货流程。</w:t>
      </w:r>
    </w:p>
    <w:p w14:paraId="45C7BEAD">
      <w:pPr>
        <w:numPr>
          <w:ilvl w:val="0"/>
          <w:numId w:val="0"/>
        </w:numPr>
        <w:ind w:firstLine="420" w:firstLineChars="0"/>
        <w:rPr>
          <w:rFonts w:ascii="宋体" w:hAnsi="宋体" w:eastAsia="宋体" w:cs="宋体"/>
          <w:sz w:val="24"/>
          <w:szCs w:val="24"/>
        </w:rPr>
      </w:pPr>
      <w:r>
        <w:rPr>
          <w:rFonts w:ascii="宋体" w:hAnsi="宋体" w:eastAsia="宋体" w:cs="宋体"/>
          <w:sz w:val="24"/>
          <w:szCs w:val="24"/>
        </w:rPr>
        <w:t>对于尚处于待调度或已分仓但未下发的订单，OMS 立即把主单状态更新为已取消，并同步调用 ISC 释放预占库存完成闭环。若发货指令已推送至 WMS，情况则更为复杂，OMS 需发起中止指令，WMS 接收后校验库内实际作业进度；倘若作业尚未进入不可撤销环节，WMS 锁定任务并反馈拦截成功，触发 OMS 终结订单并通知 ISC 释放库存；反之若包裹已完成打包或交接，WMS 反馈拦截失败，OMS 记录失败日志并维持原正常发货流程，后续交由售后机制处理。</w:t>
      </w:r>
    </w:p>
    <w:p w14:paraId="1524D532">
      <w:pPr>
        <w:numPr>
          <w:ilvl w:val="0"/>
          <w:numId w:val="0"/>
        </w:numPr>
        <w:spacing w:line="240" w:lineRule="auto"/>
        <w:rPr>
          <w:rFonts w:hint="eastAsia"/>
          <w:lang w:val="en-US" w:eastAsia="zh-CN"/>
        </w:rPr>
      </w:pPr>
      <w:r>
        <w:drawing>
          <wp:inline distT="0" distB="0" distL="114300" distR="114300">
            <wp:extent cx="5939155" cy="5045710"/>
            <wp:effectExtent l="0" t="0" r="4445"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939155" cy="5045710"/>
                    </a:xfrm>
                    <a:prstGeom prst="rect">
                      <a:avLst/>
                    </a:prstGeom>
                    <a:noFill/>
                    <a:ln>
                      <a:noFill/>
                    </a:ln>
                  </pic:spPr>
                </pic:pic>
              </a:graphicData>
            </a:graphic>
          </wp:inline>
        </w:drawing>
      </w:r>
    </w:p>
    <w:p w14:paraId="2D70DB46">
      <w:pPr>
        <w:pStyle w:val="4"/>
        <w:bidi w:val="0"/>
        <w:rPr>
          <w:rFonts w:hint="eastAsia"/>
          <w:lang w:val="en-US" w:eastAsia="zh-CN"/>
        </w:rPr>
      </w:pPr>
      <w:r>
        <w:rPr>
          <w:rFonts w:hint="eastAsia"/>
          <w:lang w:val="en-US" w:eastAsia="zh-CN"/>
        </w:rPr>
        <w:t>3.2.2 用例分析</w:t>
      </w:r>
    </w:p>
    <w:p w14:paraId="3E5934BC">
      <w:pPr>
        <w:ind w:firstLine="420" w:firstLineChars="0"/>
        <w:rPr>
          <w:rFonts w:hint="eastAsia" w:ascii="宋体" w:hAnsi="宋体" w:cs="宋体"/>
          <w:sz w:val="24"/>
          <w:szCs w:val="24"/>
          <w:lang w:val="en-US" w:eastAsia="zh-CN"/>
        </w:rPr>
      </w:pPr>
      <w:r>
        <w:rPr>
          <w:rFonts w:ascii="宋体" w:hAnsi="宋体" w:eastAsia="宋体" w:cs="宋体"/>
          <w:sz w:val="24"/>
          <w:szCs w:val="24"/>
        </w:rPr>
        <w:t>本系统主要面向的是上游订单系统、运营人员、仓储作业人员以及系统管理人员。系统管理员需要负责系统最高级的管理工作，包括对智能路由规则的配置、全局库存安全水位的管理以及物流承运商的维护等；运营人员则主要负责对全链路履约轨迹的跟踪以及缺货等异常情况的人工介入处理；上游订单系统作为前台交易环节的自动化对接方，负责向本系统推送销售订单并发起拦截指令；仓储作业人员作为线下物理履约的直接执行者，主要进行出库波次的管理、实物拣货、复核打包以及交接发货等操作。系统为各端划分了明确的功能边界，使用逻辑清晰，利于多部门的高效协同。</w:t>
      </w:r>
    </w:p>
    <w:p w14:paraId="5933AFC7">
      <w:pPr>
        <w:numPr>
          <w:ilvl w:val="0"/>
          <w:numId w:val="2"/>
        </w:numPr>
        <w:ind w:firstLine="420" w:firstLineChars="0"/>
        <w:rPr>
          <w:rFonts w:ascii="宋体" w:hAnsi="宋体" w:eastAsia="宋体" w:cs="宋体"/>
          <w:sz w:val="24"/>
          <w:szCs w:val="24"/>
        </w:rPr>
      </w:pPr>
      <w:r>
        <w:rPr>
          <w:rFonts w:ascii="宋体" w:hAnsi="宋体" w:eastAsia="宋体" w:cs="宋体"/>
          <w:sz w:val="24"/>
          <w:szCs w:val="24"/>
        </w:rPr>
        <w:t>上游订单系统与运营人员</w:t>
      </w:r>
    </w:p>
    <w:p w14:paraId="72556CC3">
      <w:pPr>
        <w:bidi w:val="0"/>
        <w:ind w:firstLine="420" w:firstLineChars="0"/>
        <w:rPr>
          <w:rFonts w:hint="eastAsia"/>
          <w:lang w:val="en-US" w:eastAsia="zh-CN"/>
        </w:rPr>
      </w:pPr>
      <w:r>
        <w:t>上游订单系统是履约流程的自动化起点，其主要功能包括：自动化推送与同步销售订单功能、在用户前端发起退款时向本系统下发拦截指令的功能等。运营人员则是业务的监控者与兜底方，其负责范围包括：对订单全生命周期履约轨迹的查询功能、在库存不足或路由失败时处理调度异常的功能等。其中，当上游订单系统触发拦截指令时，必然需要本系统先包含执行校验订单状态的操作，以判断当前是否具备拦截条件。上游订单系统与运营人员角色的协同通过用例图表示如图所示</w:t>
      </w:r>
      <w:r>
        <w:rPr>
          <w:rFonts w:hint="eastAsia"/>
          <w:lang w:eastAsia="zh-CN"/>
        </w:rPr>
        <w:t>。</w:t>
      </w:r>
    </w:p>
    <w:p w14:paraId="6072C4F9">
      <w:pPr>
        <w:spacing w:line="240" w:lineRule="auto"/>
        <w:ind w:firstLine="0" w:firstLineChars="0"/>
        <w:rPr>
          <w:rFonts w:hint="eastAsia" w:ascii="宋体" w:hAnsi="宋体" w:eastAsia="宋体" w:cs="宋体"/>
          <w:sz w:val="24"/>
          <w:szCs w:val="24"/>
          <w:lang w:val="en-US" w:eastAsia="zh-CN"/>
        </w:rPr>
      </w:pPr>
      <w:r>
        <w:drawing>
          <wp:inline distT="0" distB="0" distL="114300" distR="114300">
            <wp:extent cx="5629275" cy="2819400"/>
            <wp:effectExtent l="0" t="0" r="9525"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9"/>
                    <a:stretch>
                      <a:fillRect/>
                    </a:stretch>
                  </pic:blipFill>
                  <pic:spPr>
                    <a:xfrm>
                      <a:off x="0" y="0"/>
                      <a:ext cx="5629275" cy="2819400"/>
                    </a:xfrm>
                    <a:prstGeom prst="rect">
                      <a:avLst/>
                    </a:prstGeom>
                    <a:noFill/>
                    <a:ln>
                      <a:noFill/>
                    </a:ln>
                  </pic:spPr>
                </pic:pic>
              </a:graphicData>
            </a:graphic>
          </wp:inline>
        </w:drawing>
      </w:r>
    </w:p>
    <w:p w14:paraId="32FDD8D9">
      <w:pPr>
        <w:numPr>
          <w:ilvl w:val="0"/>
          <w:numId w:val="2"/>
        </w:numPr>
        <w:bidi w:val="0"/>
        <w:ind w:left="0" w:leftChars="0" w:firstLine="420" w:firstLineChars="0"/>
        <w:rPr>
          <w:rFonts w:hint="default" w:eastAsia="宋体"/>
          <w:lang w:val="en-US" w:eastAsia="zh-CN"/>
        </w:rPr>
      </w:pPr>
      <w:r>
        <w:rPr>
          <w:rFonts w:ascii="宋体" w:hAnsi="宋体" w:eastAsia="宋体" w:cs="宋体"/>
          <w:sz w:val="24"/>
          <w:szCs w:val="24"/>
        </w:rPr>
        <w:t>仓储作业人员</w:t>
      </w:r>
    </w:p>
    <w:p w14:paraId="3F6BC18A">
      <w:pPr>
        <w:bidi w:val="0"/>
        <w:ind w:firstLine="420" w:firstLineChars="0"/>
        <w:rPr>
          <w:rFonts w:hint="eastAsia"/>
          <w:lang w:eastAsia="zh-CN"/>
        </w:rPr>
      </w:pPr>
      <w:r>
        <w:t>仓储作业人员是供应链线下物理交付环节的直接执行者，其功能主要包括：生成与管理出库波次功能、根据系统指引执行拣货任务功能、对拣出的商品进行复核与称重打包功能，以及最终的包裹交接发货功能。在复核打包环节，系统会自动包含校验商品条码以及向第三方物流系统获取电子面单等关键辅助操作，以确保实物出库与物流数据的准确绑定。仓储作业人员角色通过用例图表示如图所示</w:t>
      </w:r>
      <w:r>
        <w:rPr>
          <w:rFonts w:hint="eastAsia"/>
          <w:lang w:eastAsia="zh-CN"/>
        </w:rPr>
        <w:t>。</w:t>
      </w:r>
    </w:p>
    <w:p w14:paraId="6C98CBF0">
      <w:pPr>
        <w:widowControl w:val="0"/>
        <w:numPr>
          <w:ilvl w:val="0"/>
          <w:numId w:val="0"/>
        </w:numPr>
        <w:bidi w:val="0"/>
        <w:spacing w:line="240" w:lineRule="auto"/>
        <w:ind w:firstLine="0" w:firstLineChars="0"/>
        <w:jc w:val="both"/>
      </w:pPr>
      <w:r>
        <w:drawing>
          <wp:inline distT="0" distB="0" distL="114300" distR="114300">
            <wp:extent cx="5686425" cy="2895600"/>
            <wp:effectExtent l="0" t="0" r="9525"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0"/>
                    <a:stretch>
                      <a:fillRect/>
                    </a:stretch>
                  </pic:blipFill>
                  <pic:spPr>
                    <a:xfrm>
                      <a:off x="0" y="0"/>
                      <a:ext cx="5686425" cy="2895600"/>
                    </a:xfrm>
                    <a:prstGeom prst="rect">
                      <a:avLst/>
                    </a:prstGeom>
                    <a:noFill/>
                    <a:ln>
                      <a:noFill/>
                    </a:ln>
                  </pic:spPr>
                </pic:pic>
              </a:graphicData>
            </a:graphic>
          </wp:inline>
        </w:drawing>
      </w:r>
    </w:p>
    <w:p w14:paraId="2EFB0E54">
      <w:pPr>
        <w:widowControl w:val="0"/>
        <w:numPr>
          <w:ilvl w:val="0"/>
          <w:numId w:val="2"/>
        </w:numPr>
        <w:bidi w:val="0"/>
        <w:spacing w:line="240" w:lineRule="auto"/>
        <w:ind w:left="0" w:leftChars="0" w:firstLine="420" w:firstLineChars="0"/>
        <w:jc w:val="both"/>
        <w:rPr>
          <w:rFonts w:hint="default" w:eastAsia="宋体"/>
          <w:lang w:val="en-US" w:eastAsia="zh-CN"/>
        </w:rPr>
      </w:pPr>
      <w:r>
        <w:rPr>
          <w:rFonts w:ascii="宋体" w:hAnsi="宋体" w:eastAsia="宋体" w:cs="宋体"/>
          <w:sz w:val="24"/>
          <w:szCs w:val="24"/>
        </w:rPr>
        <w:t>系统管理人员</w:t>
      </w:r>
    </w:p>
    <w:p w14:paraId="72C58AEB">
      <w:pPr>
        <w:bidi w:val="0"/>
        <w:ind w:firstLine="420" w:firstLineChars="0"/>
        <w:rPr>
          <w:rFonts w:hint="eastAsia"/>
          <w:lang w:eastAsia="zh-CN"/>
        </w:rPr>
      </w:pPr>
      <w:r>
        <w:t>系统管理人员具有整个履约系统的最高管理与底层配置权限，其负责范围包括：配置智能路由寻源规则功能（对路由规则进行增加、删除、修改、查询等）、管理全局库存参数功能（如修改安全库存水位阈值、查询各仓库存预占日志等）以及设置物流承运商权限及计费规则功能等。管理人员通过维护这些底层规则与参数基座，确保整个高并发履约系统的稳定流转。系统管理人员角色通过用例图表示如图所示</w:t>
      </w:r>
      <w:r>
        <w:rPr>
          <w:rFonts w:hint="eastAsia"/>
          <w:lang w:eastAsia="zh-CN"/>
        </w:rPr>
        <w:t>。</w:t>
      </w:r>
    </w:p>
    <w:p w14:paraId="5A59BD3C">
      <w:pPr>
        <w:widowControl w:val="0"/>
        <w:numPr>
          <w:ilvl w:val="0"/>
          <w:numId w:val="0"/>
        </w:numPr>
        <w:bidi w:val="0"/>
        <w:spacing w:line="240" w:lineRule="auto"/>
        <w:ind w:firstLine="0" w:firstLineChars="0"/>
        <w:jc w:val="both"/>
        <w:rPr>
          <w:rFonts w:hint="eastAsia" w:ascii="宋体" w:hAnsi="宋体" w:cs="宋体"/>
          <w:sz w:val="24"/>
          <w:szCs w:val="24"/>
          <w:lang w:val="en-US" w:eastAsia="zh-CN"/>
        </w:rPr>
      </w:pPr>
      <w:r>
        <w:drawing>
          <wp:inline distT="0" distB="0" distL="114300" distR="114300">
            <wp:extent cx="5241290" cy="4174490"/>
            <wp:effectExtent l="0" t="0" r="16510" b="1651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1"/>
                    <a:stretch>
                      <a:fillRect/>
                    </a:stretch>
                  </pic:blipFill>
                  <pic:spPr>
                    <a:xfrm>
                      <a:off x="0" y="0"/>
                      <a:ext cx="5241290" cy="4174490"/>
                    </a:xfrm>
                    <a:prstGeom prst="rect">
                      <a:avLst/>
                    </a:prstGeom>
                    <a:noFill/>
                    <a:ln>
                      <a:noFill/>
                    </a:ln>
                  </pic:spPr>
                </pic:pic>
              </a:graphicData>
            </a:graphic>
          </wp:inline>
        </w:drawing>
      </w:r>
    </w:p>
    <w:p w14:paraId="25A73129">
      <w:pPr>
        <w:pStyle w:val="3"/>
        <w:bidi w:val="0"/>
        <w:rPr>
          <w:rFonts w:hint="eastAsia"/>
        </w:rPr>
      </w:pPr>
      <w:r>
        <w:rPr>
          <w:rFonts w:hint="eastAsia"/>
        </w:rPr>
        <w:t>3.</w:t>
      </w:r>
      <w:r>
        <w:rPr>
          <w:rFonts w:hint="eastAsia"/>
          <w:lang w:val="en-US" w:eastAsia="zh-CN"/>
        </w:rPr>
        <w:t>3</w:t>
      </w:r>
      <w:r>
        <w:rPr>
          <w:rFonts w:hint="eastAsia"/>
        </w:rPr>
        <w:t xml:space="preserve"> 非功能需求分析</w:t>
      </w:r>
    </w:p>
    <w:p w14:paraId="2BBE0E4A">
      <w:pPr>
        <w:bidi w:val="0"/>
        <w:ind w:firstLine="420" w:firstLineChars="0"/>
      </w:pPr>
      <w:r>
        <w:t>履约物流系统作为连接线上交易与线下仓储物流的核心中枢，其非功能性需求至关重要，直接决定了系统在高并发商业场景下的支撑能力、数据的准确性以及后期的运维成本。以下是对本系统非功能性需求的详细分析：</w:t>
      </w:r>
    </w:p>
    <w:p w14:paraId="1E62D01B">
      <w:pPr>
        <w:numPr>
          <w:ilvl w:val="0"/>
          <w:numId w:val="3"/>
        </w:numPr>
        <w:bidi w:val="0"/>
        <w:ind w:left="0" w:leftChars="0" w:firstLine="420" w:firstLineChars="0"/>
      </w:pPr>
      <w:r>
        <w:t>性能需求</w:t>
      </w:r>
    </w:p>
    <w:p w14:paraId="4DE8C72E">
      <w:pPr>
        <w:numPr>
          <w:ilvl w:val="0"/>
          <w:numId w:val="0"/>
        </w:numPr>
        <w:bidi w:val="0"/>
        <w:ind w:firstLine="420" w:firstLineChars="0"/>
      </w:pPr>
      <w:r>
        <w:t>本系统需在海量订单涌入时依然保持极高的处理效率与极低的延迟。系统应能在合理的时间内给出响应</w:t>
      </w:r>
      <w:r>
        <w:rPr>
          <w:rFonts w:hint="eastAsia"/>
          <w:lang w:eastAsia="zh-CN"/>
        </w:rPr>
        <w:t>。</w:t>
      </w:r>
      <w:r>
        <w:t>对于核心的写操作</w:t>
      </w:r>
      <w:r>
        <w:rPr>
          <w:rFonts w:hint="eastAsia"/>
          <w:lang w:eastAsia="zh-CN"/>
        </w:rPr>
        <w:t>，</w:t>
      </w:r>
      <w:r>
        <w:rPr>
          <w:rFonts w:hint="eastAsia"/>
          <w:lang w:val="en-US" w:eastAsia="zh-CN"/>
        </w:rPr>
        <w:t>如</w:t>
      </w:r>
      <w:r>
        <w:t>整个入库/出库指令的生成响应</w:t>
      </w:r>
      <w:r>
        <w:rPr>
          <w:rFonts w:hint="eastAsia"/>
          <w:lang w:val="en-US" w:eastAsia="zh-CN"/>
        </w:rPr>
        <w:t>需要快速响应</w:t>
      </w:r>
      <w:r>
        <w:t>，以确保高效的自动化流转。</w:t>
      </w:r>
      <w:r>
        <w:rPr>
          <w:rFonts w:hint="eastAsia"/>
          <w:lang w:val="en-US" w:eastAsia="zh-CN"/>
        </w:rPr>
        <w:t>并且</w:t>
      </w:r>
      <w:r>
        <w:t>系统必须具备超高吞吐量的处理能力，能够利用消息队列进行削峰填谷</w:t>
      </w:r>
      <w:r>
        <w:rPr>
          <w:rFonts w:hint="eastAsia"/>
          <w:lang w:eastAsia="zh-CN"/>
        </w:rPr>
        <w:t>，</w:t>
      </w:r>
      <w:r>
        <w:t>平滑处理短时间内暴增的交易订单。</w:t>
      </w:r>
      <w:r>
        <w:rPr>
          <w:rFonts w:hint="eastAsia"/>
          <w:lang w:val="en-US" w:eastAsia="zh-CN"/>
        </w:rPr>
        <w:t>此外，</w:t>
      </w:r>
      <w:r>
        <w:t>系统应具备卓越的弹性可扩展性，能够根据 OMS、ISC、WMS 等不同模块的流量特征进行独立的容器化水平扩容，在不影响整体稳定性的前提下应对业务的快速增长。</w:t>
      </w:r>
    </w:p>
    <w:p w14:paraId="7060586D">
      <w:pPr>
        <w:numPr>
          <w:ilvl w:val="0"/>
          <w:numId w:val="3"/>
        </w:numPr>
        <w:bidi w:val="0"/>
        <w:ind w:left="0" w:leftChars="0" w:firstLine="420" w:firstLineChars="0"/>
      </w:pPr>
      <w:r>
        <w:t>可靠性与一致性需求</w:t>
      </w:r>
    </w:p>
    <w:p w14:paraId="5CE731CB">
      <w:pPr>
        <w:numPr>
          <w:ilvl w:val="0"/>
          <w:numId w:val="0"/>
        </w:numPr>
        <w:bidi w:val="0"/>
        <w:ind w:firstLine="420" w:firstLineChars="0"/>
      </w:pPr>
      <w:r>
        <w:t>履约系统对数据的准确性要求极高，任何故障都可能导致库存超卖或错发漏发。系统必须具备高可用性，确保核心履约链路在绝大部分时间处于可用状态。在微服务架构下，系统应具备强大的容错与降级能力，当个别非核心下游服务（如外部物流接口）发生网络中断或超时故障时，能够自动熔断并</w:t>
      </w:r>
      <w:r>
        <w:rPr>
          <w:rFonts w:hint="eastAsia"/>
          <w:lang w:val="en-US" w:eastAsia="zh-CN"/>
        </w:rPr>
        <w:t>降级</w:t>
      </w:r>
      <w:r>
        <w:t>至备用逻辑，避免引发雪崩效应。</w:t>
      </w:r>
      <w:r>
        <w:rPr>
          <w:rFonts w:hint="eastAsia"/>
          <w:lang w:val="en-US" w:eastAsia="zh-CN"/>
        </w:rPr>
        <w:t>对于</w:t>
      </w:r>
      <w:r>
        <w:t>跨微服务的核心业务，系统必须通过分布式事务机制以及事件驱动架构，保障数据在不同微服务节点间的最终一致性，</w:t>
      </w:r>
      <w:r>
        <w:rPr>
          <w:rFonts w:hint="eastAsia"/>
          <w:lang w:val="en-US" w:eastAsia="zh-CN"/>
        </w:rPr>
        <w:t>避免</w:t>
      </w:r>
      <w:r>
        <w:t>因服务异常导致的数据状态</w:t>
      </w:r>
      <w:r>
        <w:rPr>
          <w:rFonts w:hint="eastAsia"/>
          <w:lang w:val="en-US" w:eastAsia="zh-CN"/>
        </w:rPr>
        <w:t>异常</w:t>
      </w:r>
      <w:r>
        <w:t>。</w:t>
      </w:r>
    </w:p>
    <w:p w14:paraId="13309D47">
      <w:pPr>
        <w:numPr>
          <w:ilvl w:val="0"/>
          <w:numId w:val="3"/>
        </w:numPr>
        <w:bidi w:val="0"/>
        <w:ind w:left="0" w:leftChars="0" w:firstLine="420" w:firstLineChars="0"/>
      </w:pPr>
      <w:r>
        <w:t>可维护性与可扩展性需求</w:t>
      </w:r>
    </w:p>
    <w:p w14:paraId="04A6A5CE">
      <w:pPr>
        <w:numPr>
          <w:ilvl w:val="0"/>
          <w:numId w:val="0"/>
        </w:numPr>
        <w:bidi w:val="0"/>
        <w:ind w:firstLine="420" w:firstLineChars="0"/>
      </w:pPr>
      <w:r>
        <w:t>随着业务领域的不断深化与拓展，供应链规则将频繁变更。系统不能停留在初始版本，必须具备极强的可维护性以应对未来的迭代。本系统采用领域驱动设计与微服务架构 ，正是实现系统高可扩展性的有效手段。通过将庞杂的履约系统拆解为订单管理、库存中心、仓储作业等多个边界清晰的微服务，极大地降低了各业务域之间的代码耦合度。当</w:t>
      </w:r>
      <w:r>
        <w:rPr>
          <w:rFonts w:hint="eastAsia"/>
          <w:lang w:val="en-US" w:eastAsia="zh-CN"/>
        </w:rPr>
        <w:t>有</w:t>
      </w:r>
      <w:r>
        <w:t>新的业务需求时，开发团队可以通过新增或升级单一微服务来满足需求，而无需对全局架构进行改动。</w:t>
      </w:r>
    </w:p>
    <w:p w14:paraId="665C15A0">
      <w:pPr>
        <w:numPr>
          <w:ilvl w:val="0"/>
          <w:numId w:val="3"/>
        </w:numPr>
        <w:bidi w:val="0"/>
        <w:ind w:left="0" w:leftChars="0" w:firstLine="420" w:firstLineChars="0"/>
      </w:pPr>
      <w:r>
        <w:t>安全性需求</w:t>
      </w:r>
    </w:p>
    <w:p w14:paraId="2E28A7E2">
      <w:pPr>
        <w:numPr>
          <w:ilvl w:val="0"/>
          <w:numId w:val="0"/>
        </w:numPr>
        <w:bidi w:val="0"/>
        <w:ind w:firstLine="420" w:firstLineChars="0"/>
      </w:pPr>
      <w:r>
        <w:t>由于履约系统内流转着包含用户隐私与企业资产的敏感数据，系统</w:t>
      </w:r>
      <w:r>
        <w:rPr>
          <w:rFonts w:hint="eastAsia"/>
          <w:lang w:val="en-US" w:eastAsia="zh-CN"/>
        </w:rPr>
        <w:t>需要</w:t>
      </w:r>
      <w:r>
        <w:t>建立严密的安全性</w:t>
      </w:r>
      <w:r>
        <w:rPr>
          <w:rFonts w:hint="eastAsia"/>
          <w:lang w:val="en-US" w:eastAsia="zh-CN"/>
        </w:rPr>
        <w:t>保障</w:t>
      </w:r>
      <w:r>
        <w:t>。应提供完善的身份认证和基于角色的访问控制授权机制，确保上游运营人员、仓储作业人员与系统管理员只能访问并操作其权限范围内的功能与数据。此外，对于暴露在外部网关的接口需进行防重放、防篡改校验，针对用户隐私数据在数据库落盘与前端展示时均需进行加密处理，防止数据泄露。</w:t>
      </w:r>
    </w:p>
    <w:p w14:paraId="180207F3">
      <w:pPr>
        <w:rPr>
          <w:rFonts w:hint="eastAsia" w:ascii="黑体" w:hAnsi="黑体" w:eastAsia="黑体" w:cs="黑体"/>
          <w:b w:val="0"/>
          <w:bCs w:val="0"/>
          <w:sz w:val="36"/>
          <w:szCs w:val="36"/>
        </w:rPr>
      </w:pPr>
      <w:r>
        <w:rPr>
          <w:rFonts w:hint="eastAsia" w:ascii="黑体" w:hAnsi="黑体" w:eastAsia="黑体" w:cs="黑体"/>
          <w:b w:val="0"/>
          <w:bCs w:val="0"/>
          <w:sz w:val="36"/>
          <w:szCs w:val="36"/>
        </w:rPr>
        <w:br w:type="page"/>
      </w:r>
    </w:p>
    <w:p w14:paraId="3E5E8125">
      <w:pPr>
        <w:pStyle w:val="2"/>
        <w:bidi w:val="0"/>
        <w:rPr>
          <w:rFonts w:hint="eastAsia"/>
        </w:rPr>
      </w:pPr>
      <w:r>
        <w:rPr>
          <w:rFonts w:hint="eastAsia"/>
        </w:rPr>
        <w:t>第</w:t>
      </w:r>
      <w:r>
        <w:rPr>
          <w:rFonts w:hint="eastAsia"/>
          <w:lang w:val="en-US" w:eastAsia="zh-CN"/>
        </w:rPr>
        <w:t>三</w:t>
      </w:r>
      <w:r>
        <w:rPr>
          <w:rFonts w:hint="eastAsia"/>
        </w:rPr>
        <w:t>章 系统设计</w:t>
      </w:r>
    </w:p>
    <w:p w14:paraId="008EA408">
      <w:pPr>
        <w:pStyle w:val="3"/>
        <w:bidi w:val="0"/>
        <w:rPr>
          <w:rFonts w:hint="default"/>
          <w:lang w:val="en-US" w:eastAsia="zh-CN"/>
        </w:rPr>
      </w:pPr>
      <w:r>
        <w:rPr>
          <w:rFonts w:hint="eastAsia"/>
          <w:lang w:val="en-US" w:eastAsia="zh-CN"/>
        </w:rPr>
        <w:t>4.1 系统总体设计</w:t>
      </w:r>
    </w:p>
    <w:p w14:paraId="6ACF9F9B">
      <w:pPr>
        <w:pStyle w:val="4"/>
        <w:bidi w:val="0"/>
        <w:rPr>
          <w:rFonts w:hint="eastAsia"/>
          <w:lang w:val="en-US" w:eastAsia="zh-CN"/>
        </w:rPr>
      </w:pPr>
      <w:r>
        <w:rPr>
          <w:rFonts w:hint="eastAsia"/>
          <w:lang w:val="en-US" w:eastAsia="zh-CN"/>
        </w:rPr>
        <w:t>4.1 系统功能模块设计</w:t>
      </w:r>
    </w:p>
    <w:p w14:paraId="5BA46CED">
      <w:pPr>
        <w:keepNext w:val="0"/>
        <w:keepLines w:val="0"/>
        <w:widowControl/>
        <w:suppressLineNumbers w:val="0"/>
        <w:spacing w:beforeAutospacing="0" w:afterAutospacing="0"/>
        <w:ind w:firstLine="420" w:firstLineChars="0"/>
        <w:jc w:val="left"/>
        <w:rPr>
          <w:rFonts w:ascii="宋体" w:hAnsi="宋体" w:eastAsia="宋体" w:cs="宋体"/>
          <w:sz w:val="24"/>
          <w:szCs w:val="24"/>
        </w:rPr>
      </w:pPr>
      <w:r>
        <w:rPr>
          <w:rFonts w:ascii="宋体" w:hAnsi="宋体" w:eastAsia="宋体" w:cs="宋体"/>
          <w:sz w:val="24"/>
          <w:szCs w:val="24"/>
        </w:rPr>
        <w:t>本履约物流系统对复杂的供应链业务进行了合理的边界划分</w:t>
      </w:r>
      <w:r>
        <w:rPr>
          <w:rFonts w:hint="eastAsia" w:ascii="宋体" w:hAnsi="宋体" w:cs="宋体"/>
          <w:sz w:val="24"/>
          <w:szCs w:val="24"/>
          <w:lang w:eastAsia="zh-CN"/>
        </w:rPr>
        <w:t>，</w:t>
      </w:r>
      <w:r>
        <w:rPr>
          <w:rFonts w:ascii="宋体" w:hAnsi="宋体" w:eastAsia="宋体" w:cs="宋体"/>
          <w:sz w:val="24"/>
          <w:szCs w:val="24"/>
        </w:rPr>
        <w:t>系统划分为四大核心业务模块（OMS、ISC、WMS、</w:t>
      </w:r>
      <w:r>
        <w:rPr>
          <w:rFonts w:hint="eastAsia" w:ascii="宋体" w:hAnsi="宋体" w:cs="宋体"/>
          <w:sz w:val="24"/>
          <w:szCs w:val="24"/>
          <w:lang w:val="en-US" w:eastAsia="zh-CN"/>
        </w:rPr>
        <w:t>ISC</w:t>
      </w:r>
      <w:r>
        <w:rPr>
          <w:rFonts w:ascii="宋体" w:hAnsi="宋体" w:eastAsia="宋体" w:cs="宋体"/>
          <w:sz w:val="24"/>
          <w:szCs w:val="24"/>
        </w:rPr>
        <w:t>）。这种模块化设计不仅能够有效隔离各业务域的复杂性，还能针对不同模块的流量特征进行独立的水平扩展。</w:t>
      </w:r>
    </w:p>
    <w:p w14:paraId="19B612E1">
      <w:pPr>
        <w:keepNext w:val="0"/>
        <w:keepLines w:val="0"/>
        <w:widowControl/>
        <w:suppressLineNumbers w:val="0"/>
        <w:spacing w:beforeAutospacing="0" w:afterAutospacing="0" w:line="240" w:lineRule="auto"/>
        <w:ind w:firstLine="0" w:firstLineChars="0"/>
        <w:jc w:val="left"/>
      </w:pPr>
      <w:r>
        <w:drawing>
          <wp:inline distT="0" distB="0" distL="114300" distR="114300">
            <wp:extent cx="5929630" cy="2143125"/>
            <wp:effectExtent l="0" t="0" r="13970"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929630" cy="2143125"/>
                    </a:xfrm>
                    <a:prstGeom prst="rect">
                      <a:avLst/>
                    </a:prstGeom>
                    <a:noFill/>
                    <a:ln>
                      <a:noFill/>
                    </a:ln>
                  </pic:spPr>
                </pic:pic>
              </a:graphicData>
            </a:graphic>
          </wp:inline>
        </w:drawing>
      </w:r>
    </w:p>
    <w:p w14:paraId="09F8D23D">
      <w:pPr>
        <w:keepNext w:val="0"/>
        <w:keepLines w:val="0"/>
        <w:widowControl/>
        <w:suppressLineNumbers w:val="0"/>
        <w:spacing w:beforeAutospacing="0" w:afterAutospacing="0" w:line="240" w:lineRule="auto"/>
        <w:ind w:firstLine="420" w:firstLineChars="0"/>
        <w:jc w:val="left"/>
        <w:rPr>
          <w:rFonts w:hint="default" w:eastAsia="宋体"/>
          <w:lang w:val="en-US" w:eastAsia="zh-CN"/>
        </w:rPr>
      </w:pPr>
      <w:r>
        <w:rPr>
          <w:rFonts w:hint="eastAsia"/>
          <w:lang w:val="en-US" w:eastAsia="zh-CN"/>
        </w:rPr>
        <w:t>1）订单管理模块</w:t>
      </w:r>
      <w:bookmarkStart w:id="3" w:name="_GoBack"/>
      <w:bookmarkEnd w:id="3"/>
    </w:p>
    <w:p w14:paraId="456ABE79">
      <w:pPr>
        <w:keepNext w:val="0"/>
        <w:keepLines w:val="0"/>
        <w:widowControl/>
        <w:suppressLineNumbers w:val="0"/>
        <w:spacing w:beforeAutospacing="0" w:afterAutospacing="0" w:line="240" w:lineRule="auto"/>
        <w:ind w:firstLine="420" w:firstLineChars="0"/>
        <w:jc w:val="left"/>
      </w:pPr>
      <w:r>
        <w:t>订单管理模块主要负责接收上游交易订单，并协调后续履约流程，在供应链履约体系中承担订单调度与管理的功能。系统通过标准化接口接收来自电商平台或业务前台的销售订单，对订单参数进行校验并完成必要的数据转换，随后生成系统内部统一格式的履约主单以供后续处理。在订单处理过程中，系统会根据收件人地址、各仓库的实时库存情况以及不同承运商的运输时效和运费信息，对可选发货方案进行综合计算，从而选择在满足配送时效前提下成本相对较低的发货仓库。当单个仓库库存不足以满足订单全部商品需求时，系统会按照预设规则对订单进行拆分，生成多个子履约单</w:t>
      </w:r>
      <w:r>
        <w:rPr>
          <w:rFonts w:hint="eastAsia"/>
          <w:lang w:eastAsia="zh-CN"/>
        </w:rPr>
        <w:t>；</w:t>
      </w:r>
      <w:r>
        <w:t>对于同一用户在短时间内发往同一地址的多个订单，系统也可以在下发仓库前进行合并处理，以减少物流费用及包装材料消耗。</w:t>
      </w:r>
      <w:r>
        <w:rPr>
          <w:rFonts w:hint="eastAsia"/>
          <w:lang w:val="en-US" w:eastAsia="zh-CN"/>
        </w:rPr>
        <w:t>此外，</w:t>
      </w:r>
      <w:r>
        <w:t>系统还负责维护履约订单在整个履约过程中的状态变化，并通过消息队列向其他系统发布状态变更事件，以便相关模块进行后续处理。</w:t>
      </w:r>
    </w:p>
    <w:p w14:paraId="6167C318">
      <w:pPr>
        <w:keepNext w:val="0"/>
        <w:keepLines w:val="0"/>
        <w:widowControl/>
        <w:suppressLineNumbers w:val="0"/>
        <w:spacing w:beforeAutospacing="0" w:afterAutospacing="0" w:line="240" w:lineRule="auto"/>
        <w:ind w:firstLine="420" w:firstLineChars="0"/>
        <w:jc w:val="left"/>
        <w:rPr>
          <w:rFonts w:hint="default" w:eastAsia="宋体"/>
          <w:lang w:val="en-US" w:eastAsia="zh-CN"/>
        </w:rPr>
      </w:pPr>
      <w:r>
        <w:rPr>
          <w:rFonts w:hint="eastAsia"/>
          <w:lang w:val="en-US" w:eastAsia="zh-CN"/>
        </w:rPr>
        <w:t>2）全局库存中心模块</w:t>
      </w:r>
    </w:p>
    <w:p w14:paraId="0B6D6B7E">
      <w:pPr>
        <w:bidi w:val="0"/>
        <w:ind w:firstLine="420" w:firstLineChars="0"/>
      </w:pPr>
      <w:r>
        <w:t>全局库存中心用于提供统一且实时的库存数据视图，并在高并发交易场景下保证库存数据的一致性，从而避免出现超卖情况。系统通过对各仓库库存数据进行实时汇总，并结合已冻结库存以及预设的安全库存阈值，计算当前可用于订单分配的可承诺库存。在订单履约过程中，当OMS完成仓库选择后，系统会对指定SKU执行库存预占操作，通过分布式锁机制保证并发环境下库存操作的正确性；若后续因用户退款或其他业务异常导致订单取消，则通过异步补偿机制释放已冻结的库存。</w:t>
      </w:r>
      <w:r>
        <w:rPr>
          <w:rFonts w:hint="eastAsia"/>
          <w:lang w:val="en-US" w:eastAsia="zh-CN"/>
        </w:rPr>
        <w:t>此外</w:t>
      </w:r>
      <w:r>
        <w:t>，系统还会监听仓储管理系统发送的出库确认事件，在确认商品已完成实际出库后，将原有的库存预占状态转为实际库存扣减，并生成详细的库存变更记录，为后续财务核算与对账提供数据依据。</w:t>
      </w:r>
    </w:p>
    <w:p w14:paraId="54FB31AF">
      <w:pPr>
        <w:bidi w:val="0"/>
        <w:ind w:firstLine="420" w:firstLineChars="0"/>
        <w:rPr>
          <w:rFonts w:hint="default" w:eastAsia="宋体"/>
          <w:lang w:val="en-US" w:eastAsia="zh-CN"/>
        </w:rPr>
      </w:pPr>
      <w:r>
        <w:rPr>
          <w:rFonts w:hint="eastAsia"/>
          <w:lang w:val="en-US" w:eastAsia="zh-CN"/>
        </w:rPr>
        <w:t>3）仓储管理模块</w:t>
      </w:r>
    </w:p>
    <w:p w14:paraId="17EB0F4B">
      <w:pPr>
        <w:bidi w:val="0"/>
        <w:ind w:firstLine="420" w:firstLineChars="0"/>
        <w:rPr>
          <w:rFonts w:ascii="宋体" w:hAnsi="宋体" w:eastAsia="宋体" w:cs="宋体"/>
          <w:sz w:val="24"/>
          <w:szCs w:val="24"/>
        </w:rPr>
      </w:pPr>
      <w:r>
        <w:rPr>
          <w:rFonts w:ascii="宋体" w:hAnsi="宋体" w:eastAsia="宋体" w:cs="宋体"/>
          <w:sz w:val="24"/>
          <w:szCs w:val="24"/>
        </w:rPr>
        <w:t>仓储管理系统主要负责仓库内部作业流程的管理，将线上系统下发的履约指令转化为具体的仓储操作任务。系统在接收到OMS发送的履约订单后，会结合仓库内部的库区和库位布局生成相应的出库作业任务，并对任务进行统一管理。在拣货阶段，系统通过一定的策略将多个订单组合为拣货波次，并将任务下发至PDA等手持终端设备，以提高仓库作业效率。在分拣和打包环节，工作人员通过扫描商品条形码对商品种类和数量进行再次校验，以减少错发或漏发的情况，同时系统会根据商品体积信息推荐合适的包装材料。完成打包后，系统会打印物流面单并粘贴到包裹上，包裹经过电子秤称重后确认实际重量并计算相应运费，待包裹完成装车扫描后，订单状态被更新为“已出库”，并向上游系统发送相应的状态通知。</w:t>
      </w:r>
    </w:p>
    <w:p w14:paraId="4957E75B">
      <w:pPr>
        <w:bidi w:val="0"/>
        <w:ind w:firstLine="420" w:firstLineChars="0"/>
        <w:rPr>
          <w:rFonts w:hint="default" w:ascii="宋体" w:hAnsi="宋体" w:eastAsia="宋体" w:cs="宋体"/>
          <w:sz w:val="24"/>
          <w:szCs w:val="24"/>
          <w:lang w:val="en-US" w:eastAsia="zh-CN"/>
        </w:rPr>
      </w:pPr>
      <w:r>
        <w:rPr>
          <w:rFonts w:hint="eastAsia" w:ascii="宋体" w:hAnsi="宋体" w:cs="宋体"/>
          <w:sz w:val="24"/>
          <w:szCs w:val="24"/>
          <w:lang w:val="en-US" w:eastAsia="zh-CN"/>
        </w:rPr>
        <w:t>4）物流网关模块</w:t>
      </w:r>
    </w:p>
    <w:p w14:paraId="12B3F167">
      <w:pPr>
        <w:bidi w:val="0"/>
        <w:ind w:firstLine="420" w:firstLineChars="0"/>
        <w:rPr>
          <w:rFonts w:hint="eastAsia"/>
          <w:lang w:val="en-US" w:eastAsia="zh-CN"/>
        </w:rPr>
      </w:pPr>
      <w:r>
        <w:t>物流网关模块主要用于系统与第三方物流服务商之间的对接与统一管理，负责处理物流相关的数据交互与配送服务接入。系统维护各物流公司的配送范围及计费规则，包括首重与续重费用标准等信息，并根据订单配送地址及包裹信息选择合适的物流服务商。在运单处理方面，系统对主流物流公司的开放平台接口进行统一封装，屏蔽不同平台之间的接口差异，从而为WMS提供统一的运单号申请以及电子面单打印服务。在物流运输过程中，系统通过API轮询等方式获取物流节点信息，例如揽收、中转、派件以及签收等状态，并将这些信息同步到订单履约状态中，以保证物流信息的及时更新。当用户发起退款且包裹尚未实际交付给快递员时，系统还可以向WMS或物流公司发送拦截指令，从而避免不必要的发货及运输成本。</w:t>
      </w:r>
    </w:p>
    <w:p w14:paraId="2155AB47">
      <w:pPr>
        <w:pStyle w:val="4"/>
        <w:bidi w:val="0"/>
        <w:rPr>
          <w:rFonts w:hint="eastAsia"/>
          <w:lang w:val="en-US" w:eastAsia="zh-CN"/>
        </w:rPr>
      </w:pPr>
      <w:r>
        <w:rPr>
          <w:rFonts w:hint="eastAsia"/>
          <w:lang w:val="en-US" w:eastAsia="zh-CN"/>
        </w:rPr>
        <w:t>4.2 系统总体体系架构设计</w:t>
      </w:r>
    </w:p>
    <w:p w14:paraId="0D9FB0DA">
      <w:pPr>
        <w:bidi w:val="0"/>
        <w:ind w:firstLine="420" w:firstLineChars="0"/>
        <w:rPr>
          <w:rFonts w:hint="default"/>
          <w:lang w:val="en-US" w:eastAsia="zh-CN"/>
        </w:rPr>
      </w:pPr>
      <w:r>
        <w:t>在微服务内部架构的设计与实现过程中，本系统在结构划分上参考了领域驱动设计（Domain-Driven Design，DDD）的一些思想，对系统内部各层职责以及数据在不同层之间的流转方式进行了约束。但在具体实现上并未采用完整的充血模型，而仍然以传统分层架构和贫血模型为主，即领域对象主要用于数据承载，核心业务逻辑仍集中在服务层中完成。</w:t>
      </w:r>
      <w:r>
        <w:rPr>
          <w:rFonts w:hint="eastAsia"/>
          <w:lang w:val="en-US" w:eastAsia="zh-CN"/>
        </w:rPr>
        <w:t>系统详细分层设计如图所示。</w:t>
      </w:r>
    </w:p>
    <w:p w14:paraId="7ED7BE10">
      <w:pPr>
        <w:bidi w:val="0"/>
        <w:spacing w:line="240" w:lineRule="auto"/>
        <w:ind w:firstLine="0" w:firstLineChars="0"/>
        <w:rPr>
          <w:rFonts w:hint="eastAsia"/>
          <w:lang w:val="en-US" w:eastAsia="zh-CN"/>
        </w:rPr>
      </w:pPr>
      <w:r>
        <w:drawing>
          <wp:inline distT="0" distB="0" distL="114300" distR="114300">
            <wp:extent cx="5269865" cy="4072255"/>
            <wp:effectExtent l="0" t="0" r="317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9865" cy="4072255"/>
                    </a:xfrm>
                    <a:prstGeom prst="rect">
                      <a:avLst/>
                    </a:prstGeom>
                    <a:noFill/>
                    <a:ln>
                      <a:noFill/>
                    </a:ln>
                  </pic:spPr>
                </pic:pic>
              </a:graphicData>
            </a:graphic>
          </wp:inline>
        </w:drawing>
      </w:r>
    </w:p>
    <w:p w14:paraId="70A2DD29">
      <w:pPr>
        <w:keepNext w:val="0"/>
        <w:keepLines w:val="0"/>
        <w:widowControl/>
        <w:suppressLineNumbers w:val="0"/>
        <w:spacing w:beforeAutospacing="0" w:afterAutospacing="0"/>
        <w:ind w:firstLine="420" w:firstLineChars="0"/>
        <w:jc w:val="left"/>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1）表示层</w:t>
      </w:r>
    </w:p>
    <w:p w14:paraId="73C443AC">
      <w:pPr>
        <w:keepNext w:val="0"/>
        <w:keepLines w:val="0"/>
        <w:widowControl/>
        <w:suppressLineNumbers w:val="0"/>
        <w:spacing w:beforeAutospacing="0" w:afterAutospacing="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该层</w:t>
      </w:r>
      <w:r>
        <w:rPr>
          <w:rFonts w:ascii="宋体" w:hAnsi="宋体" w:eastAsia="宋体" w:cs="宋体"/>
          <w:sz w:val="24"/>
          <w:szCs w:val="24"/>
        </w:rPr>
        <w:t>主要负责对外提供网络访问接口，例如 RESTful API 或 RPC 服务等。为了避免系统内部模型直接暴露给外部调用方，该层在与外部系统进行数据交互时统一使用数据传输对象（DTO）。DTO 主要用于承载接口请求参数与返回结果，通过这种方式可以将系统内部的数据结构与外部接口进行隔离，降低外部调用对内部模型结构的影响。</w:t>
      </w:r>
    </w:p>
    <w:p w14:paraId="5E77ACF4">
      <w:pPr>
        <w:keepNext w:val="0"/>
        <w:keepLines w:val="0"/>
        <w:widowControl/>
        <w:numPr>
          <w:ilvl w:val="0"/>
          <w:numId w:val="0"/>
        </w:numPr>
        <w:suppressLineNumbers w:val="0"/>
        <w:spacing w:beforeAutospacing="0" w:afterAutospacing="0"/>
        <w:ind w:firstLine="420" w:firstLineChars="0"/>
        <w:jc w:val="left"/>
        <w:rPr>
          <w:rFonts w:hint="default" w:ascii="宋体" w:hAnsi="宋体" w:eastAsia="宋体" w:cs="宋体"/>
          <w:sz w:val="24"/>
          <w:szCs w:val="24"/>
          <w:lang w:val="en-US" w:eastAsia="zh-CN"/>
        </w:rPr>
      </w:pPr>
      <w:r>
        <w:rPr>
          <w:rFonts w:hint="eastAsia" w:ascii="宋体" w:hAnsi="宋体" w:cs="宋体"/>
          <w:sz w:val="24"/>
          <w:szCs w:val="24"/>
          <w:lang w:val="en-US" w:eastAsia="zh-CN"/>
        </w:rPr>
        <w:t>2）应用层</w:t>
      </w:r>
    </w:p>
    <w:p w14:paraId="06E499D7">
      <w:pPr>
        <w:keepNext w:val="0"/>
        <w:keepLines w:val="0"/>
        <w:widowControl/>
        <w:numPr>
          <w:ilvl w:val="0"/>
          <w:numId w:val="0"/>
        </w:numPr>
        <w:suppressLineNumbers w:val="0"/>
        <w:spacing w:beforeAutospacing="0" w:afterAutospacing="0"/>
        <w:ind w:firstLine="420" w:firstLineChars="0"/>
        <w:jc w:val="left"/>
        <w:rPr>
          <w:rFonts w:ascii="宋体" w:hAnsi="宋体" w:eastAsia="宋体" w:cs="宋体"/>
          <w:sz w:val="24"/>
          <w:szCs w:val="24"/>
        </w:rPr>
      </w:pPr>
      <w:r>
        <w:rPr>
          <w:rFonts w:ascii="宋体" w:hAnsi="宋体" w:eastAsia="宋体" w:cs="宋体"/>
          <w:sz w:val="24"/>
          <w:szCs w:val="24"/>
        </w:rPr>
        <w:t>应用层主要负责业务流程的组织与协调。在业务规模较大的情况下，应用服务通常需要对多个服务组件进行调用和组合，并负责统一处理事务控制、安全上下文以及调用流程管理等通用逻辑。该层会将接口层传入的 DTO 转换为系统内部使用的业务对象，再调用下层服务完成具体业务处理，从而在系统结构上起到承上启下的作用。</w:t>
      </w:r>
    </w:p>
    <w:p w14:paraId="1FD2EE7E">
      <w:pPr>
        <w:bidi w:val="0"/>
        <w:ind w:firstLine="420" w:firstLineChars="0"/>
        <w:rPr>
          <w:rFonts w:hint="default" w:eastAsia="宋体"/>
          <w:lang w:val="en-US" w:eastAsia="zh-CN"/>
        </w:rPr>
      </w:pPr>
      <w:r>
        <w:rPr>
          <w:rFonts w:hint="eastAsia"/>
          <w:lang w:val="en-US" w:eastAsia="zh-CN"/>
        </w:rPr>
        <w:t>3）领域层</w:t>
      </w:r>
    </w:p>
    <w:p w14:paraId="3E6E203D">
      <w:pPr>
        <w:bidi w:val="0"/>
        <w:ind w:firstLine="420" w:firstLineChars="0"/>
      </w:pPr>
      <w:r>
        <w:t>领域层用于组织与业务概念相关的数据结构与服务接口。由于系统整体采用贫血模型设计，领域对象（Domain Object，DO）主要承担业务数据载体的角色，而具体业务规则更多通过领域服务或业务服务实现。例如在履约相关业务中，订单、库存等对象主要用于描述业务状态，而涉及多对象协作的处理逻辑则在服务层中完成。通过这种方式，可以在保持代码结构清晰的同时降低领域模型实现复杂度。</w:t>
      </w:r>
    </w:p>
    <w:p w14:paraId="323FA62A">
      <w:pPr>
        <w:bidi w:val="0"/>
        <w:ind w:firstLine="420" w:firstLineChars="0"/>
        <w:rPr>
          <w:rFonts w:hint="default" w:eastAsia="宋体"/>
          <w:lang w:val="en-US" w:eastAsia="zh-CN"/>
        </w:rPr>
      </w:pPr>
      <w:r>
        <w:rPr>
          <w:rFonts w:hint="eastAsia"/>
          <w:lang w:val="en-US" w:eastAsia="zh-CN"/>
        </w:rPr>
        <w:t>4）基础设施层</w:t>
      </w:r>
    </w:p>
    <w:p w14:paraId="33227278">
      <w:pPr>
        <w:bidi w:val="0"/>
        <w:ind w:firstLine="420" w:firstLineChars="0"/>
        <w:rPr>
          <w:rFonts w:hint="eastAsia" w:ascii="黑体" w:hAnsi="黑体" w:eastAsia="黑体" w:cs="黑体"/>
          <w:b w:val="0"/>
          <w:bCs w:val="0"/>
          <w:color w:val="000000"/>
          <w:kern w:val="0"/>
          <w:sz w:val="30"/>
          <w:szCs w:val="30"/>
          <w:lang w:val="en-US" w:eastAsia="zh-CN" w:bidi="ar"/>
        </w:rPr>
      </w:pPr>
      <w:r>
        <w:t>基础设施层主要为系统提供底层技术支持，例如数据持久化、缓存访问以及外部系统调用等功能。该层通常包含资源库（Repository）的具体实现，用于将系统内部使用的业务对象转换为与数据库表结构对应的持久化对象（PO），并通过 MyBatis 等数据访问组件完成数据读写操作。此外，在系统需要调用其他微服务或外部系统时，也会在该层或独立组件中进行接口封装和适配，以减少外部系统变化对本系统内部结构的影响。</w:t>
      </w:r>
    </w:p>
    <w:p w14:paraId="63CD85D1">
      <w:pPr>
        <w:pStyle w:val="3"/>
        <w:bidi w:val="0"/>
        <w:rPr>
          <w:rFonts w:hint="eastAsia"/>
          <w:lang w:val="en-US" w:eastAsia="zh-CN"/>
        </w:rPr>
      </w:pPr>
      <w:r>
        <w:rPr>
          <w:rFonts w:hint="eastAsia"/>
          <w:lang w:val="en-US" w:eastAsia="zh-CN"/>
        </w:rPr>
        <w:t>4.2 领域层设计</w:t>
      </w:r>
    </w:p>
    <w:p w14:paraId="7011A31F">
      <w:pPr>
        <w:bidi w:val="0"/>
        <w:ind w:firstLine="420" w:firstLineChars="0"/>
      </w:pPr>
      <w:r>
        <w:t>在传统的面向对象设计以及典型的 MVC 架构中，系统中的领域对象往往只包含数据属性，而缺乏实际的业务行为，这种情况被称为“贫血模型”。在这种设计方式下，对象更多承担数据载体的角色，用于在控制层、服务层以及数据访问层之间传递信息，而具体的业务处理逻辑则集中在各类服务或控制器中完成。随着系统规模扩大，业务逻辑容易在不同模块中分散实现，导致代码结构逐渐变得复杂，也会在一定程度上增加系统维护的难度。在供应链履约这类涉及订单状态流转、库存变化以及物流协同的业务场景中，如果缺乏清晰的结构划分，不同模块之间对同一数据的操作可能会变得难以统一管理，从而增加系统维护和扩展的复杂度。当数据结构或业务规则发生调整时，往往需要对多个相关模块进行同步修改。</w:t>
      </w:r>
    </w:p>
    <w:p w14:paraId="0D1AED23">
      <w:pPr>
        <w:bidi w:val="0"/>
        <w:ind w:firstLine="420" w:firstLineChars="0"/>
      </w:pPr>
      <w:r>
        <w:t>为改善系统结构的可维护性，在系统设计过程中参考了领域驱动设计中的部分思想，对系统内部的业务模块进行了相对清晰的领域划分。例如，通过领域划分明确不同业务模块的职责边界，并借鉴聚合等概念对核心业务对象进行组织，以减少对象之间过度复杂的关联关系。同时，在系统结构设计中也参考了仓储（Repository）等模式，用于对数据访问过程进行一定程度的封装，从而降低业务逻辑与底层数据存储之间的耦合。不过在具体实现上，系统并未完全按照DDD的充血模型进行构建，而是继续采用较为常见的贫血模型结构，即领域对象主要用于描述业务数据状态，而核心业务处理逻辑仍然集中在服务层中实现。通过这种方式，在保持系统结构相对清晰的同时，也控制了实现复杂度，使系统更符合当前项目规模与开发条件。随后将对本履约物流系统中领域相关模块的设计进行进一步说明。</w:t>
      </w:r>
    </w:p>
    <w:p w14:paraId="728C9912">
      <w:pPr>
        <w:pStyle w:val="4"/>
        <w:bidi w:val="0"/>
        <w:rPr>
          <w:rFonts w:hint="eastAsia"/>
          <w:lang w:val="en-US" w:eastAsia="zh-CN"/>
        </w:rPr>
      </w:pPr>
      <w:r>
        <w:rPr>
          <w:rFonts w:hint="eastAsia"/>
          <w:lang w:val="en-US" w:eastAsia="zh-CN"/>
        </w:rPr>
        <w:t>4.2.1 领域模型类设计</w:t>
      </w:r>
    </w:p>
    <w:p w14:paraId="313D275E">
      <w:pPr>
        <w:bidi w:val="0"/>
        <w:ind w:firstLine="420" w:firstLineChars="0"/>
      </w:pPr>
      <w:r>
        <w:t>在本节中，将参考领域驱动设计中的一些基本概念，对履约物流领域中的主要业务对象进行建模，并在此基础上使用面向对象的方法将其设计为具体的类结构。本系统仅借鉴DDD中的部分建模思想来辅助进行领域划分和对象设计，在具体实现上仍然采用传统分层架构和贫血模型。</w:t>
      </w:r>
    </w:p>
    <w:p w14:paraId="2D8E618C">
      <w:pPr>
        <w:bidi w:val="0"/>
        <w:ind w:firstLine="420" w:firstLineChars="0"/>
      </w:pPr>
      <w:r>
        <w:t>在DDD中，实体（Entity）是指在领域中具有唯一标识的对象，这类对象通常具有较为明确的生命周期，其状态会随着业务流程的推进而发生变化，但其身份标识始终保持不变。在本系统中，履约主单可以被建模为实体对象。每一笔履约主单都具有唯一的标识，例如订单编号，并包含订单状态等相关属性。随着订单从创建到出库、签收等流程的推进，其状态可能发生变化，但订单编号始终保持不变，因此适合作为实体进行建模。</w:t>
      </w:r>
    </w:p>
    <w:p w14:paraId="74505FE3">
      <w:pPr>
        <w:bidi w:val="0"/>
        <w:ind w:firstLine="420" w:firstLineChars="0"/>
      </w:pPr>
      <w:r>
        <w:t>值对象（Value Object）通常不具有唯一标识，而是用于描述某些属性集合，其相等性一般由内部属性决定。在履约物流系统中，收件人信息可以作为值对象进行建模，例如姓名、联系电话和收货地址等信息。这些数据主要用于描述订单的配送目的地，不需要独立的身份标识，因此更适合作为值对象使用。</w:t>
      </w:r>
    </w:p>
    <w:p w14:paraId="6C843D6B">
      <w:pPr>
        <w:bidi w:val="0"/>
        <w:ind w:firstLine="420" w:firstLineChars="0"/>
        <w:rPr>
          <w:rFonts w:hint="eastAsia"/>
          <w:lang w:val="en-US" w:eastAsia="zh-CN"/>
        </w:rPr>
      </w:pPr>
      <w:r>
        <w:t>对基于微服务的供应链履约物流系统中的业务概念进行建模的结果如表 4-1 所示。</w:t>
      </w:r>
    </w:p>
    <w:tbl>
      <w:tblPr>
        <w:tblStyle w:val="12"/>
        <w:tblpPr w:leftFromText="181" w:rightFromText="181" w:topFromText="113" w:bottomFromText="113" w:vertAnchor="text" w:tblpXSpec="left" w:tblpY="1"/>
        <w:tblOverlap w:val="never"/>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57" w:type="dxa"/>
          <w:left w:w="113" w:type="dxa"/>
          <w:bottom w:w="57" w:type="dxa"/>
          <w:right w:w="113" w:type="dxa"/>
        </w:tblCellMar>
      </w:tblPr>
      <w:tblGrid>
        <w:gridCol w:w="1768"/>
        <w:gridCol w:w="1269"/>
        <w:gridCol w:w="3020"/>
        <w:gridCol w:w="3520"/>
      </w:tblGrid>
      <w:tr w14:paraId="6EFEA1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blHeader/>
        </w:trPr>
        <w:tc>
          <w:tcPr>
            <w:tcW w:w="923" w:type="pct"/>
            <w:tcBorders>
              <w:bottom w:val="single" w:color="000000" w:sz="6" w:space="0"/>
            </w:tcBorders>
            <w:shd w:val="clear" w:color="auto" w:fill="auto"/>
            <w:vAlign w:val="center"/>
          </w:tcPr>
          <w:p w14:paraId="54F727A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模型名称</w:t>
            </w:r>
          </w:p>
        </w:tc>
        <w:tc>
          <w:tcPr>
            <w:tcW w:w="662" w:type="pct"/>
            <w:tcBorders>
              <w:bottom w:val="single" w:color="000000" w:sz="6" w:space="0"/>
            </w:tcBorders>
            <w:shd w:val="clear" w:color="auto" w:fill="auto"/>
            <w:vAlign w:val="center"/>
          </w:tcPr>
          <w:p w14:paraId="506D357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模型类型</w:t>
            </w:r>
          </w:p>
        </w:tc>
        <w:tc>
          <w:tcPr>
            <w:tcW w:w="1576" w:type="pct"/>
            <w:tcBorders>
              <w:bottom w:val="single" w:color="000000" w:sz="6" w:space="0"/>
            </w:tcBorders>
            <w:shd w:val="clear" w:color="auto" w:fill="auto"/>
            <w:vAlign w:val="center"/>
          </w:tcPr>
          <w:p w14:paraId="58D20AA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对应的类</w:t>
            </w:r>
          </w:p>
        </w:tc>
        <w:tc>
          <w:tcPr>
            <w:tcW w:w="1837" w:type="pct"/>
            <w:tcBorders>
              <w:bottom w:val="single" w:color="000000" w:sz="6" w:space="0"/>
            </w:tcBorders>
            <w:shd w:val="clear" w:color="auto" w:fill="auto"/>
            <w:vAlign w:val="center"/>
          </w:tcPr>
          <w:p w14:paraId="1FF51A3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描述</w:t>
            </w:r>
          </w:p>
        </w:tc>
      </w:tr>
      <w:tr w14:paraId="4EEB1F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09B1F92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履约主单</w:t>
            </w:r>
          </w:p>
        </w:tc>
        <w:tc>
          <w:tcPr>
            <w:tcW w:w="662" w:type="pct"/>
            <w:shd w:val="clear" w:color="auto" w:fill="auto"/>
            <w:vAlign w:val="center"/>
          </w:tcPr>
          <w:p w14:paraId="0C625E6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0F5E8DF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FulfillmentOrder</w:t>
            </w:r>
          </w:p>
        </w:tc>
        <w:tc>
          <w:tcPr>
            <w:tcW w:w="1837" w:type="pct"/>
            <w:shd w:val="clear" w:color="auto" w:fill="auto"/>
            <w:vAlign w:val="center"/>
          </w:tcPr>
          <w:p w14:paraId="195025E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表示一个履约主单</w:t>
            </w:r>
          </w:p>
        </w:tc>
      </w:tr>
      <w:tr w14:paraId="22B2B6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4B9494C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履约单明细</w:t>
            </w:r>
          </w:p>
        </w:tc>
        <w:tc>
          <w:tcPr>
            <w:tcW w:w="662" w:type="pct"/>
            <w:shd w:val="clear" w:color="auto" w:fill="auto"/>
            <w:vAlign w:val="center"/>
          </w:tcPr>
          <w:p w14:paraId="41EE6E21">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7454232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FulfillmentOrderDetail</w:t>
            </w:r>
          </w:p>
        </w:tc>
        <w:tc>
          <w:tcPr>
            <w:tcW w:w="1837" w:type="pct"/>
            <w:shd w:val="clear" w:color="auto" w:fill="auto"/>
            <w:vAlign w:val="center"/>
          </w:tcPr>
          <w:p w14:paraId="70A3424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表示履约主单的一个明细项</w:t>
            </w:r>
          </w:p>
        </w:tc>
      </w:tr>
      <w:tr w14:paraId="083B25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55ACDF7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收件人信息</w:t>
            </w:r>
          </w:p>
        </w:tc>
        <w:tc>
          <w:tcPr>
            <w:tcW w:w="662" w:type="pct"/>
            <w:shd w:val="clear" w:color="auto" w:fill="auto"/>
            <w:vAlign w:val="center"/>
          </w:tcPr>
          <w:p w14:paraId="5DA4F4C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1B2F1CB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ReceiverInfo</w:t>
            </w:r>
          </w:p>
        </w:tc>
        <w:tc>
          <w:tcPr>
            <w:tcW w:w="1837" w:type="pct"/>
            <w:shd w:val="clear" w:color="auto" w:fill="auto"/>
            <w:vAlign w:val="center"/>
          </w:tcPr>
          <w:p w14:paraId="3194B37E">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表示履约单的收件人信息</w:t>
            </w:r>
          </w:p>
        </w:tc>
      </w:tr>
      <w:tr w14:paraId="0A2593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61400BB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路由寻源规则</w:t>
            </w:r>
          </w:p>
        </w:tc>
        <w:tc>
          <w:tcPr>
            <w:tcW w:w="662" w:type="pct"/>
            <w:shd w:val="clear" w:color="auto" w:fill="auto"/>
            <w:vAlign w:val="center"/>
          </w:tcPr>
          <w:p w14:paraId="1404FD7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6A5E75C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RoutingRule</w:t>
            </w:r>
          </w:p>
        </w:tc>
        <w:tc>
          <w:tcPr>
            <w:tcW w:w="1837" w:type="pct"/>
            <w:shd w:val="clear" w:color="auto" w:fill="auto"/>
            <w:vAlign w:val="center"/>
          </w:tcPr>
          <w:p w14:paraId="79D08FD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表示一个路由寻源规则</w:t>
            </w:r>
          </w:p>
        </w:tc>
      </w:tr>
      <w:tr w14:paraId="6427F7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4362E3A0">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全局库存</w:t>
            </w:r>
          </w:p>
        </w:tc>
        <w:tc>
          <w:tcPr>
            <w:tcW w:w="662" w:type="pct"/>
            <w:shd w:val="clear" w:color="auto" w:fill="auto"/>
            <w:vAlign w:val="center"/>
          </w:tcPr>
          <w:p w14:paraId="424ACCD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021C6CEB">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GlobalStock</w:t>
            </w:r>
          </w:p>
        </w:tc>
        <w:tc>
          <w:tcPr>
            <w:tcW w:w="1837" w:type="pct"/>
            <w:shd w:val="clear" w:color="auto" w:fill="auto"/>
            <w:vAlign w:val="center"/>
          </w:tcPr>
          <w:p w14:paraId="3ACE39BD">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表示仓库中的全局库存信息</w:t>
            </w:r>
          </w:p>
        </w:tc>
      </w:tr>
      <w:tr w14:paraId="3011A4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51AEE7D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库存预占记录</w:t>
            </w:r>
          </w:p>
        </w:tc>
        <w:tc>
          <w:tcPr>
            <w:tcW w:w="662" w:type="pct"/>
            <w:shd w:val="clear" w:color="auto" w:fill="auto"/>
            <w:vAlign w:val="center"/>
          </w:tcPr>
          <w:p w14:paraId="1D2DC4B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531A211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StockLockRecord</w:t>
            </w:r>
          </w:p>
        </w:tc>
        <w:tc>
          <w:tcPr>
            <w:tcW w:w="1837" w:type="pct"/>
            <w:shd w:val="clear" w:color="auto" w:fill="auto"/>
            <w:vAlign w:val="center"/>
          </w:tcPr>
          <w:p w14:paraId="6B00EF4B">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表示一条库存预占记录</w:t>
            </w:r>
          </w:p>
        </w:tc>
      </w:tr>
      <w:tr w14:paraId="173744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5D7036B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库存变更明细</w:t>
            </w:r>
          </w:p>
        </w:tc>
        <w:tc>
          <w:tcPr>
            <w:tcW w:w="662" w:type="pct"/>
            <w:shd w:val="clear" w:color="auto" w:fill="auto"/>
            <w:vAlign w:val="center"/>
          </w:tcPr>
          <w:p w14:paraId="029C5A9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518820D3">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StockLedger</w:t>
            </w:r>
          </w:p>
        </w:tc>
        <w:tc>
          <w:tcPr>
            <w:tcW w:w="1837" w:type="pct"/>
            <w:shd w:val="clear" w:color="auto" w:fill="auto"/>
            <w:vAlign w:val="center"/>
          </w:tcPr>
          <w:p w14:paraId="33C4A4D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表示一条库存变更明细</w:t>
            </w:r>
          </w:p>
        </w:tc>
      </w:tr>
      <w:tr w14:paraId="4664E7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2E80FB21">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出库波次单</w:t>
            </w:r>
          </w:p>
        </w:tc>
        <w:tc>
          <w:tcPr>
            <w:tcW w:w="662" w:type="pct"/>
            <w:shd w:val="clear" w:color="auto" w:fill="auto"/>
            <w:vAlign w:val="center"/>
          </w:tcPr>
          <w:p w14:paraId="33C4A220">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6AEB5547">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OutboundWave</w:t>
            </w:r>
          </w:p>
        </w:tc>
        <w:tc>
          <w:tcPr>
            <w:tcW w:w="1837" w:type="pct"/>
            <w:shd w:val="clear" w:color="auto" w:fill="auto"/>
            <w:vAlign w:val="center"/>
          </w:tcPr>
          <w:p w14:paraId="606BC77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表示一个出库波次单</w:t>
            </w:r>
          </w:p>
        </w:tc>
      </w:tr>
      <w:tr w14:paraId="6FF273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57FC9D3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出库任务单</w:t>
            </w:r>
          </w:p>
        </w:tc>
        <w:tc>
          <w:tcPr>
            <w:tcW w:w="662" w:type="pct"/>
            <w:shd w:val="clear" w:color="auto" w:fill="auto"/>
            <w:vAlign w:val="center"/>
          </w:tcPr>
          <w:p w14:paraId="58FBCCC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7E567848">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OutboundTask</w:t>
            </w:r>
          </w:p>
        </w:tc>
        <w:tc>
          <w:tcPr>
            <w:tcW w:w="1837" w:type="pct"/>
            <w:shd w:val="clear" w:color="auto" w:fill="auto"/>
            <w:vAlign w:val="center"/>
          </w:tcPr>
          <w:p w14:paraId="5CDC4397">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表示一个出库任务单</w:t>
            </w:r>
          </w:p>
        </w:tc>
      </w:tr>
      <w:tr w14:paraId="0D70EC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5EE8E79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出库任务明细</w:t>
            </w:r>
          </w:p>
        </w:tc>
        <w:tc>
          <w:tcPr>
            <w:tcW w:w="662" w:type="pct"/>
            <w:shd w:val="clear" w:color="auto" w:fill="auto"/>
            <w:vAlign w:val="center"/>
          </w:tcPr>
          <w:p w14:paraId="363DCFD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16CEB29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OutboundTaskDetail</w:t>
            </w:r>
          </w:p>
        </w:tc>
        <w:tc>
          <w:tcPr>
            <w:tcW w:w="1837" w:type="pct"/>
            <w:shd w:val="clear" w:color="auto" w:fill="auto"/>
            <w:vAlign w:val="center"/>
          </w:tcPr>
          <w:p w14:paraId="13107C8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表示出库任务单的一个明细项</w:t>
            </w:r>
          </w:p>
        </w:tc>
      </w:tr>
      <w:tr w14:paraId="46736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57" w:type="dxa"/>
            <w:left w:w="113" w:type="dxa"/>
            <w:bottom w:w="57" w:type="dxa"/>
            <w:right w:w="113" w:type="dxa"/>
          </w:tblCellMar>
        </w:tblPrEx>
        <w:trPr>
          <w:trHeight w:val="0" w:hRule="atLeast"/>
        </w:trPr>
        <w:tc>
          <w:tcPr>
            <w:tcW w:w="923" w:type="pct"/>
            <w:shd w:val="clear" w:color="auto" w:fill="auto"/>
            <w:vAlign w:val="center"/>
          </w:tcPr>
          <w:p w14:paraId="7D0194B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拣货单</w:t>
            </w:r>
          </w:p>
        </w:tc>
        <w:tc>
          <w:tcPr>
            <w:tcW w:w="662" w:type="pct"/>
            <w:shd w:val="clear" w:color="auto" w:fill="auto"/>
            <w:vAlign w:val="center"/>
          </w:tcPr>
          <w:p w14:paraId="6341C370">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01420526">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PickTask</w:t>
            </w:r>
          </w:p>
        </w:tc>
        <w:tc>
          <w:tcPr>
            <w:tcW w:w="1837" w:type="pct"/>
            <w:shd w:val="clear" w:color="auto" w:fill="auto"/>
            <w:vAlign w:val="center"/>
          </w:tcPr>
          <w:p w14:paraId="08CD7F7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表示一个拣货单</w:t>
            </w:r>
          </w:p>
        </w:tc>
      </w:tr>
      <w:tr w14:paraId="72E2A0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469D56FD">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物理包裹</w:t>
            </w:r>
          </w:p>
        </w:tc>
        <w:tc>
          <w:tcPr>
            <w:tcW w:w="662" w:type="pct"/>
            <w:shd w:val="clear" w:color="auto" w:fill="auto"/>
            <w:vAlign w:val="center"/>
          </w:tcPr>
          <w:p w14:paraId="189DB785">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4C1C101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PhysicalPackage</w:t>
            </w:r>
          </w:p>
        </w:tc>
        <w:tc>
          <w:tcPr>
            <w:tcW w:w="1837" w:type="pct"/>
            <w:shd w:val="clear" w:color="auto" w:fill="auto"/>
            <w:vAlign w:val="center"/>
          </w:tcPr>
          <w:p w14:paraId="1F0F649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表示一个物理包裹</w:t>
            </w:r>
          </w:p>
        </w:tc>
      </w:tr>
      <w:tr w14:paraId="547716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1844C0ED">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包装耗材</w:t>
            </w:r>
          </w:p>
        </w:tc>
        <w:tc>
          <w:tcPr>
            <w:tcW w:w="662" w:type="pct"/>
            <w:shd w:val="clear" w:color="auto" w:fill="auto"/>
            <w:vAlign w:val="center"/>
          </w:tcPr>
          <w:p w14:paraId="7A4D62C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24990C6E">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PackageMaterial</w:t>
            </w:r>
          </w:p>
        </w:tc>
        <w:tc>
          <w:tcPr>
            <w:tcW w:w="1837" w:type="pct"/>
            <w:shd w:val="clear" w:color="auto" w:fill="auto"/>
            <w:vAlign w:val="center"/>
          </w:tcPr>
          <w:p w14:paraId="1261B2D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表示一种包装耗材</w:t>
            </w:r>
          </w:p>
        </w:tc>
      </w:tr>
      <w:tr w14:paraId="5B7C51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6B974D2A">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物流运单</w:t>
            </w:r>
          </w:p>
        </w:tc>
        <w:tc>
          <w:tcPr>
            <w:tcW w:w="662" w:type="pct"/>
            <w:shd w:val="clear" w:color="auto" w:fill="auto"/>
            <w:vAlign w:val="center"/>
          </w:tcPr>
          <w:p w14:paraId="10CEBD02">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实体</w:t>
            </w:r>
          </w:p>
        </w:tc>
        <w:tc>
          <w:tcPr>
            <w:tcW w:w="1576" w:type="pct"/>
            <w:shd w:val="clear" w:color="auto" w:fill="auto"/>
            <w:vAlign w:val="center"/>
          </w:tcPr>
          <w:p w14:paraId="3FDBF93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Waybill</w:t>
            </w:r>
          </w:p>
        </w:tc>
        <w:tc>
          <w:tcPr>
            <w:tcW w:w="1837" w:type="pct"/>
            <w:shd w:val="clear" w:color="auto" w:fill="auto"/>
            <w:vAlign w:val="center"/>
          </w:tcPr>
          <w:p w14:paraId="6F38C79C">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表示一个物流运单</w:t>
            </w:r>
          </w:p>
        </w:tc>
      </w:tr>
      <w:tr w14:paraId="58EFB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57" w:type="dxa"/>
            <w:left w:w="113" w:type="dxa"/>
            <w:bottom w:w="57" w:type="dxa"/>
            <w:right w:w="113" w:type="dxa"/>
          </w:tblCellMar>
        </w:tblPrEx>
        <w:trPr>
          <w:trHeight w:val="0" w:hRule="atLeast"/>
        </w:trPr>
        <w:tc>
          <w:tcPr>
            <w:tcW w:w="923" w:type="pct"/>
            <w:shd w:val="clear" w:color="auto" w:fill="auto"/>
            <w:vAlign w:val="center"/>
          </w:tcPr>
          <w:p w14:paraId="5A8714C9">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物流轨迹</w:t>
            </w:r>
          </w:p>
        </w:tc>
        <w:tc>
          <w:tcPr>
            <w:tcW w:w="662" w:type="pct"/>
            <w:shd w:val="clear" w:color="auto" w:fill="auto"/>
            <w:vAlign w:val="center"/>
          </w:tcPr>
          <w:p w14:paraId="5DE1C78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值对象</w:t>
            </w:r>
          </w:p>
        </w:tc>
        <w:tc>
          <w:tcPr>
            <w:tcW w:w="1576" w:type="pct"/>
            <w:shd w:val="clear" w:color="auto" w:fill="auto"/>
            <w:vAlign w:val="center"/>
          </w:tcPr>
          <w:p w14:paraId="2F86C204">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LogisticsTrace</w:t>
            </w:r>
          </w:p>
        </w:tc>
        <w:tc>
          <w:tcPr>
            <w:tcW w:w="1837" w:type="pct"/>
            <w:shd w:val="clear" w:color="auto" w:fill="auto"/>
            <w:vAlign w:val="center"/>
          </w:tcPr>
          <w:p w14:paraId="6996DD5F">
            <w:pPr>
              <w:keepNext w:val="0"/>
              <w:keepLines w:val="0"/>
              <w:widowControl/>
              <w:suppressLineNumbers w:val="0"/>
              <w:bidi w:val="0"/>
              <w:spacing w:before="0" w:beforeAutospacing="0" w:after="0" w:afterAutospacing="0" w:line="240" w:lineRule="auto"/>
              <w:ind w:left="0" w:right="0"/>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表示一条物流轨迹信息</w:t>
            </w:r>
          </w:p>
        </w:tc>
      </w:tr>
    </w:tbl>
    <w:p w14:paraId="3E4313FA">
      <w:pPr>
        <w:bidi w:val="0"/>
        <w:ind w:firstLine="420" w:firstLineChars="0"/>
      </w:pPr>
      <w:r>
        <w:t>接下来对上述模型的关联关系进行分析。一个履约主单可以包含多种待发货商品，因此履约主单与履约单明细之间是一对多的关系。同时，一个履约主单只有一个确定的发货目的地，故履约主单与收件人信息是一对一的关系。</w:t>
      </w:r>
    </w:p>
    <w:p w14:paraId="241E9791">
      <w:pPr>
        <w:bidi w:val="0"/>
        <w:ind w:firstLine="420" w:firstLineChars="0"/>
      </w:pPr>
      <w:r>
        <w:t>对于库存操作，一条全局库存记录会随着多笔订单的并发调度产生多次库存锁定与实际扣减流水，因此全局库存与库存预占记录、库存变更明细之间是一对多的关系。</w:t>
      </w:r>
    </w:p>
    <w:p w14:paraId="38B5FFC7">
      <w:pPr>
        <w:bidi w:val="0"/>
      </w:pPr>
      <w:r>
        <w:t>在仓储作业过程中，为了提高拣选效率，一个出库波次单通常包含多个出库任务单，所以出库波次单与出库任务单是一对多的关系。一个出库任务单对应着具体的实物拣选动作，它包含多个出库任务明细，即一对多的关系。在实际作业执行时，一个出库任务单会被分配为一个独立的拣货单，两者是一对一的关系。在复核打包环节，一个出库任务单中的商品可能因为体积超限被拆分为多个包裹进行装箱，因此出库任务单和物理包裹是一对多的关系。</w:t>
      </w:r>
    </w:p>
    <w:p w14:paraId="0A66792F">
      <w:pPr>
        <w:bidi w:val="0"/>
        <w:ind w:firstLine="420" w:firstLineChars="0"/>
      </w:pPr>
      <w:r>
        <w:t>在物流交接环节，每一个物理包裹都对应且仅对应一张唯一的电子面单，故物理包裹与物流运单是一对一的关系。随着包裹发出，一个物流运单会在不同的时间点产生多个途经站点的轨迹记录，因此物流运单与物流轨迹之间是一对多的关系。</w:t>
      </w:r>
    </w:p>
    <w:p w14:paraId="19A9E9B1">
      <w:pPr>
        <w:bidi w:val="0"/>
        <w:ind w:firstLine="420" w:firstLineChars="0"/>
      </w:pPr>
      <w:r>
        <w:t>基于上述分析结果，得以绘制出领域模型类图，具体如图 4-4 所示。此图清晰地展示了领域模型中的各类实体及其相互关系，为后续的系统设计和实现提供了有力的支撑。</w:t>
      </w:r>
    </w:p>
    <w:p w14:paraId="664732B8">
      <w:pPr>
        <w:bidi w:val="0"/>
        <w:spacing w:line="240" w:lineRule="auto"/>
        <w:rPr>
          <w:rFonts w:hint="eastAsia"/>
        </w:rPr>
      </w:pPr>
      <w:r>
        <w:drawing>
          <wp:inline distT="0" distB="0" distL="114300" distR="114300">
            <wp:extent cx="5931535" cy="6457950"/>
            <wp:effectExtent l="0" t="0" r="12065"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5931535" cy="6457950"/>
                    </a:xfrm>
                    <a:prstGeom prst="rect">
                      <a:avLst/>
                    </a:prstGeom>
                    <a:noFill/>
                    <a:ln>
                      <a:noFill/>
                    </a:ln>
                  </pic:spPr>
                </pic:pic>
              </a:graphicData>
            </a:graphic>
          </wp:inline>
        </w:drawing>
      </w:r>
    </w:p>
    <w:p w14:paraId="242A7AD7">
      <w:pPr>
        <w:pStyle w:val="4"/>
        <w:bidi w:val="0"/>
        <w:rPr>
          <w:rFonts w:hint="eastAsia"/>
          <w:lang w:val="en-US" w:eastAsia="zh-CN"/>
        </w:rPr>
      </w:pPr>
      <w:r>
        <w:rPr>
          <w:rFonts w:hint="eastAsia"/>
          <w:lang w:val="en-US" w:eastAsia="zh-CN"/>
        </w:rPr>
        <w:t>4.2.2 领域服务的设计</w:t>
      </w:r>
    </w:p>
    <w:p w14:paraId="630F7ECA">
      <w:pPr>
        <w:bidi w:val="0"/>
        <w:ind w:firstLine="420" w:firstLineChars="0"/>
      </w:pPr>
      <w:r>
        <w:t>领域服务通常用于处理涉及多个业务对象的操作逻辑，它本身不保存业务状态，而是根据输入参数进行处理并返回结果。在本系统中，领域服务主要用于协调不同业务对象之间的协作，以及封装一些相对独立的业务处理过程。由于系统整体仍然采用贫血模型结构，因此领域对象主要用于表示业务数据，而具体处理逻辑仍主要由服务层完成，领域服务更多作为一种结构划分方式来组织相关业务功能。</w:t>
      </w:r>
    </w:p>
    <w:p w14:paraId="5F0BEDE9">
      <w:pPr>
        <w:bidi w:val="0"/>
        <w:ind w:firstLine="420" w:firstLineChars="0"/>
      </w:pPr>
      <w:r>
        <w:t>在履约物流系统中，根据不同业务模块的职责，设计了若干与业务处理相关的服务。例如，在订单履约模块中设计了智能寻源路由服务，用于在订单生成后根据仓库位置、库存情况以及物流配送信息等因素选择合适的发货仓库；在库存管理模块中设计了库存分配服务，用于处理库存检查和库存预占等操作；在仓储管理模块中设计了波次生成服务，用于将多个出库任务组合为拣货波次，以提高仓库作业效率；在物流相关模块中设计了承运商选择与运费计算服务（CarrierSelectionService），用于根据配送地址、重量以及物流规则选择合适的物流公司并计算运费。通过这种方式，可以在保持系统结构清晰的同时，对相关业务逻辑进行合理组织。</w:t>
      </w:r>
    </w:p>
    <w:p w14:paraId="7DF4F585">
      <w:pPr>
        <w:bidi w:val="0"/>
        <w:rPr>
          <w:rFonts w:hint="eastAsia"/>
        </w:rPr>
      </w:pPr>
    </w:p>
    <w:tbl>
      <w:tblPr>
        <w:tblStyle w:val="12"/>
        <w:tblW w:w="4994"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fixed"/>
        <w:tblCellMar>
          <w:top w:w="142" w:type="dxa"/>
          <w:left w:w="113" w:type="dxa"/>
          <w:bottom w:w="142" w:type="dxa"/>
          <w:right w:w="113" w:type="dxa"/>
        </w:tblCellMar>
      </w:tblPr>
      <w:tblGrid>
        <w:gridCol w:w="1651"/>
        <w:gridCol w:w="3304"/>
        <w:gridCol w:w="1252"/>
        <w:gridCol w:w="3364"/>
      </w:tblGrid>
      <w:tr w14:paraId="6B9A8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tblHeader/>
          <w:jc w:val="center"/>
        </w:trPr>
        <w:tc>
          <w:tcPr>
            <w:tcW w:w="862" w:type="pct"/>
            <w:tcBorders>
              <w:bottom w:val="single" w:color="000000" w:sz="6" w:space="0"/>
            </w:tcBorders>
            <w:shd w:val="clear" w:color="auto" w:fill="auto"/>
            <w:vAlign w:val="center"/>
          </w:tcPr>
          <w:p w14:paraId="132AD7E8">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服务名称</w:t>
            </w:r>
          </w:p>
        </w:tc>
        <w:tc>
          <w:tcPr>
            <w:tcW w:w="1726" w:type="pct"/>
            <w:tcBorders>
              <w:bottom w:val="single" w:color="000000" w:sz="6" w:space="0"/>
            </w:tcBorders>
            <w:shd w:val="clear" w:color="auto" w:fill="auto"/>
            <w:vAlign w:val="center"/>
          </w:tcPr>
          <w:p w14:paraId="509C33E3">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类名 (Class Name)</w:t>
            </w:r>
          </w:p>
        </w:tc>
        <w:tc>
          <w:tcPr>
            <w:tcW w:w="654" w:type="pct"/>
            <w:tcBorders>
              <w:bottom w:val="single" w:color="000000" w:sz="6" w:space="0"/>
            </w:tcBorders>
            <w:shd w:val="clear" w:color="auto" w:fill="auto"/>
            <w:vAlign w:val="center"/>
          </w:tcPr>
          <w:p w14:paraId="62912C12">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涉及聚合</w:t>
            </w:r>
          </w:p>
        </w:tc>
        <w:tc>
          <w:tcPr>
            <w:tcW w:w="1757" w:type="pct"/>
            <w:tcBorders>
              <w:bottom w:val="single" w:color="000000" w:sz="6" w:space="0"/>
            </w:tcBorders>
            <w:shd w:val="clear" w:color="auto" w:fill="auto"/>
            <w:vAlign w:val="center"/>
          </w:tcPr>
          <w:p w14:paraId="144A6777">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核心职责描述</w:t>
            </w:r>
          </w:p>
        </w:tc>
      </w:tr>
      <w:tr w14:paraId="25854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521330C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智能寻源服务</w:t>
            </w:r>
          </w:p>
        </w:tc>
        <w:tc>
          <w:tcPr>
            <w:tcW w:w="1726" w:type="pct"/>
            <w:shd w:val="clear" w:color="auto" w:fill="auto"/>
            <w:vAlign w:val="center"/>
          </w:tcPr>
          <w:p w14:paraId="4ABCAC23">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RoutingDecisionDomainService</w:t>
            </w:r>
          </w:p>
        </w:tc>
        <w:tc>
          <w:tcPr>
            <w:tcW w:w="654" w:type="pct"/>
            <w:shd w:val="clear" w:color="auto" w:fill="auto"/>
            <w:vAlign w:val="center"/>
          </w:tcPr>
          <w:p w14:paraId="65088FC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履约主单、全局库存</w:t>
            </w:r>
          </w:p>
        </w:tc>
        <w:tc>
          <w:tcPr>
            <w:tcW w:w="1757" w:type="pct"/>
            <w:shd w:val="clear" w:color="auto" w:fill="auto"/>
            <w:vAlign w:val="center"/>
          </w:tcPr>
          <w:p w14:paraId="53C80CCC">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基于距离、成本、库存因子的多维度分仓算法。</w:t>
            </w:r>
          </w:p>
        </w:tc>
      </w:tr>
      <w:tr w14:paraId="51BF50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2DFA51EB">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订单拆分服务</w:t>
            </w:r>
          </w:p>
        </w:tc>
        <w:tc>
          <w:tcPr>
            <w:tcW w:w="1726" w:type="pct"/>
            <w:shd w:val="clear" w:color="auto" w:fill="auto"/>
            <w:vAlign w:val="center"/>
          </w:tcPr>
          <w:p w14:paraId="6C320A6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OrderSplitDomainService</w:t>
            </w:r>
          </w:p>
        </w:tc>
        <w:tc>
          <w:tcPr>
            <w:tcW w:w="654" w:type="pct"/>
            <w:shd w:val="clear" w:color="auto" w:fill="auto"/>
            <w:vAlign w:val="center"/>
          </w:tcPr>
          <w:p w14:paraId="64BAEC35">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履约主单</w:t>
            </w:r>
          </w:p>
        </w:tc>
        <w:tc>
          <w:tcPr>
            <w:tcW w:w="1757" w:type="pct"/>
            <w:shd w:val="clear" w:color="auto" w:fill="auto"/>
            <w:vAlign w:val="center"/>
          </w:tcPr>
          <w:p w14:paraId="3F5A7A5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处理因库存不足、温层不同导致的父子订单拆分逻辑。</w:t>
            </w:r>
          </w:p>
        </w:tc>
      </w:tr>
      <w:tr w14:paraId="11610E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0A16F092">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安全库存推演服务</w:t>
            </w:r>
          </w:p>
        </w:tc>
        <w:tc>
          <w:tcPr>
            <w:tcW w:w="1726" w:type="pct"/>
            <w:shd w:val="clear" w:color="auto" w:fill="auto"/>
            <w:vAlign w:val="center"/>
          </w:tcPr>
          <w:p w14:paraId="1881989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SafetyStockDomainService</w:t>
            </w:r>
          </w:p>
        </w:tc>
        <w:tc>
          <w:tcPr>
            <w:tcW w:w="654" w:type="pct"/>
            <w:shd w:val="clear" w:color="auto" w:fill="auto"/>
            <w:vAlign w:val="center"/>
          </w:tcPr>
          <w:p w14:paraId="56C79EAA">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全局库存</w:t>
            </w:r>
          </w:p>
        </w:tc>
        <w:tc>
          <w:tcPr>
            <w:tcW w:w="1757" w:type="pct"/>
            <w:shd w:val="clear" w:color="auto" w:fill="auto"/>
            <w:vAlign w:val="center"/>
          </w:tcPr>
          <w:p w14:paraId="3FD8D49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动态计算大促期间的安全水位，防止超卖。</w:t>
            </w:r>
          </w:p>
        </w:tc>
      </w:tr>
      <w:tr w14:paraId="04819D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141116B5">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波次生成服务</w:t>
            </w:r>
          </w:p>
        </w:tc>
        <w:tc>
          <w:tcPr>
            <w:tcW w:w="1726" w:type="pct"/>
            <w:shd w:val="clear" w:color="auto" w:fill="auto"/>
            <w:vAlign w:val="center"/>
          </w:tcPr>
          <w:p w14:paraId="1F9134D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WaveGenerationDomainService</w:t>
            </w:r>
          </w:p>
        </w:tc>
        <w:tc>
          <w:tcPr>
            <w:tcW w:w="654" w:type="pct"/>
            <w:shd w:val="clear" w:color="auto" w:fill="auto"/>
            <w:vAlign w:val="center"/>
          </w:tcPr>
          <w:p w14:paraId="3795FD9D">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出库任务、出库波次</w:t>
            </w:r>
          </w:p>
        </w:tc>
        <w:tc>
          <w:tcPr>
            <w:tcW w:w="1757" w:type="pct"/>
            <w:shd w:val="clear" w:color="auto" w:fill="auto"/>
            <w:vAlign w:val="center"/>
          </w:tcPr>
          <w:p w14:paraId="16EE426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基于路径优化算法的任务聚类与波次划分。</w:t>
            </w:r>
          </w:p>
        </w:tc>
      </w:tr>
      <w:tr w14:paraId="292E9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42" w:type="dxa"/>
            <w:left w:w="113" w:type="dxa"/>
            <w:bottom w:w="142" w:type="dxa"/>
            <w:right w:w="113" w:type="dxa"/>
          </w:tblCellMar>
        </w:tblPrEx>
        <w:trPr>
          <w:trHeight w:val="0" w:hRule="atLeast"/>
          <w:jc w:val="center"/>
        </w:trPr>
        <w:tc>
          <w:tcPr>
            <w:tcW w:w="862" w:type="pct"/>
            <w:shd w:val="clear" w:color="auto" w:fill="auto"/>
            <w:vAlign w:val="center"/>
          </w:tcPr>
          <w:p w14:paraId="63F7BE2A">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承运商优选服务</w:t>
            </w:r>
          </w:p>
        </w:tc>
        <w:tc>
          <w:tcPr>
            <w:tcW w:w="1726" w:type="pct"/>
            <w:shd w:val="clear" w:color="auto" w:fill="auto"/>
            <w:vAlign w:val="center"/>
          </w:tcPr>
          <w:p w14:paraId="0D470FD9">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CarrierSelectionDomainService</w:t>
            </w:r>
          </w:p>
        </w:tc>
        <w:tc>
          <w:tcPr>
            <w:tcW w:w="654" w:type="pct"/>
            <w:shd w:val="clear" w:color="auto" w:fill="auto"/>
            <w:vAlign w:val="center"/>
          </w:tcPr>
          <w:p w14:paraId="2E8CB8CD">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物流运单、计费规则</w:t>
            </w:r>
          </w:p>
        </w:tc>
        <w:tc>
          <w:tcPr>
            <w:tcW w:w="1757" w:type="pct"/>
            <w:shd w:val="clear" w:color="auto" w:fill="auto"/>
            <w:vAlign w:val="center"/>
          </w:tcPr>
          <w:p w14:paraId="6F4562A1">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运费试算与最优物流渠道匹配。</w:t>
            </w:r>
          </w:p>
        </w:tc>
      </w:tr>
    </w:tbl>
    <w:p w14:paraId="23739971">
      <w:pPr>
        <w:spacing w:line="240" w:lineRule="auto"/>
      </w:pPr>
      <w:r>
        <w:t>为了清晰展示领域服务如何在系统中发挥的作用，以“履约智能分仓”流程为例，其协作逻辑如图所示。</w:t>
      </w:r>
    </w:p>
    <w:p w14:paraId="75ADFF35">
      <w:pPr>
        <w:spacing w:line="240" w:lineRule="auto"/>
        <w:rPr>
          <w:rFonts w:hint="eastAsia"/>
        </w:rPr>
      </w:pPr>
      <w:r>
        <w:drawing>
          <wp:inline distT="0" distB="0" distL="114300" distR="114300">
            <wp:extent cx="5930265" cy="5356225"/>
            <wp:effectExtent l="0" t="0" r="13335" b="1587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5"/>
                    <a:stretch>
                      <a:fillRect/>
                    </a:stretch>
                  </pic:blipFill>
                  <pic:spPr>
                    <a:xfrm>
                      <a:off x="0" y="0"/>
                      <a:ext cx="5930265" cy="5356225"/>
                    </a:xfrm>
                    <a:prstGeom prst="rect">
                      <a:avLst/>
                    </a:prstGeom>
                    <a:noFill/>
                    <a:ln>
                      <a:noFill/>
                    </a:ln>
                  </pic:spPr>
                </pic:pic>
              </a:graphicData>
            </a:graphic>
          </wp:inline>
        </w:drawing>
      </w:r>
    </w:p>
    <w:p w14:paraId="0211955C">
      <w:pPr>
        <w:pStyle w:val="4"/>
        <w:bidi w:val="0"/>
        <w:rPr>
          <w:rFonts w:hint="eastAsia"/>
          <w:lang w:val="en-US" w:eastAsia="zh-CN"/>
        </w:rPr>
      </w:pPr>
      <w:r>
        <w:rPr>
          <w:rFonts w:hint="eastAsia"/>
          <w:lang w:val="en-US" w:eastAsia="zh-CN"/>
        </w:rPr>
        <w:t>4.2.3 领域事件设计</w:t>
      </w:r>
    </w:p>
    <w:p w14:paraId="09E85A69">
      <w:pPr>
        <w:bidi w:val="0"/>
        <w:ind w:firstLine="420" w:firstLineChars="0"/>
      </w:pPr>
      <w:r>
        <w:t>在系统设计中，不同业务对象之间需要相互协作以完成完整的履约流程。在对系统中的主要业务对象进行划分后，如果对象之间通过大量直接引用进行交互，容易造成模块之间的耦合度过高。为降低这种耦合关系，在系统设计中引入了领域事件的概念。当系统中发生某些重要的业务变化或关键操作时，会产生相应的事件，并由其他模块根据需要进行处理。</w:t>
      </w:r>
    </w:p>
    <w:p w14:paraId="5680D3EE">
      <w:pPr>
        <w:bidi w:val="0"/>
        <w:ind w:firstLine="420" w:firstLineChars="0"/>
      </w:pPr>
      <w:r>
        <w:t>领域事件通常表示系统中已经发生的业务事实，例如订单创建、库存扣减或商品出库等。当这些事件发生时，系统会发布对应的事件信息，相关模块可以根据业务需要对这些事件进行监听并执行相应处理。通过这种方式，可以减少模块之间的直接依赖，使系统结构更加清晰。</w:t>
      </w:r>
    </w:p>
    <w:p w14:paraId="00E47DB2">
      <w:pPr>
        <w:bidi w:val="0"/>
        <w:ind w:firstLine="420" w:firstLineChars="0"/>
      </w:pPr>
      <w:r>
        <w:t>本系统的事件机制采用发布—订阅（Publish–Subscribe）模式，并结合本地事件与消息队列的方式实现。在微服务内部，对于一些只在服务内部处理的逻辑，例如订单生成后的日志记录或状态更新，系统使用 Spring 提供的事件机制进行处理，通过 ApplicationEventPublisher 发布事件，并由使用监听接口的组件进行处理。对于涉及多个微服务之间协作的业务，例如仓库完成发货后需要通知库存系统进行扣减，则通过消息队列进行事件传递。系统将事件信息发送到消息中间件中，由其他服务订阅并处理，从而实现服务之间的解耦。</w:t>
      </w:r>
    </w:p>
    <w:p w14:paraId="76626B8D">
      <w:pPr>
        <w:bidi w:val="0"/>
      </w:pPr>
      <w:r>
        <w:t>根据履约物流系统的业务流程特点，系统定义了一些与订单流转、库存变化以及仓储操作相关的核心领域事件，相关内容将在表中进行说明。</w:t>
      </w:r>
    </w:p>
    <w:p w14:paraId="250F14B3">
      <w:pPr>
        <w:rPr>
          <w:rFonts w:hint="eastAsia"/>
        </w:rPr>
      </w:pPr>
    </w:p>
    <w:tbl>
      <w:tblPr>
        <w:tblStyle w:val="12"/>
        <w:tblpPr w:leftFromText="181" w:rightFromText="181" w:topFromText="113" w:bottomFromText="113" w:vertAnchor="text" w:tblpXSpec="center" w:tblpY="1"/>
        <w:tblOverlap w:val="never"/>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13" w:type="dxa"/>
          <w:left w:w="113" w:type="dxa"/>
          <w:bottom w:w="113" w:type="dxa"/>
          <w:right w:w="113" w:type="dxa"/>
        </w:tblCellMar>
      </w:tblPr>
      <w:tblGrid>
        <w:gridCol w:w="2641"/>
        <w:gridCol w:w="1381"/>
        <w:gridCol w:w="2029"/>
        <w:gridCol w:w="3526"/>
      </w:tblGrid>
      <w:tr w14:paraId="656E24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tblHeader/>
          <w:jc w:val="center"/>
        </w:trPr>
        <w:tc>
          <w:tcPr>
            <w:tcW w:w="862" w:type="pct"/>
            <w:tcBorders>
              <w:bottom w:val="single" w:color="000000" w:sz="6" w:space="0"/>
            </w:tcBorders>
            <w:shd w:val="clear" w:color="auto" w:fill="auto"/>
            <w:vAlign w:val="center"/>
          </w:tcPr>
          <w:p w14:paraId="6A51045F">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事件名称 (Event Name)</w:t>
            </w:r>
          </w:p>
        </w:tc>
        <w:tc>
          <w:tcPr>
            <w:tcW w:w="794" w:type="pct"/>
            <w:tcBorders>
              <w:bottom w:val="single" w:color="000000" w:sz="6" w:space="0"/>
            </w:tcBorders>
            <w:shd w:val="clear" w:color="auto" w:fill="auto"/>
            <w:vAlign w:val="center"/>
          </w:tcPr>
          <w:p w14:paraId="32856BAB">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发布者 (Publisher)</w:t>
            </w:r>
          </w:p>
        </w:tc>
        <w:tc>
          <w:tcPr>
            <w:tcW w:w="1330" w:type="pct"/>
            <w:tcBorders>
              <w:bottom w:val="single" w:color="000000" w:sz="6" w:space="0"/>
            </w:tcBorders>
            <w:shd w:val="clear" w:color="auto" w:fill="auto"/>
            <w:vAlign w:val="center"/>
          </w:tcPr>
          <w:p w14:paraId="59D8FAE9">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触发时机 (Trigger)</w:t>
            </w:r>
          </w:p>
        </w:tc>
        <w:tc>
          <w:tcPr>
            <w:tcW w:w="2012" w:type="pct"/>
            <w:tcBorders>
              <w:bottom w:val="single" w:color="000000" w:sz="6" w:space="0"/>
            </w:tcBorders>
            <w:shd w:val="clear" w:color="auto" w:fill="auto"/>
            <w:vAlign w:val="center"/>
          </w:tcPr>
          <w:p w14:paraId="115A2343">
            <w:pPr>
              <w:jc w:val="center"/>
              <w:rPr>
                <w:rStyle w:val="15"/>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pPr>
            <w:r>
              <w:rPr>
                <w:rFonts w:hint="eastAsia" w:ascii="宋体" w:hAnsi="宋体" w:eastAsia="宋体" w:cs="宋体"/>
                <w:sz w:val="21"/>
                <w:szCs w:val="21"/>
                <w:lang w:val="en-US" w:eastAsia="zh-CN"/>
              </w:rPr>
              <w:t>订阅者与响应行为 (Subscriber &amp; Action)</w:t>
            </w:r>
          </w:p>
        </w:tc>
      </w:tr>
      <w:tr w14:paraId="0262F1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5F0DD6F2">
            <w:pPr>
              <w:jc w:val="center"/>
              <w:rPr>
                <w:rFonts w:hint="eastAsia" w:ascii="宋体" w:hAnsi="宋体" w:eastAsia="宋体" w:cs="宋体"/>
                <w:sz w:val="21"/>
                <w:szCs w:val="21"/>
              </w:rPr>
            </w:pPr>
            <w:r>
              <w:rPr>
                <w:rFonts w:hint="eastAsia" w:ascii="宋体" w:hAnsi="宋体" w:eastAsia="宋体" w:cs="宋体"/>
                <w:sz w:val="21"/>
                <w:szCs w:val="21"/>
              </w:rPr>
              <w:t>FulfillmentOrderCreated</w:t>
            </w:r>
          </w:p>
          <w:p w14:paraId="06F1FAD0">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(履约单已接入事件)</w:t>
            </w:r>
          </w:p>
        </w:tc>
        <w:tc>
          <w:tcPr>
            <w:tcW w:w="794" w:type="pct"/>
            <w:shd w:val="clear" w:color="auto" w:fill="auto"/>
            <w:vAlign w:val="center"/>
          </w:tcPr>
          <w:p w14:paraId="0DAD6FA1">
            <w:pPr>
              <w:jc w:val="center"/>
              <w:rPr>
                <w:rFonts w:hint="eastAsia" w:ascii="宋体" w:hAnsi="宋体" w:eastAsia="宋体" w:cs="宋体"/>
                <w:sz w:val="21"/>
                <w:szCs w:val="21"/>
              </w:rPr>
            </w:pPr>
            <w:r>
              <w:rPr>
                <w:rFonts w:hint="eastAsia" w:ascii="宋体" w:hAnsi="宋体" w:eastAsia="宋体" w:cs="宋体"/>
                <w:sz w:val="21"/>
                <w:szCs w:val="21"/>
              </w:rPr>
              <w:t>OMS</w:t>
            </w:r>
          </w:p>
          <w:p w14:paraId="225AABE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履约应用服务</w:t>
            </w:r>
          </w:p>
        </w:tc>
        <w:tc>
          <w:tcPr>
            <w:tcW w:w="1330" w:type="pct"/>
            <w:shd w:val="clear" w:color="auto" w:fill="auto"/>
            <w:vAlign w:val="center"/>
          </w:tcPr>
          <w:p w14:paraId="7B0C7DFC">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当上游订单成功接入并持久化为“待调度”状态时发布。</w:t>
            </w:r>
          </w:p>
        </w:tc>
        <w:tc>
          <w:tcPr>
            <w:tcW w:w="2012" w:type="pct"/>
            <w:shd w:val="clear" w:color="auto" w:fill="auto"/>
            <w:vAlign w:val="center"/>
          </w:tcPr>
          <w:p w14:paraId="6279675D">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OMS 路由服务： 触发智能分仓与拆单逻辑。系统日志组件： 记录接入审计日志。</w:t>
            </w:r>
          </w:p>
        </w:tc>
      </w:tr>
      <w:tr w14:paraId="1D5E8E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4F8A4E61">
            <w:pPr>
              <w:jc w:val="center"/>
              <w:rPr>
                <w:rFonts w:hint="eastAsia" w:ascii="宋体" w:hAnsi="宋体" w:eastAsia="宋体" w:cs="宋体"/>
                <w:sz w:val="21"/>
                <w:szCs w:val="21"/>
              </w:rPr>
            </w:pPr>
            <w:r>
              <w:rPr>
                <w:rFonts w:hint="eastAsia" w:ascii="宋体" w:hAnsi="宋体" w:eastAsia="宋体" w:cs="宋体"/>
                <w:sz w:val="21"/>
                <w:szCs w:val="21"/>
              </w:rPr>
              <w:t>InventoryLocked</w:t>
            </w:r>
          </w:p>
          <w:p w14:paraId="538AF8D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(库存已锁定事件)</w:t>
            </w:r>
          </w:p>
        </w:tc>
        <w:tc>
          <w:tcPr>
            <w:tcW w:w="794" w:type="pct"/>
            <w:shd w:val="clear" w:color="auto" w:fill="auto"/>
            <w:vAlign w:val="center"/>
          </w:tcPr>
          <w:p w14:paraId="069623DE">
            <w:pPr>
              <w:jc w:val="center"/>
              <w:rPr>
                <w:rFonts w:hint="eastAsia" w:ascii="宋体" w:hAnsi="宋体" w:eastAsia="宋体" w:cs="宋体"/>
                <w:sz w:val="21"/>
                <w:szCs w:val="21"/>
              </w:rPr>
            </w:pPr>
            <w:r>
              <w:rPr>
                <w:rFonts w:hint="eastAsia" w:ascii="宋体" w:hAnsi="宋体" w:eastAsia="宋体" w:cs="宋体"/>
                <w:sz w:val="21"/>
                <w:szCs w:val="21"/>
              </w:rPr>
              <w:t>ISC</w:t>
            </w:r>
          </w:p>
          <w:p w14:paraId="455D87B9">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库存应用服务</w:t>
            </w:r>
          </w:p>
        </w:tc>
        <w:tc>
          <w:tcPr>
            <w:tcW w:w="1330" w:type="pct"/>
            <w:shd w:val="clear" w:color="auto" w:fill="auto"/>
            <w:vAlign w:val="center"/>
          </w:tcPr>
          <w:p w14:paraId="37E614F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当库存中心完成 ATP 校验并成功生成预占流水后发布。</w:t>
            </w:r>
          </w:p>
        </w:tc>
        <w:tc>
          <w:tcPr>
            <w:tcW w:w="2012" w:type="pct"/>
            <w:shd w:val="clear" w:color="auto" w:fill="auto"/>
            <w:vAlign w:val="center"/>
          </w:tcPr>
          <w:p w14:paraId="23585944">
            <w:pPr>
              <w:jc w:val="center"/>
              <w:rPr>
                <w:rFonts w:hint="eastAsia" w:ascii="宋体" w:hAnsi="宋体" w:eastAsia="宋体" w:cs="宋体"/>
                <w:sz w:val="21"/>
                <w:szCs w:val="21"/>
              </w:rPr>
            </w:pPr>
            <w:r>
              <w:rPr>
                <w:rFonts w:hint="eastAsia" w:ascii="宋体" w:hAnsi="宋体" w:eastAsia="宋体" w:cs="宋体"/>
                <w:sz w:val="21"/>
                <w:szCs w:val="21"/>
              </w:rPr>
              <w:t>OMS 履约服务： 将订单状态流转为“已下发”，并生成下发指令。</w:t>
            </w:r>
          </w:p>
          <w:p w14:paraId="63BC2D27">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WMS 接入服务： 预加载任务数据。</w:t>
            </w:r>
          </w:p>
        </w:tc>
      </w:tr>
      <w:tr w14:paraId="20330D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18F0D95F">
            <w:pPr>
              <w:jc w:val="center"/>
              <w:rPr>
                <w:rFonts w:hint="eastAsia" w:ascii="宋体" w:hAnsi="宋体" w:eastAsia="宋体" w:cs="宋体"/>
                <w:sz w:val="21"/>
                <w:szCs w:val="21"/>
              </w:rPr>
            </w:pPr>
            <w:r>
              <w:rPr>
                <w:rFonts w:hint="eastAsia" w:ascii="宋体" w:hAnsi="宋体" w:eastAsia="宋体" w:cs="宋体"/>
                <w:sz w:val="21"/>
                <w:szCs w:val="21"/>
              </w:rPr>
              <w:t>OrderDispatched</w:t>
            </w:r>
          </w:p>
          <w:p w14:paraId="32E27AF9">
            <w:pPr>
              <w:jc w:val="both"/>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(履约指令已下发事件)</w:t>
            </w:r>
          </w:p>
        </w:tc>
        <w:tc>
          <w:tcPr>
            <w:tcW w:w="794" w:type="pct"/>
            <w:shd w:val="clear" w:color="auto" w:fill="auto"/>
            <w:vAlign w:val="center"/>
          </w:tcPr>
          <w:p w14:paraId="4E659A55">
            <w:pPr>
              <w:jc w:val="center"/>
              <w:rPr>
                <w:rFonts w:hint="eastAsia" w:ascii="宋体" w:hAnsi="宋体" w:eastAsia="宋体" w:cs="宋体"/>
                <w:sz w:val="21"/>
                <w:szCs w:val="21"/>
              </w:rPr>
            </w:pPr>
            <w:r>
              <w:rPr>
                <w:rFonts w:hint="eastAsia" w:ascii="宋体" w:hAnsi="宋体" w:eastAsia="宋体" w:cs="宋体"/>
                <w:sz w:val="21"/>
                <w:szCs w:val="21"/>
              </w:rPr>
              <w:t>OMS</w:t>
            </w:r>
          </w:p>
          <w:p w14:paraId="0A4FDAB4">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履约应用服务</w:t>
            </w:r>
          </w:p>
        </w:tc>
        <w:tc>
          <w:tcPr>
            <w:tcW w:w="1330" w:type="pct"/>
            <w:shd w:val="clear" w:color="auto" w:fill="auto"/>
            <w:vAlign w:val="center"/>
          </w:tcPr>
          <w:p w14:paraId="7A8AB8EB">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当订单完成分仓且库存锁定成功，正式推送到仓储前发布。</w:t>
            </w:r>
          </w:p>
        </w:tc>
        <w:tc>
          <w:tcPr>
            <w:tcW w:w="2012" w:type="pct"/>
            <w:shd w:val="clear" w:color="auto" w:fill="auto"/>
            <w:vAlign w:val="center"/>
          </w:tcPr>
          <w:p w14:paraId="69DCA722">
            <w:pPr>
              <w:jc w:val="center"/>
              <w:rPr>
                <w:rFonts w:hint="eastAsia" w:ascii="宋体" w:hAnsi="宋体" w:eastAsia="宋体" w:cs="宋体"/>
                <w:sz w:val="21"/>
                <w:szCs w:val="21"/>
              </w:rPr>
            </w:pPr>
            <w:r>
              <w:rPr>
                <w:rFonts w:hint="eastAsia" w:ascii="宋体" w:hAnsi="宋体" w:eastAsia="宋体" w:cs="宋体"/>
                <w:sz w:val="21"/>
                <w:szCs w:val="21"/>
              </w:rPr>
              <w:t>WMS 波次服务： 将该订单加入待处理池，用于生成波次。</w:t>
            </w:r>
          </w:p>
          <w:p w14:paraId="384A0CD3">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TMS 运单服务： 预获取电子面单号。</w:t>
            </w:r>
          </w:p>
        </w:tc>
      </w:tr>
      <w:tr w14:paraId="1922D7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67979845">
            <w:pPr>
              <w:jc w:val="center"/>
              <w:rPr>
                <w:rFonts w:hint="eastAsia" w:ascii="宋体" w:hAnsi="宋体" w:eastAsia="宋体" w:cs="宋体"/>
                <w:sz w:val="21"/>
                <w:szCs w:val="21"/>
              </w:rPr>
            </w:pPr>
            <w:r>
              <w:rPr>
                <w:rFonts w:hint="eastAsia" w:ascii="宋体" w:hAnsi="宋体" w:eastAsia="宋体" w:cs="宋体"/>
                <w:sz w:val="21"/>
                <w:szCs w:val="21"/>
              </w:rPr>
              <w:t>PackageOutbound</w:t>
            </w:r>
          </w:p>
          <w:p w14:paraId="3220316A">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(包裹已出库事件)</w:t>
            </w:r>
          </w:p>
        </w:tc>
        <w:tc>
          <w:tcPr>
            <w:tcW w:w="794" w:type="pct"/>
            <w:shd w:val="clear" w:color="auto" w:fill="auto"/>
            <w:vAlign w:val="center"/>
          </w:tcPr>
          <w:p w14:paraId="65A86275">
            <w:pPr>
              <w:jc w:val="center"/>
              <w:rPr>
                <w:rFonts w:hint="eastAsia" w:ascii="宋体" w:hAnsi="宋体" w:eastAsia="宋体" w:cs="宋体"/>
                <w:sz w:val="21"/>
                <w:szCs w:val="21"/>
              </w:rPr>
            </w:pPr>
            <w:r>
              <w:rPr>
                <w:rFonts w:hint="eastAsia" w:ascii="宋体" w:hAnsi="宋体" w:eastAsia="宋体" w:cs="宋体"/>
                <w:sz w:val="21"/>
                <w:szCs w:val="21"/>
              </w:rPr>
              <w:t>WMS</w:t>
            </w:r>
          </w:p>
          <w:p w14:paraId="437DA52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仓储作业服务</w:t>
            </w:r>
          </w:p>
        </w:tc>
        <w:tc>
          <w:tcPr>
            <w:tcW w:w="1330" w:type="pct"/>
            <w:shd w:val="clear" w:color="auto" w:fill="auto"/>
            <w:vAlign w:val="center"/>
          </w:tcPr>
          <w:p w14:paraId="1C8DA631">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当仓库完成打包、称重并与快递员交接扫描后发布。</w:t>
            </w:r>
          </w:p>
        </w:tc>
        <w:tc>
          <w:tcPr>
            <w:tcW w:w="2012" w:type="pct"/>
            <w:shd w:val="clear" w:color="auto" w:fill="auto"/>
            <w:vAlign w:val="center"/>
          </w:tcPr>
          <w:p w14:paraId="7E7C1214">
            <w:pPr>
              <w:jc w:val="center"/>
              <w:rPr>
                <w:rFonts w:hint="eastAsia" w:ascii="宋体" w:hAnsi="宋体" w:eastAsia="宋体" w:cs="宋体"/>
                <w:sz w:val="21"/>
                <w:szCs w:val="21"/>
              </w:rPr>
            </w:pPr>
            <w:r>
              <w:rPr>
                <w:rFonts w:hint="eastAsia" w:ascii="宋体" w:hAnsi="宋体" w:eastAsia="宋体" w:cs="宋体"/>
                <w:sz w:val="21"/>
                <w:szCs w:val="21"/>
              </w:rPr>
              <w:t>ISC 库存服务： 将“预占库存”转化为“实扣库存”。</w:t>
            </w:r>
          </w:p>
          <w:p w14:paraId="6852D5AE">
            <w:pPr>
              <w:jc w:val="center"/>
              <w:rPr>
                <w:rFonts w:hint="eastAsia" w:ascii="宋体" w:hAnsi="宋体" w:eastAsia="宋体" w:cs="宋体"/>
                <w:sz w:val="21"/>
                <w:szCs w:val="21"/>
              </w:rPr>
            </w:pPr>
            <w:r>
              <w:rPr>
                <w:rFonts w:hint="eastAsia" w:ascii="宋体" w:hAnsi="宋体" w:eastAsia="宋体" w:cs="宋体"/>
                <w:sz w:val="21"/>
                <w:szCs w:val="21"/>
              </w:rPr>
              <w:t>TMS 轨迹服务： 激活物流轨迹追踪。</w:t>
            </w:r>
          </w:p>
          <w:p w14:paraId="47C0992F">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OMS 履约服务： 回调上游电商平台通知发货。</w:t>
            </w:r>
          </w:p>
        </w:tc>
      </w:tr>
      <w:tr w14:paraId="48CA23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13" w:type="dxa"/>
            <w:left w:w="113" w:type="dxa"/>
            <w:bottom w:w="113" w:type="dxa"/>
            <w:right w:w="113" w:type="dxa"/>
          </w:tblCellMar>
        </w:tblPrEx>
        <w:trPr>
          <w:trHeight w:val="0" w:hRule="atLeast"/>
          <w:jc w:val="center"/>
        </w:trPr>
        <w:tc>
          <w:tcPr>
            <w:tcW w:w="862" w:type="pct"/>
            <w:shd w:val="clear" w:color="auto" w:fill="auto"/>
            <w:vAlign w:val="center"/>
          </w:tcPr>
          <w:p w14:paraId="361E18F0">
            <w:pPr>
              <w:jc w:val="center"/>
              <w:rPr>
                <w:rFonts w:hint="eastAsia" w:ascii="宋体" w:hAnsi="宋体" w:eastAsia="宋体" w:cs="宋体"/>
                <w:sz w:val="21"/>
                <w:szCs w:val="21"/>
              </w:rPr>
            </w:pPr>
            <w:r>
              <w:rPr>
                <w:rFonts w:hint="eastAsia" w:ascii="宋体" w:hAnsi="宋体" w:eastAsia="宋体" w:cs="宋体"/>
                <w:sz w:val="21"/>
                <w:szCs w:val="21"/>
              </w:rPr>
              <w:t>DeliverySigned</w:t>
            </w:r>
          </w:p>
          <w:p w14:paraId="6A007508">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(包裹已签收事件)</w:t>
            </w:r>
          </w:p>
        </w:tc>
        <w:tc>
          <w:tcPr>
            <w:tcW w:w="794" w:type="pct"/>
            <w:shd w:val="clear" w:color="auto" w:fill="auto"/>
            <w:vAlign w:val="center"/>
          </w:tcPr>
          <w:p w14:paraId="74795E94">
            <w:pPr>
              <w:jc w:val="center"/>
              <w:rPr>
                <w:rFonts w:hint="eastAsia" w:ascii="宋体" w:hAnsi="宋体" w:eastAsia="宋体" w:cs="宋体"/>
                <w:sz w:val="21"/>
                <w:szCs w:val="21"/>
              </w:rPr>
            </w:pPr>
            <w:r>
              <w:rPr>
                <w:rFonts w:hint="eastAsia" w:ascii="宋体" w:hAnsi="宋体" w:eastAsia="宋体" w:cs="宋体"/>
                <w:sz w:val="21"/>
                <w:szCs w:val="21"/>
              </w:rPr>
              <w:t>TMS</w:t>
            </w:r>
          </w:p>
          <w:p w14:paraId="4C385F99">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rPr>
              <w:t>物流轨迹服务</w:t>
            </w:r>
          </w:p>
        </w:tc>
        <w:tc>
          <w:tcPr>
            <w:tcW w:w="1330" w:type="pct"/>
            <w:shd w:val="clear" w:color="auto" w:fill="auto"/>
            <w:vAlign w:val="center"/>
          </w:tcPr>
          <w:p w14:paraId="7634CD6C">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当接收到快递公司回传的“已签收”轨迹节点时发布。</w:t>
            </w:r>
          </w:p>
        </w:tc>
        <w:tc>
          <w:tcPr>
            <w:tcW w:w="2012" w:type="pct"/>
            <w:shd w:val="clear" w:color="auto" w:fill="auto"/>
            <w:vAlign w:val="center"/>
          </w:tcPr>
          <w:p w14:paraId="75F51976">
            <w:pPr>
              <w:jc w:val="center"/>
              <w:rPr>
                <w:rFonts w:hint="eastAsia" w:ascii="宋体" w:hAnsi="宋体" w:eastAsia="宋体" w:cs="宋体"/>
                <w:kern w:val="0"/>
                <w:sz w:val="21"/>
                <w:szCs w:val="21"/>
                <w:lang w:val="en-US" w:eastAsia="zh-CN" w:bidi="ar-SA"/>
              </w:rPr>
            </w:pPr>
            <w:r>
              <w:rPr>
                <w:rFonts w:hint="eastAsia" w:ascii="宋体" w:hAnsi="宋体" w:eastAsia="宋体" w:cs="宋体"/>
                <w:sz w:val="21"/>
                <w:szCs w:val="21"/>
                <w:lang w:val="en-US" w:eastAsia="zh-CN"/>
              </w:rPr>
              <w:t>OMS 履约服务： 更新主单状态为“已完成”，触发财务结算流程。</w:t>
            </w:r>
          </w:p>
        </w:tc>
      </w:tr>
    </w:tbl>
    <w:p w14:paraId="5E3383DE">
      <w:pPr>
        <w:bidi w:val="0"/>
        <w:ind w:firstLine="420" w:firstLineChars="0"/>
      </w:pPr>
      <w:r>
        <w:t>通过引入领域事件机制，系统中不同模块之间的依赖关系得到一定程度的降低，各业务模块只需关注自身状态变化并发布相应事件，而具体的后续处理逻辑则由其他模块根据需要进行订阅和处理。这种方式有助于减少模块之间的直接调用关系，使系统结构更加清晰，也便于后续功能扩展。</w:t>
      </w:r>
    </w:p>
    <w:p w14:paraId="78F5F219">
      <w:pPr>
        <w:bidi w:val="0"/>
        <w:ind w:firstLine="420" w:firstLineChars="0"/>
      </w:pPr>
      <w:r>
        <w:t>在系统扩展方面，事件机制可以减少对已有代码的修改。例如在后续系统迭代中，如果需要新增一个用于展示发货情况的监控服务，该服务只需订阅“包裹已出库”等相关事件即可获取数据，而不需要修改仓储系统中的原有出库逻辑，从而降低对现有系统的影响。</w:t>
      </w:r>
    </w:p>
    <w:p w14:paraId="649A3D0B">
      <w:pPr>
        <w:bidi w:val="0"/>
        <w:ind w:firstLine="420" w:firstLineChars="0"/>
      </w:pPr>
      <w:r>
        <w:t>同时，事件驱动方式也可以在一定程度上优化系统的处理流程。原本需要通过同步调用完成的一些业务步骤，可以通过事件通知的方式进行拆分处理。例如在仓储系统完成出库操作后，只需发布对应的出库事件即可继续处理下一条作业任务，而库存更新或物流状态同步等操作可以由其他模块在接收到事件后进行处理，从而减少同步等待带来的性能影响。图4-6展示了“包裹已出库事件”在系统各模块之间的流转过程，说明了事件在不同服务之间的发布与订阅关系。</w:t>
      </w:r>
    </w:p>
    <w:p w14:paraId="516B468C">
      <w:pPr>
        <w:spacing w:line="240" w:lineRule="auto"/>
        <w:rPr>
          <w:rFonts w:hint="eastAsia"/>
        </w:rPr>
      </w:pPr>
      <w:r>
        <w:drawing>
          <wp:inline distT="0" distB="0" distL="114300" distR="114300">
            <wp:extent cx="5935980" cy="4347210"/>
            <wp:effectExtent l="0" t="0" r="7620" b="152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935980" cy="4347210"/>
                    </a:xfrm>
                    <a:prstGeom prst="rect">
                      <a:avLst/>
                    </a:prstGeom>
                    <a:noFill/>
                    <a:ln>
                      <a:noFill/>
                    </a:ln>
                  </pic:spPr>
                </pic:pic>
              </a:graphicData>
            </a:graphic>
          </wp:inline>
        </w:drawing>
      </w:r>
    </w:p>
    <w:p w14:paraId="16BA38A0">
      <w:pPr>
        <w:pStyle w:val="3"/>
        <w:bidi w:val="0"/>
        <w:rPr>
          <w:rFonts w:hint="eastAsia"/>
          <w:lang w:val="en-US" w:eastAsia="zh-CN"/>
        </w:rPr>
      </w:pPr>
      <w:r>
        <w:rPr>
          <w:rFonts w:hint="eastAsia"/>
          <w:lang w:val="en-US" w:eastAsia="zh-CN"/>
        </w:rPr>
        <w:t>4.3 应用层设计</w:t>
      </w:r>
    </w:p>
    <w:p w14:paraId="4FBB66F1">
      <w:pPr>
        <w:bidi w:val="0"/>
        <w:ind w:firstLine="420" w:firstLineChars="0"/>
      </w:pPr>
      <w:r>
        <w:t>应用层通过提供应用服来暴露系统的核心业务功能给表示层，是领域层和表示层之间的桥梁。它主要负责协调这两层之间的交互，确保外部的用户请求或系统调用能够正确地被领域层处理，并将处理结果转化为 DTO 返回给表示层。应用层本身不包含复杂的业务规则，而是关注于将用户请求转化为领域层可以理解的操作序列（即任务编排），负责将复杂的履约流程拆分成多个简单的步骤，并统筹事务管理、权限校验，最后调用领域层中的服务或聚合实体来执行这些步骤。</w:t>
      </w:r>
    </w:p>
    <w:p w14:paraId="44CBBD00">
      <w:pPr>
        <w:bidi w:val="0"/>
        <w:ind w:firstLine="420" w:firstLineChars="0"/>
        <w:rPr>
          <w:rFonts w:hint="eastAsia" w:eastAsia="宋体"/>
          <w:lang w:eastAsia="zh-CN"/>
        </w:rPr>
      </w:pPr>
      <w:r>
        <w:t>结合本供应链履约物流系统的四大核心上下文（OMS、ISC、WMS、TMS），接下来对应用服务在核心履约流程中的协调机制进行详细分析</w:t>
      </w:r>
      <w:r>
        <w:rPr>
          <w:rFonts w:hint="eastAsia"/>
          <w:lang w:eastAsia="zh-CN"/>
        </w:rPr>
        <w:t>。</w:t>
      </w:r>
    </w:p>
    <w:p w14:paraId="38DB91B4">
      <w:pPr>
        <w:pStyle w:val="4"/>
        <w:bidi w:val="0"/>
      </w:pPr>
      <w:r>
        <w:rPr>
          <w:rFonts w:hint="eastAsia"/>
          <w:lang w:val="en-US" w:eastAsia="zh-CN"/>
        </w:rPr>
        <w:t xml:space="preserve">4.3.1 </w:t>
      </w:r>
      <w:r>
        <w:t>订单履约相关应用服务</w:t>
      </w:r>
    </w:p>
    <w:p w14:paraId="0603A4AB">
      <w:pPr>
        <w:numPr>
          <w:ilvl w:val="0"/>
          <w:numId w:val="0"/>
        </w:numPr>
        <w:bidi w:val="0"/>
        <w:ind w:firstLine="420" w:firstLineChars="0"/>
      </w:pPr>
      <w:r>
        <w:t>订单接入与路由调度的操作主要由 FulfillmentAppService 应用服务执行。当电商平台生成交易订单并推送到履约系统时，应用服务首先接收并校验这些 DTO 数据，将其转化为履约单实体 FulfillmentOrder 和明细 FulfillmentOrderDetail。在构建实体的过程中，应用服务会调用 OMS 模块内的智能寻源领域服务 RoutingDecisionDomainService 来完成最优发货仓的匹配与拆单逻辑。接下来，FulfillmentAppService 会调用相应的仓储库接口 FulfillmentOrderRepository 对创建的实体和值对象进行数据库持久化。在持久化过程中，应用服务会负责捕获数据验证失败或数据库连接等异常并进行回滚处理。持久化完成后，应用服务将创建并发布“履约单已接入”的领域事件（FulfillmentOrderCreated）。下游的库存中心监听到该事件后，将触发后续的库存预占操作。</w:t>
      </w:r>
    </w:p>
    <w:p w14:paraId="7D477ED2">
      <w:pPr>
        <w:numPr>
          <w:ilvl w:val="0"/>
          <w:numId w:val="0"/>
        </w:numPr>
        <w:bidi w:val="0"/>
        <w:spacing w:line="240" w:lineRule="auto"/>
        <w:ind w:firstLine="0" w:firstLineChars="0"/>
      </w:pPr>
      <w:r>
        <w:drawing>
          <wp:inline distT="0" distB="0" distL="114300" distR="114300">
            <wp:extent cx="5933440" cy="3302635"/>
            <wp:effectExtent l="0" t="0" r="10160" b="44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5933440" cy="3302635"/>
                    </a:xfrm>
                    <a:prstGeom prst="rect">
                      <a:avLst/>
                    </a:prstGeom>
                    <a:noFill/>
                    <a:ln>
                      <a:noFill/>
                    </a:ln>
                  </pic:spPr>
                </pic:pic>
              </a:graphicData>
            </a:graphic>
          </wp:inline>
        </w:drawing>
      </w:r>
    </w:p>
    <w:p w14:paraId="6292AA83">
      <w:pPr>
        <w:pStyle w:val="4"/>
        <w:bidi w:val="0"/>
      </w:pPr>
      <w:r>
        <w:rPr>
          <w:rFonts w:hint="eastAsia"/>
          <w:lang w:val="en-US" w:eastAsia="zh-CN"/>
        </w:rPr>
        <w:t xml:space="preserve">4.3.2 </w:t>
      </w:r>
      <w:r>
        <w:t>库存调度相关应用服务</w:t>
      </w:r>
    </w:p>
    <w:p w14:paraId="30D7027D">
      <w:pPr>
        <w:numPr>
          <w:ilvl w:val="0"/>
          <w:numId w:val="0"/>
        </w:numPr>
        <w:bidi w:val="0"/>
        <w:ind w:firstLine="420" w:firstLineChars="0"/>
      </w:pPr>
      <w:r>
        <w:t>库存的预占与扣减操作由应用服务 StockAppService 统一编排。当接收到 OMS 发布的订单接入事件后，StockAppService 会提取订单中的 SKU 与数量信息，并调用领域服务 StockAllocationDomainService 校验当前可用承诺库存（ATP）。在确认库存充足后，生成库存预占记录实体 StockLockRecord，并通过 StockRepository 仓储库执行持久化操作以软锁定库存。操作成功后，StockAppService 随之发布“库存已锁定”事件（InventoryLocked）。此时，OMS 的应用服务监听到此事件，便会将履约主单的状态更新为“已下发”，并向 WMS 推送出库指令。</w:t>
      </w:r>
    </w:p>
    <w:p w14:paraId="4654A0A8">
      <w:pPr>
        <w:numPr>
          <w:ilvl w:val="0"/>
          <w:numId w:val="0"/>
        </w:numPr>
        <w:bidi w:val="0"/>
        <w:spacing w:line="240" w:lineRule="auto"/>
        <w:rPr>
          <w:rFonts w:hint="default"/>
          <w:lang w:val="en-US" w:eastAsia="zh-CN"/>
        </w:rPr>
      </w:pPr>
      <w:r>
        <w:drawing>
          <wp:inline distT="0" distB="0" distL="114300" distR="114300">
            <wp:extent cx="5932170" cy="3053080"/>
            <wp:effectExtent l="0" t="0" r="11430"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8"/>
                    <a:stretch>
                      <a:fillRect/>
                    </a:stretch>
                  </pic:blipFill>
                  <pic:spPr>
                    <a:xfrm>
                      <a:off x="0" y="0"/>
                      <a:ext cx="5932170" cy="3053080"/>
                    </a:xfrm>
                    <a:prstGeom prst="rect">
                      <a:avLst/>
                    </a:prstGeom>
                    <a:noFill/>
                    <a:ln>
                      <a:noFill/>
                    </a:ln>
                  </pic:spPr>
                </pic:pic>
              </a:graphicData>
            </a:graphic>
          </wp:inline>
        </w:drawing>
      </w:r>
    </w:p>
    <w:p w14:paraId="4EC40F81">
      <w:pPr>
        <w:pStyle w:val="4"/>
        <w:bidi w:val="0"/>
      </w:pPr>
      <w:r>
        <w:rPr>
          <w:rFonts w:hint="eastAsia"/>
          <w:lang w:val="en-US" w:eastAsia="zh-CN"/>
        </w:rPr>
        <w:t xml:space="preserve">4.3.3 </w:t>
      </w:r>
      <w:r>
        <w:t>仓储出库相关应用服务</w:t>
      </w:r>
    </w:p>
    <w:p w14:paraId="7C5AD764">
      <w:pPr>
        <w:numPr>
          <w:ilvl w:val="0"/>
          <w:numId w:val="0"/>
        </w:numPr>
        <w:bidi w:val="0"/>
        <w:ind w:firstLine="420" w:firstLineChars="0"/>
        <w:rPr>
          <w:rFonts w:hint="eastAsia" w:eastAsia="宋体"/>
          <w:lang w:eastAsia="zh-CN"/>
        </w:rPr>
      </w:pPr>
      <w:r>
        <w:t>仓储内部的物理作业调度由 OutboundAppService 执行。当接收到 OMS 下发的履约指令后，OutboundAppService 根据数据创建具体的出库任务单实体 OutboundTask。为了提升拣货效率，应用服务会进一步调用波次生成领域服务 WaveGenerationDomainService，将多个出库任务单聚合成一个出库波次单 OutboundWave，并通过 OutboundRepository 持久化至数据库，随后下发给 PDA 手持终端。当现场作业人员完成拣货、复核、打包并与快递交接后，OutboundAppService 将处理终端提交的完工确认请求，完成状态更新，并创建发布“包裹已出库”领域事件（PackageOutbound）。此时，监听此事件的 StockAppService 将处理该事件，把先前的库存预占转化为物理实扣流水</w:t>
      </w:r>
      <w:r>
        <w:rPr>
          <w:rFonts w:hint="eastAsia"/>
          <w:lang w:eastAsia="zh-CN"/>
        </w:rPr>
        <w:t>。</w:t>
      </w:r>
    </w:p>
    <w:p w14:paraId="734662C0">
      <w:pPr>
        <w:numPr>
          <w:ilvl w:val="0"/>
          <w:numId w:val="0"/>
        </w:numPr>
        <w:bidi w:val="0"/>
        <w:spacing w:line="240" w:lineRule="auto"/>
        <w:ind w:firstLine="0" w:firstLineChars="0"/>
        <w:rPr>
          <w:rFonts w:hint="eastAsia"/>
        </w:rPr>
      </w:pPr>
      <w:r>
        <w:drawing>
          <wp:inline distT="0" distB="0" distL="114300" distR="114300">
            <wp:extent cx="5932170" cy="3620135"/>
            <wp:effectExtent l="0" t="0" r="11430" b="698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9"/>
                    <a:stretch>
                      <a:fillRect/>
                    </a:stretch>
                  </pic:blipFill>
                  <pic:spPr>
                    <a:xfrm>
                      <a:off x="0" y="0"/>
                      <a:ext cx="5932170" cy="3620135"/>
                    </a:xfrm>
                    <a:prstGeom prst="rect">
                      <a:avLst/>
                    </a:prstGeom>
                    <a:noFill/>
                    <a:ln>
                      <a:noFill/>
                    </a:ln>
                  </pic:spPr>
                </pic:pic>
              </a:graphicData>
            </a:graphic>
          </wp:inline>
        </w:drawing>
      </w:r>
    </w:p>
    <w:p w14:paraId="181889E8">
      <w:pPr>
        <w:pStyle w:val="3"/>
        <w:bidi w:val="0"/>
        <w:rPr>
          <w:rFonts w:hint="eastAsia"/>
          <w:lang w:val="en-US" w:eastAsia="zh-CN"/>
        </w:rPr>
      </w:pPr>
      <w:r>
        <w:rPr>
          <w:rFonts w:hint="eastAsia"/>
          <w:lang w:val="en-US" w:eastAsia="zh-CN"/>
        </w:rPr>
        <w:t>4.4 基础设施层与表示层设计</w:t>
      </w:r>
    </w:p>
    <w:p w14:paraId="46EB7C86">
      <w:pPr>
        <w:pStyle w:val="4"/>
        <w:bidi w:val="0"/>
        <w:rPr>
          <w:rFonts w:hint="default"/>
          <w:lang w:val="en-US" w:eastAsia="zh-CN"/>
        </w:rPr>
      </w:pPr>
      <w:r>
        <w:rPr>
          <w:rFonts w:hint="eastAsia"/>
          <w:lang w:val="en-US" w:eastAsia="zh-CN"/>
        </w:rPr>
        <w:t>4.4.1 基础设施层设计</w:t>
      </w:r>
    </w:p>
    <w:p w14:paraId="728E4E78">
      <w:pPr>
        <w:bidi w:val="0"/>
        <w:ind w:firstLine="420" w:firstLineChars="0"/>
        <w:rPr>
          <w:rFonts w:hint="default"/>
        </w:rPr>
      </w:pPr>
      <w:r>
        <w:rPr>
          <w:rFonts w:hint="default"/>
        </w:rPr>
        <w:t>在领域驱动设计体系中，基础设施层通过实现领域层定义的接口，承担着连接上层业务逻辑与底层外部资源（如数据库、消息队列等）的关键任务。根据依赖倒置原则，基础设施层的数据持久化实现依赖于领域层定义的仓储接口，从而在领域层和基础设施层之间实现了业务逻辑和基础资源的有效解耦。这种设计不仅保护了核心业务逻辑不受底层技术变更的影响，还增强了系统的可测试性和可维护性。当需要替换或升级底层持久化技术时，只需在基础设施层中重新实现相关的仓储逻辑，而无需改动领域层的代码。</w:t>
      </w:r>
    </w:p>
    <w:p w14:paraId="742D5C1E">
      <w:pPr>
        <w:pStyle w:val="4"/>
        <w:bidi w:val="0"/>
        <w:rPr>
          <w:rFonts w:hint="default"/>
          <w:lang w:val="en-US" w:eastAsia="zh-CN"/>
        </w:rPr>
      </w:pPr>
      <w:r>
        <w:rPr>
          <w:rFonts w:hint="eastAsia"/>
          <w:lang w:val="en-US" w:eastAsia="zh-CN"/>
        </w:rPr>
        <w:t>4.4.2 表示层设计</w:t>
      </w:r>
    </w:p>
    <w:p w14:paraId="3B06F6E7">
      <w:pPr>
        <w:bidi w:val="0"/>
        <w:rPr>
          <w:rFonts w:hint="eastAsia"/>
        </w:rPr>
      </w:pPr>
      <w:r>
        <w:rPr>
          <w:rFonts w:hint="eastAsia"/>
          <w:lang w:val="en-US" w:eastAsia="zh-CN"/>
        </w:rPr>
        <w:t>前端界面采用 Vue 设计开发，用于构建动态、交互式的用户界面，通过 AJAX 方式与后端进行通信，获取数据并将数据展示给用户。表示层的设计主要利用其以下特点：</w:t>
      </w:r>
    </w:p>
    <w:p w14:paraId="14B74538">
      <w:pPr>
        <w:bidi w:val="0"/>
        <w:ind w:firstLine="420" w:firstLineChars="0"/>
        <w:rPr>
          <w:rFonts w:hint="eastAsia"/>
        </w:rPr>
      </w:pPr>
      <w:r>
        <w:rPr>
          <w:rFonts w:hint="eastAsia"/>
          <w:lang w:val="en-US" w:eastAsia="zh-CN"/>
        </w:rPr>
        <w:t>1）Vue 允许开发者将界面拆分成独立的、可复用的组件，这使得代码更加模块化和可维护。组件之间可以通过属性、事件等方式进行通信，从而构建出复杂的用户界面。</w:t>
      </w:r>
    </w:p>
    <w:p w14:paraId="6CB41D4D">
      <w:pPr>
        <w:bidi w:val="0"/>
        <w:ind w:firstLine="420" w:firstLineChars="0"/>
        <w:rPr>
          <w:rFonts w:hint="eastAsia"/>
        </w:rPr>
      </w:pPr>
      <w:r>
        <w:rPr>
          <w:rFonts w:hint="eastAsia"/>
          <w:lang w:val="en-US" w:eastAsia="zh-CN"/>
        </w:rPr>
        <w:t>2）Vue 采用了响应式设计原理，当数据发生变化时，视图会自动更新以反映这些变化。这使得数据和 UI 之间的同步工作变得简单，开发人员无需手动管理 DOM，提高了开发效率。</w:t>
      </w:r>
    </w:p>
    <w:p w14:paraId="637CB46B">
      <w:pPr>
        <w:pStyle w:val="3"/>
        <w:bidi w:val="0"/>
        <w:rPr>
          <w:rFonts w:hint="eastAsia"/>
          <w:lang w:val="en-US" w:eastAsia="zh-CN"/>
        </w:rPr>
      </w:pPr>
      <w:r>
        <w:rPr>
          <w:rFonts w:hint="eastAsia"/>
          <w:lang w:val="en-US" w:eastAsia="zh-CN"/>
        </w:rPr>
        <w:t>4.5 数据库设计</w:t>
      </w:r>
    </w:p>
    <w:p w14:paraId="371D93E2">
      <w:pPr>
        <w:bidi w:val="0"/>
        <w:ind w:firstLine="420" w:firstLineChars="0"/>
      </w:pPr>
      <w:r>
        <w:rPr>
          <w:rFonts w:hint="eastAsia"/>
          <w:lang w:val="en-US" w:eastAsia="zh-CN"/>
        </w:rPr>
        <w:t>数据库设计旨在将现实世界的客观对象抽象为计算机可理解和存储的信息结构。</w:t>
      </w:r>
      <w:r>
        <w:rPr>
          <w:rFonts w:hint="default"/>
          <w:lang w:val="en-US" w:eastAsia="zh-CN"/>
        </w:rPr>
        <w:t xml:space="preserve">E-R </w:t>
      </w:r>
      <w:r>
        <w:rPr>
          <w:rFonts w:hint="eastAsia"/>
          <w:lang w:val="en-US" w:eastAsia="zh-CN"/>
        </w:rPr>
        <w:t>图作为有效的工具，能够清晰地描述现实世界的概念模型。</w:t>
      </w:r>
      <w:r>
        <w:rPr>
          <w:rFonts w:hint="default"/>
          <w:lang w:val="en-US" w:eastAsia="zh-CN"/>
        </w:rPr>
        <w:t xml:space="preserve">E-R </w:t>
      </w:r>
      <w:r>
        <w:rPr>
          <w:rFonts w:hint="eastAsia"/>
          <w:lang w:val="en-US" w:eastAsia="zh-CN"/>
        </w:rPr>
        <w:t>图提供了定义数据模型的基础，通过标识实体、关系和属性，明确了数据库中的数据结构和元素之间的关系，从而为数据库的实际实现提供了设计指导。</w:t>
      </w:r>
    </w:p>
    <w:p w14:paraId="5FA65D4D">
      <w:pPr>
        <w:bidi w:val="0"/>
        <w:ind w:firstLine="420" w:firstLineChars="0"/>
        <w:rPr>
          <w:rFonts w:hint="eastAsia"/>
          <w:lang w:val="en-US" w:eastAsia="zh-CN"/>
        </w:rPr>
      </w:pPr>
      <w:r>
        <w:rPr>
          <w:rFonts w:hint="eastAsia"/>
          <w:lang w:val="en-US" w:eastAsia="zh-CN"/>
        </w:rPr>
        <w:t xml:space="preserve">首先，深入分析了领域内的业务需求和业务流程，识别出关键实体，并逐一进行属性定义。在这一过程中必须严格遵循数据库设计核心原则。然后，深入分析了系统中的主要实体并明确了它们各自在业务逻辑中的角色和职责。接着，根据业务需求和流程，确定了这些实体之间的关联类型和关系。在本小节的展示中，主要聚焦于这些主要实体间的关键联系，以简化说明并突出仓储管理系统的核心逻辑。这些关联关系不仅为系统的数据交互和业务处理提供了基础，还确保了整个系统的稳定性和高效性。这些主要实体包括入库单、出库单、拣货单、物料以及库存信息等，它们的主要属性及相互之间的关联关系 </w:t>
      </w:r>
      <w:r>
        <w:rPr>
          <w:rFonts w:hint="default"/>
          <w:lang w:val="en-US" w:eastAsia="zh-CN"/>
        </w:rPr>
        <w:t xml:space="preserve">E-R </w:t>
      </w:r>
      <w:r>
        <w:rPr>
          <w:rFonts w:hint="eastAsia"/>
          <w:lang w:val="en-US" w:eastAsia="zh-CN"/>
        </w:rPr>
        <w:t>图如图所示。</w:t>
      </w:r>
    </w:p>
    <w:p w14:paraId="09842857">
      <w:pPr>
        <w:bidi w:val="0"/>
        <w:rPr>
          <w:rFonts w:hint="eastAsia"/>
          <w:lang w:val="en-US" w:eastAsia="zh-CN"/>
        </w:rPr>
      </w:pPr>
    </w:p>
    <w:p w14:paraId="1F88E096"/>
    <w:p w14:paraId="5E010243">
      <w:pPr>
        <w:rPr>
          <w:rFonts w:ascii="宋体" w:hAnsi="宋体" w:eastAsia="宋体" w:cs="宋体"/>
          <w:sz w:val="24"/>
          <w:szCs w:val="24"/>
        </w:rPr>
      </w:pPr>
      <w:r>
        <w:rPr>
          <w:rFonts w:ascii="宋体" w:hAnsi="宋体" w:eastAsia="宋体" w:cs="宋体"/>
          <w:sz w:val="24"/>
          <w:szCs w:val="24"/>
        </w:rPr>
        <w:br w:type="page"/>
      </w:r>
    </w:p>
    <w:p w14:paraId="43DE1FDD">
      <w:pPr>
        <w:pStyle w:val="2"/>
        <w:bidi w:val="0"/>
        <w:rPr>
          <w:rFonts w:hint="default"/>
          <w:lang w:val="en-US" w:eastAsia="zh-CN"/>
        </w:rPr>
      </w:pPr>
      <w:r>
        <w:rPr>
          <w:rFonts w:hint="eastAsia"/>
          <w:lang w:val="en-US" w:eastAsia="zh-CN"/>
        </w:rPr>
        <w:t>第五章 系统实现与测试</w:t>
      </w:r>
    </w:p>
    <w:p w14:paraId="0B68BD48">
      <w:pPr>
        <w:pStyle w:val="3"/>
        <w:bidi w:val="0"/>
        <w:rPr>
          <w:rFonts w:hint="eastAsia"/>
        </w:rPr>
      </w:pPr>
      <w:r>
        <w:rPr>
          <w:rFonts w:hint="eastAsia"/>
          <w:lang w:val="en-US" w:eastAsia="zh-CN"/>
        </w:rPr>
        <w:t>5.1 开发环境与配置</w:t>
      </w:r>
    </w:p>
    <w:p w14:paraId="027ABF57">
      <w:pPr>
        <w:pStyle w:val="3"/>
        <w:bidi w:val="0"/>
      </w:pPr>
      <w:r>
        <w:rPr>
          <w:rFonts w:hint="default"/>
          <w:lang w:val="en-US" w:eastAsia="zh-CN"/>
        </w:rPr>
        <w:t xml:space="preserve">5.2 </w:t>
      </w:r>
      <w:r>
        <w:rPr>
          <w:rFonts w:hint="eastAsia"/>
          <w:lang w:val="en-US" w:eastAsia="zh-CN"/>
        </w:rPr>
        <w:t>系统实现流程</w:t>
      </w:r>
    </w:p>
    <w:p w14:paraId="2C10C691">
      <w:pPr>
        <w:pStyle w:val="3"/>
        <w:bidi w:val="0"/>
        <w:rPr>
          <w:rFonts w:hint="default"/>
          <w:lang w:val="en-US"/>
        </w:rPr>
      </w:pPr>
      <w:r>
        <w:rPr>
          <w:rFonts w:hint="default"/>
          <w:lang w:val="en-US" w:eastAsia="zh-CN"/>
        </w:rPr>
        <w:t xml:space="preserve">5.3 </w:t>
      </w:r>
      <w:r>
        <w:rPr>
          <w:rFonts w:hint="eastAsia"/>
          <w:lang w:val="en-US" w:eastAsia="zh-CN"/>
        </w:rPr>
        <w:t>系统运行界面展示</w:t>
      </w:r>
    </w:p>
    <w:p w14:paraId="07E6F365">
      <w:pPr>
        <w:pStyle w:val="3"/>
        <w:bidi w:val="0"/>
      </w:pPr>
      <w:r>
        <w:rPr>
          <w:rFonts w:hint="default"/>
          <w:lang w:val="en-US" w:eastAsia="zh-CN"/>
        </w:rPr>
        <w:t xml:space="preserve">5.4 </w:t>
      </w:r>
      <w:r>
        <w:rPr>
          <w:rFonts w:hint="eastAsia"/>
          <w:lang w:val="en-US" w:eastAsia="zh-CN"/>
        </w:rPr>
        <w:t>系统测试</w:t>
      </w:r>
    </w:p>
    <w:p w14:paraId="7ADDF744">
      <w:pPr>
        <w:rPr>
          <w:rFonts w:hint="eastAsia"/>
        </w:rPr>
      </w:pPr>
    </w:p>
    <w:p w14:paraId="2E95635B">
      <w:pPr>
        <w:rPr>
          <w:rFonts w:hint="eastAsia" w:ascii="黑体" w:hAnsi="黑体" w:eastAsia="黑体" w:cs="黑体"/>
          <w:b w:val="0"/>
          <w:bCs w:val="0"/>
          <w:sz w:val="36"/>
          <w:szCs w:val="36"/>
        </w:rPr>
      </w:pPr>
      <w:r>
        <w:rPr>
          <w:rFonts w:hint="eastAsia"/>
        </w:rPr>
        <w:br w:type="page"/>
      </w:r>
    </w:p>
    <w:p w14:paraId="0F2BA4D4">
      <w:pPr>
        <w:pStyle w:val="2"/>
        <w:bidi w:val="0"/>
        <w:rPr>
          <w:rFonts w:ascii="宋体" w:hAnsi="宋体"/>
        </w:rPr>
      </w:pPr>
      <w:r>
        <w:rPr>
          <w:rFonts w:hint="eastAsia"/>
        </w:rPr>
        <w:t>第</w:t>
      </w:r>
      <w:r>
        <w:rPr>
          <w:rFonts w:hint="eastAsia"/>
          <w:lang w:val="en-US" w:eastAsia="zh-CN"/>
        </w:rPr>
        <w:t>六</w:t>
      </w:r>
      <w:r>
        <w:rPr>
          <w:rFonts w:hint="eastAsia"/>
        </w:rPr>
        <w:t>章 总结与展望</w:t>
      </w:r>
    </w:p>
    <w:p w14:paraId="204A4230">
      <w:pPr>
        <w:rPr>
          <w:rFonts w:ascii="宋体" w:hAnsi="宋体"/>
        </w:rPr>
      </w:pPr>
      <w:r>
        <w:rPr>
          <w:rFonts w:ascii="宋体" w:hAnsi="宋体"/>
        </w:rPr>
        <w:br w:type="page"/>
      </w:r>
    </w:p>
    <w:p w14:paraId="66FC3DC4">
      <w:pPr>
        <w:pStyle w:val="2"/>
        <w:bidi w:val="0"/>
      </w:pPr>
      <w:r>
        <w:t>参考文献</w:t>
      </w:r>
      <w:bookmarkEnd w:id="1"/>
    </w:p>
    <w:p w14:paraId="2600CDF0">
      <w:pPr>
        <w:numPr>
          <w:ilvl w:val="0"/>
          <w:numId w:val="4"/>
        </w:numPr>
        <w:spacing w:before="60" w:line="400" w:lineRule="exact"/>
        <w:ind w:right="-170" w:rightChars="-71"/>
        <w:rPr>
          <w:rFonts w:ascii="宋体" w:hAnsi="宋体"/>
          <w:szCs w:val="21"/>
        </w:rPr>
      </w:pPr>
      <w:r>
        <w:rPr>
          <w:rFonts w:ascii="宋体" w:hAnsi="宋体"/>
          <w:szCs w:val="21"/>
        </w:rPr>
        <w:t>刘国钧，陈绍业，王风翥．图书馆目录[M]．北京：高等教育出版社，1957．</w:t>
      </w:r>
    </w:p>
    <w:p w14:paraId="3ABB6C2F">
      <w:pPr>
        <w:numPr>
          <w:ilvl w:val="0"/>
          <w:numId w:val="4"/>
        </w:numPr>
        <w:spacing w:before="60" w:line="400" w:lineRule="exact"/>
        <w:ind w:right="-170" w:rightChars="-71"/>
        <w:rPr>
          <w:rFonts w:ascii="宋体" w:hAnsi="宋体"/>
          <w:szCs w:val="21"/>
        </w:rPr>
      </w:pPr>
      <w:r>
        <w:rPr>
          <w:rFonts w:ascii="宋体" w:hAnsi="宋体"/>
          <w:szCs w:val="21"/>
        </w:rPr>
        <w:t>Schacht E．Industrial polysaccharides[M]．Amsterdam：Elsevier Science，1987．</w:t>
      </w:r>
    </w:p>
    <w:p w14:paraId="7A11FECB">
      <w:pPr>
        <w:numPr>
          <w:ilvl w:val="0"/>
          <w:numId w:val="4"/>
        </w:numPr>
        <w:spacing w:before="60" w:line="400" w:lineRule="exact"/>
        <w:ind w:right="-170" w:rightChars="-71"/>
        <w:rPr>
          <w:rFonts w:ascii="宋体" w:hAnsi="宋体"/>
          <w:szCs w:val="21"/>
        </w:rPr>
      </w:pPr>
      <w:r>
        <w:rPr>
          <w:rFonts w:ascii="宋体" w:hAnsi="宋体"/>
          <w:szCs w:val="21"/>
        </w:rPr>
        <w:t>辛希孟．信息技术与信息服务国际研讨会论文集：A集[C]．北京：中国社会科学出版社，1994．</w:t>
      </w:r>
    </w:p>
    <w:p w14:paraId="2957AF07">
      <w:pPr>
        <w:numPr>
          <w:ilvl w:val="0"/>
          <w:numId w:val="4"/>
        </w:numPr>
        <w:spacing w:before="60" w:line="400" w:lineRule="exact"/>
        <w:ind w:right="-170" w:rightChars="-71"/>
        <w:rPr>
          <w:rFonts w:ascii="宋体" w:hAnsi="宋体"/>
          <w:szCs w:val="21"/>
        </w:rPr>
      </w:pPr>
      <w:r>
        <w:rPr>
          <w:rFonts w:ascii="宋体" w:hAnsi="宋体"/>
          <w:szCs w:val="21"/>
        </w:rPr>
        <w:t>张筑生．微分半动力系统的不变集[D]．北京：北京大学数学系数学研究所，1983．</w:t>
      </w:r>
    </w:p>
    <w:p w14:paraId="14ABDE2D">
      <w:pPr>
        <w:numPr>
          <w:ilvl w:val="0"/>
          <w:numId w:val="4"/>
        </w:numPr>
        <w:spacing w:before="60" w:line="400" w:lineRule="exact"/>
        <w:ind w:right="-170" w:rightChars="-71"/>
        <w:rPr>
          <w:rFonts w:ascii="宋体" w:hAnsi="宋体"/>
          <w:szCs w:val="21"/>
        </w:rPr>
      </w:pPr>
      <w:r>
        <w:rPr>
          <w:rFonts w:ascii="宋体" w:hAnsi="宋体"/>
          <w:szCs w:val="21"/>
        </w:rPr>
        <w:t>冯西桥．核反应堆压力管道与压力容器的LBB分析[R]．北京：清华大学核能技术设计研究院，1997．</w:t>
      </w:r>
    </w:p>
    <w:p w14:paraId="76BADF17">
      <w:pPr>
        <w:numPr>
          <w:ilvl w:val="0"/>
          <w:numId w:val="4"/>
        </w:numPr>
        <w:spacing w:before="60" w:line="400" w:lineRule="exact"/>
        <w:ind w:right="-170" w:rightChars="-71"/>
        <w:rPr>
          <w:rFonts w:ascii="宋体" w:hAnsi="宋体"/>
          <w:szCs w:val="21"/>
        </w:rPr>
      </w:pPr>
      <w:r>
        <w:rPr>
          <w:rFonts w:ascii="宋体" w:hAnsi="宋体"/>
          <w:szCs w:val="21"/>
        </w:rPr>
        <w:t>金显贺，王昌长，王忠东，等．一种用于在线检测局部放电的数字滤波技术[J]．清华大学学报（自然科学版），1993，33（4）：62-67．</w:t>
      </w:r>
    </w:p>
    <w:p w14:paraId="3381D489">
      <w:pPr>
        <w:numPr>
          <w:ilvl w:val="0"/>
          <w:numId w:val="4"/>
        </w:numPr>
        <w:spacing w:before="60" w:line="400" w:lineRule="exact"/>
        <w:ind w:right="-170" w:rightChars="-71"/>
        <w:rPr>
          <w:rFonts w:ascii="宋体" w:hAnsi="宋体"/>
          <w:szCs w:val="21"/>
        </w:rPr>
      </w:pPr>
      <w:r>
        <w:rPr>
          <w:rFonts w:ascii="宋体" w:hAnsi="宋体"/>
          <w:szCs w:val="21"/>
        </w:rPr>
        <w:t>Spriggs G E．A history of fine grained hardmetal[J]． Int J of Refractory Metal and Hard Material，1995，13：241-255．</w:t>
      </w:r>
    </w:p>
    <w:p w14:paraId="4ADC65D1">
      <w:pPr>
        <w:numPr>
          <w:ilvl w:val="0"/>
          <w:numId w:val="4"/>
        </w:numPr>
        <w:spacing w:before="60" w:line="400" w:lineRule="exact"/>
        <w:rPr>
          <w:rFonts w:ascii="宋体" w:hAnsi="宋体"/>
          <w:szCs w:val="21"/>
        </w:rPr>
      </w:pPr>
      <w:r>
        <w:rPr>
          <w:rFonts w:ascii="宋体" w:hAnsi="宋体"/>
          <w:szCs w:val="21"/>
        </w:rPr>
        <w:t>姜锡洲．一种温热外敷药制备方案[P]．中国专利：881056073，1989-07-26．</w:t>
      </w:r>
    </w:p>
    <w:p w14:paraId="22E1FDB5">
      <w:pPr>
        <w:spacing w:line="400" w:lineRule="exact"/>
        <w:ind w:firstLine="480" w:firstLineChars="200"/>
        <w:jc w:val="center"/>
        <w:rPr>
          <w:szCs w:val="21"/>
        </w:rPr>
      </w:pPr>
      <w:r>
        <w:rPr>
          <w:rFonts w:hint="eastAsia"/>
          <w:szCs w:val="21"/>
        </w:rPr>
        <w:t>（宋体五号）</w:t>
      </w:r>
    </w:p>
    <w:p w14:paraId="3DB21A07">
      <w:pPr>
        <w:spacing w:before="156" w:beforeLines="50" w:after="156" w:afterLines="50" w:line="400" w:lineRule="exact"/>
        <w:jc w:val="center"/>
        <w:rPr>
          <w:rFonts w:eastAsia="黑体"/>
          <w:sz w:val="36"/>
          <w:szCs w:val="36"/>
        </w:rPr>
      </w:pPr>
      <w:bookmarkStart w:id="2" w:name="_Toc177972389"/>
    </w:p>
    <w:p w14:paraId="7E028936">
      <w:pPr>
        <w:spacing w:before="156" w:beforeLines="50" w:after="156" w:afterLines="50" w:line="400" w:lineRule="exact"/>
        <w:jc w:val="center"/>
        <w:rPr>
          <w:rFonts w:eastAsia="黑体"/>
          <w:sz w:val="36"/>
          <w:szCs w:val="36"/>
        </w:rPr>
      </w:pPr>
    </w:p>
    <w:p w14:paraId="0D16963C">
      <w:pPr>
        <w:widowControl/>
        <w:jc w:val="left"/>
        <w:rPr>
          <w:rFonts w:eastAsia="黑体"/>
          <w:sz w:val="36"/>
          <w:szCs w:val="36"/>
        </w:rPr>
      </w:pPr>
      <w:r>
        <w:rPr>
          <w:rFonts w:eastAsia="黑体"/>
          <w:sz w:val="36"/>
          <w:szCs w:val="36"/>
        </w:rPr>
        <w:br w:type="page"/>
      </w:r>
    </w:p>
    <w:p w14:paraId="62E2999E">
      <w:pPr>
        <w:pStyle w:val="2"/>
        <w:bidi w:val="0"/>
        <w:rPr>
          <w:rFonts w:eastAsia="黑体"/>
          <w:b/>
          <w:sz w:val="36"/>
          <w:szCs w:val="36"/>
        </w:rPr>
      </w:pPr>
      <w:r>
        <w:rPr>
          <w:rFonts w:eastAsia="黑体"/>
          <w:sz w:val="36"/>
          <w:szCs w:val="36"/>
        </w:rPr>
        <w:t>致</w:t>
      </w:r>
      <w:r>
        <w:rPr>
          <w:rFonts w:hint="eastAsia" w:eastAsia="黑体"/>
          <w:sz w:val="36"/>
          <w:szCs w:val="36"/>
        </w:rPr>
        <w:t xml:space="preserve">  </w:t>
      </w:r>
      <w:r>
        <w:rPr>
          <w:rFonts w:eastAsia="黑体"/>
          <w:sz w:val="36"/>
          <w:szCs w:val="36"/>
        </w:rPr>
        <w:t>谢</w:t>
      </w:r>
      <w:bookmarkEnd w:id="2"/>
    </w:p>
    <w:p w14:paraId="359C4945">
      <w:pPr>
        <w:spacing w:line="400" w:lineRule="exact"/>
        <w:ind w:firstLine="480" w:firstLineChars="200"/>
        <w:rPr>
          <w:rFonts w:ascii="仿宋_GB2312" w:eastAsia="仿宋_GB2312"/>
          <w:b/>
          <w:sz w:val="30"/>
          <w:szCs w:val="30"/>
        </w:rPr>
      </w:pPr>
      <w:r>
        <w:rPr>
          <w:rFonts w:ascii="宋体" w:hAnsi="宋体"/>
          <w:sz w:val="24"/>
        </w:rPr>
        <w:t>××××××××××××××××××××××××××××××××××××××××</w:t>
      </w:r>
      <w:r>
        <w:rPr>
          <w:rFonts w:hint="eastAsia" w:ascii="宋体" w:hAnsi="宋体"/>
          <w:sz w:val="24"/>
        </w:rPr>
        <w:t>。（宋体小四号）</w:t>
      </w:r>
    </w:p>
    <w:p w14:paraId="4C8C72FB">
      <w:pPr>
        <w:spacing w:line="520" w:lineRule="exact"/>
        <w:rPr>
          <w:rFonts w:ascii="仿宋_GB2312" w:eastAsia="仿宋_GB2312"/>
          <w:b/>
          <w:sz w:val="30"/>
          <w:szCs w:val="30"/>
        </w:rPr>
      </w:pPr>
    </w:p>
    <w:p w14:paraId="7C8DDCE7"/>
    <w:sectPr>
      <w:headerReference r:id="rId5" w:type="default"/>
      <w:pgSz w:w="11906" w:h="16838"/>
      <w:pgMar w:top="1417" w:right="1134" w:bottom="1134" w:left="1417" w:header="1474" w:footer="1361" w:gutter="0"/>
      <w:pgBorders>
        <w:top w:val="none" w:sz="0" w:space="0"/>
        <w:left w:val="none" w:sz="0" w:space="0"/>
        <w:bottom w:val="none" w:sz="0" w:space="0"/>
        <w:right w:val="none" w:sz="0" w:space="0"/>
      </w:pgBorders>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acds>
    <wne:acd wne:argValue="AQAAAAEA" wne:acdName="acd0" wne:fciIndexBasedOn="0065"/>
    <wne:acd wne:argValue="AQAAAAIA" wne:acdName="acd1" wne:fciIndexBasedOn="0065"/>
    <wne:acd wne:argValue="AQAAAAM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18030">
    <w:altName w:val="宋体"/>
    <w:panose1 w:val="00000000000000000000"/>
    <w:charset w:val="86"/>
    <w:family w:val="modern"/>
    <w:pitch w:val="default"/>
    <w:sig w:usb0="00000000" w:usb1="00000000" w:usb2="0000001E" w:usb3="00000000" w:csb0="003C0041"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A46FA">
    <w:pPr>
      <w:pStyle w:val="7"/>
      <w:jc w:val="center"/>
      <w:rPr>
        <w:rFonts w:hint="default"/>
        <w:sz w:val="21"/>
        <w:szCs w:val="21"/>
        <w:lang w:val="en-US"/>
      </w:rPr>
    </w:pPr>
    <w:r>
      <w:rPr>
        <w:rFonts w:hint="default"/>
        <w:sz w:val="21"/>
        <w:szCs w:val="21"/>
        <w:lang w:val="en-US"/>
      </w:rPr>
      <w:t>武汉理工大学毕业设计（论文）</w:t>
    </w:r>
    <w:r>
      <w:rPr>
        <w:sz w:val="21"/>
        <w:szCs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topMargin">
                <wp:align>bottom</wp:align>
              </wp:positionV>
              <wp:extent cx="5314950" cy="0"/>
              <wp:effectExtent l="0" t="4445" r="0" b="5080"/>
              <wp:wrapNone/>
              <wp:docPr id="10" name="直接连接符 10"/>
              <wp:cNvGraphicFramePr/>
              <a:graphic xmlns:a="http://schemas.openxmlformats.org/drawingml/2006/main">
                <a:graphicData uri="http://schemas.microsoft.com/office/word/2010/wordprocessingShape">
                  <wps:wsp>
                    <wps:cNvCnPr/>
                    <wps:spPr>
                      <a:xfrm>
                        <a:off x="1159510" y="897890"/>
                        <a:ext cx="5314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70.85pt;margin-top:88.9pt;height:0pt;width:418.5pt;mso-position-horizontal-relative:page;mso-position-vertical-relative:page;z-index:251659264;mso-width-relative:margin;mso-height-relative:page;mso-width-percent:1000;" filled="f" stroked="t" coordsize="21600,21600" o:gfxdata="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HeeLX&#10;0wAAAAIBAAAPAAAAAAAAAAEAIAAAACIAAABkcnMvZG93bnJldi54bWxQSwECFAAUAAAACACHTuJA&#10;I8g80e0BAAC+AwAADgAAAAAAAAABACAAAAAiAQAAZHJzL2Uyb0RvYy54bWxQSwUGAAAAAAYABgBZ&#10;AQAAgQUAAAAA&#10;">
              <v:fill on="f" focussize="0,0"/>
              <v:stroke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06EC88"/>
    <w:multiLevelType w:val="singleLevel"/>
    <w:tmpl w:val="B806EC88"/>
    <w:lvl w:ilvl="0" w:tentative="0">
      <w:start w:val="1"/>
      <w:numFmt w:val="decimal"/>
      <w:suff w:val="space"/>
      <w:lvlText w:val="（%1）"/>
      <w:lvlJc w:val="left"/>
      <w:pPr>
        <w:ind w:left="0" w:firstLine="420"/>
      </w:pPr>
    </w:lvl>
  </w:abstractNum>
  <w:abstractNum w:abstractNumId="1">
    <w:nsid w:val="2AFA9D06"/>
    <w:multiLevelType w:val="singleLevel"/>
    <w:tmpl w:val="2AFA9D06"/>
    <w:lvl w:ilvl="0" w:tentative="0">
      <w:start w:val="2"/>
      <w:numFmt w:val="decimal"/>
      <w:suff w:val="nothing"/>
      <w:lvlText w:val="（%1）"/>
      <w:lvlJc w:val="left"/>
    </w:lvl>
  </w:abstractNum>
  <w:abstractNum w:abstractNumId="2">
    <w:nsid w:val="5F772C66"/>
    <w:multiLevelType w:val="multilevel"/>
    <w:tmpl w:val="5F772C66"/>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B60D451"/>
    <w:multiLevelType w:val="singleLevel"/>
    <w:tmpl w:val="6B60D451"/>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945AC9"/>
    <w:rsid w:val="02E00384"/>
    <w:rsid w:val="03817799"/>
    <w:rsid w:val="0D041E6A"/>
    <w:rsid w:val="0E976768"/>
    <w:rsid w:val="18850445"/>
    <w:rsid w:val="1CD21096"/>
    <w:rsid w:val="24426E4D"/>
    <w:rsid w:val="2A1628B2"/>
    <w:rsid w:val="36114D72"/>
    <w:rsid w:val="396959D7"/>
    <w:rsid w:val="3C1E22BA"/>
    <w:rsid w:val="45531660"/>
    <w:rsid w:val="495910B1"/>
    <w:rsid w:val="505779B7"/>
    <w:rsid w:val="52F037B6"/>
    <w:rsid w:val="544E36DD"/>
    <w:rsid w:val="547F7730"/>
    <w:rsid w:val="56E5725D"/>
    <w:rsid w:val="58945AC9"/>
    <w:rsid w:val="5B0617DD"/>
    <w:rsid w:val="5C74512A"/>
    <w:rsid w:val="5D081F4F"/>
    <w:rsid w:val="632E5D42"/>
    <w:rsid w:val="64F853FF"/>
    <w:rsid w:val="658137B1"/>
    <w:rsid w:val="65F74D3D"/>
    <w:rsid w:val="66AB5421"/>
    <w:rsid w:val="68565C7F"/>
    <w:rsid w:val="6D0F3554"/>
    <w:rsid w:val="73E6028E"/>
    <w:rsid w:val="75B0676A"/>
    <w:rsid w:val="77307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0"/>
      <w:sz w:val="24"/>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240" w:lineRule="auto"/>
      <w:jc w:val="center"/>
      <w:outlineLvl w:val="0"/>
    </w:pPr>
    <w:rPr>
      <w:rFonts w:ascii="黑体" w:hAnsi="黑体" w:eastAsia="黑体"/>
      <w:kern w:val="44"/>
      <w:sz w:val="36"/>
    </w:rPr>
  </w:style>
  <w:style w:type="paragraph" w:styleId="3">
    <w:name w:val="heading 2"/>
    <w:basedOn w:val="1"/>
    <w:next w:val="4"/>
    <w:unhideWhenUsed/>
    <w:qFormat/>
    <w:uiPriority w:val="0"/>
    <w:pPr>
      <w:spacing w:beforeAutospacing="1" w:afterAutospacing="1"/>
      <w:jc w:val="left"/>
      <w:outlineLvl w:val="1"/>
    </w:pPr>
    <w:rPr>
      <w:rFonts w:ascii="黑体" w:hAnsi="黑体" w:eastAsia="黑体" w:cs="黑体"/>
      <w:bCs/>
      <w:color w:val="000000"/>
      <w:sz w:val="32"/>
      <w:szCs w:val="32"/>
      <w:lang w:bidi="ar"/>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黑体" w:cs="宋体"/>
      <w:bCs/>
      <w:sz w:val="28"/>
      <w:szCs w:val="27"/>
      <w:lang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Body Text First Indent"/>
    <w:basedOn w:val="11"/>
    <w:uiPriority w:val="0"/>
    <w:pPr>
      <w:ind w:firstLine="420" w:firstLineChars="100"/>
    </w:pPr>
  </w:style>
  <w:style w:type="paragraph" w:styleId="11">
    <w:name w:val="Body Text"/>
    <w:basedOn w:val="1"/>
    <w:uiPriority w:val="0"/>
    <w:pPr>
      <w:spacing w:after="120" w:afterLines="0" w:afterAutospacing="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microsoft.com/office/2006/relationships/keyMapCustomizations" Target="customizations.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11918</Words>
  <Characters>13786</Characters>
  <Lines>0</Lines>
  <Paragraphs>0</Paragraphs>
  <TotalTime>22</TotalTime>
  <ScaleCrop>false</ScaleCrop>
  <LinksUpToDate>false</LinksUpToDate>
  <CharactersWithSpaces>14228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2026-02-13T08:48:00Z</dcterms:created>
  <dc:creator>忆ζ空</dc:creator>
  <cp:lastModifiedBy>忆ζ空</cp:lastModifiedBy>
  <dcterms:modified xsi:type="dcterms:W3CDTF">2026-04-25T03:20:43Z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B57491F684784A7180BA649C05862833_11</vt:lpwstr>
  </property>
  <property fmtid="{D5CDD505-2E9C-101B-9397-08002B2CF9AE}" pid="4" name="KSOTemplateDocerSaveRecord">
    <vt:lpwstr>eyJoZGlkIjoiMTg4NWNmOTgzZWNkMzBhZGFjNTRhN2Q1ZmZjMjZiNDkiLCJ1c2VySWQiOiIxMzY4MTk3MjEwIn0=</vt:lpwstr>
  </property>
</Properties>
</file>