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Identify, Predict, Actuate: Observation-Calibrated Safe Capacity for Small VPS Hosts under Censored Demand and Phase Structure</w:t>
      </w:r>
    </w:p>
    <w:p>
      <w:pPr>
        <w:jc w:val="center"/>
      </w:pPr>
      <w:r>
        <w:rPr>
          <w:sz w:val="25"/>
        </w:rPr>
        <w:t>Kaixiang Nie</w:t>
      </w:r>
    </w:p>
    <w:p>
      <w:pPr>
        <w:jc w:val="center"/>
      </w:pPr>
      <w:r>
        <w:t>Fujian Chuanzheng Communications College, Fuzhou, China</w:t>
      </w:r>
    </w:p>
    <w:p>
      <w:pPr>
        <w:jc w:val="center"/>
      </w:pPr>
      <w:r>
        <w:t>Corresponding author: Kaixiang Nie · email: me@niekaixiang.com</w:t>
      </w:r>
    </w:p>
    <w:p>
      <w:pPr>
        <w:pStyle w:val="Heading2"/>
      </w:pPr>
      <w:r>
        <w:t>Abstract</w:t>
      </w:r>
    </w:p>
    <w:p>
      <w:r>
        <w:t>Small VPS providers pack many cheap, mostly-idle, occasionally-bursty tenants onto few physical cores; oversubscription is their business model. We recast safe oversubscription as three ordered problems whose bottleneck is observational capability. First, quota censoring hides demand: the point estimate equals the running-stretch mean, exact only when running and throttled stretch means agree; a conditional floor holds under continuous saturation; and from aggregate counters alone no estimator can be correct for all workloads, since two processes can produce identical observations with different demand. Across 180 cycles, throttle-corrected estimates track the truth while naive quota-release decisions violate the SLO in all 30 independent rounds. Second, capacity is set by phase structure, not average utilization: at the same 20% duty, random-phase and aligned fleets differ 3.5x in safe capacity (28 versus 8 seats at customer P5 &gt;= 70%), and a 35%-busy set collapsing while a 98%-busy set stays safe shows that safety cannot be read off utilization. Third, the sampling rate must resolve the bursts it prices. Together these capabilities form an observation set that a risk-calibrated admission controller implements: in the 14 evaluated scenarios it admitted 16-20 tenants under randomized phases and stopped at eight under aligned phases while meeting the customer-quality bar, whereas baseline policies either oversold (customer P5 collapsing to 16%) or wasted 2-3x capacity. All claims rest on mass repeats, two testbeds, read-only telemetry from production hosts we operate, and released artifacts.</w:t>
      </w:r>
    </w:p>
    <w:p>
      <w:pPr>
        <w:pStyle w:val="Heading2"/>
      </w:pPr>
      <w:r>
        <w:t>Keywords</w:t>
      </w:r>
    </w:p>
    <w:p>
      <w:r>
        <w:t>oversubscription; admission control; censored demand; phase structure; tail latency; cloud resource management</w:t>
      </w:r>
    </w:p>
    <w:p>
      <w:pPr>
        <w:pStyle w:val="Heading1"/>
        <w:pageBreakBefore/>
      </w:pPr>
      <w:r>
        <w:t>1 Introduction</w:t>
      </w:r>
    </w:p>
    <w:p>
      <w:pPr>
        <w:pStyle w:val="Heading2"/>
      </w:pPr>
      <w:r>
        <w:t>1.1 Background</w:t>
      </w:r>
    </w:p>
    <w:p>
      <w:r>
        <w:t xml:space="preserve">In the cheap-VPS market, sellers survive by packing many low-utilization customer VMs onto a small number of physical cores. We observed two real production hosts (anonymized): one carries 64 running customer VMs (70 vCPUs configured) on 4 physical cores / 8 logical threads; another (50 cores) configures 285 VMs with 276 running (8.3x vCPU, 2.0x memory oversubscription). For small providers oversubscription is not an optional optimization but the business model: "1 core, 2 GB" is cheap precisely because most tenants are idle most of the time. The hard part is not "whether to oversubscribe" but three ordered technical problems: </w:t>
      </w:r>
      <w:r>
        <w:rPr>
          <w:b/>
          <w:i w:val="0"/>
        </w:rPr>
        <w:t>can we see it (identify), can we predict it (predict), can we push it (actuate)</w:t>
      </w:r>
      <w:r>
        <w:t>.</w:t>
      </w:r>
    </w:p>
    <w:p>
      <w:pPr>
        <w:pStyle w:val="Heading2"/>
      </w:pPr>
      <w:r>
        <w:t>1.2 Three Problems</w:t>
      </w:r>
    </w:p>
    <w:p>
      <w:pPr>
        <w:pStyle w:val="ListBullet"/>
      </w:pPr>
      <w:r>
        <w:rPr>
          <w:b/>
          <w:i w:val="0"/>
        </w:rPr>
        <w:t>Identify: demand is censored, and aggregates cannot fully recover it.</w:t>
      </w:r>
      <w:r>
        <w:t xml:space="preserve"> CPU quotas are standard; once a tenant hits its cap, its "usage" no longer represents demand — a tenant throttled at 50% while wanting 100% looks like an idle one. We further formalize this: from aggregate (usage, throttle-fraction) counters alone, </w:t>
      </w:r>
      <w:r>
        <w:rPr>
          <w:b/>
          <w:i w:val="0"/>
        </w:rPr>
        <w:t>no estimator that sees only these counters can be correct for all workloads</w:t>
      </w:r>
      <w:r>
        <w:t xml:space="preserve"> (exact non-identifiability — identical observations, different demand; stronger than statistical unbiasedness; construction in Section 3.3.1); what can be certified is a point estimate of the running-stretch mean plus a shape-free floor </w:t>
      </w:r>
      <m:oMath>
        <m:r>
          <m:t xml:space="preserve">q(1+t)</m:t>
        </m:r>
      </m:oMath>
      <w:r>
        <w:t>. The identifiability boundary is therefore stated explicitly rather than assumed away.</w:t>
      </w:r>
    </w:p>
    <w:p>
      <w:pPr>
        <w:pStyle w:val="ListBullet"/>
      </w:pPr>
      <w:r>
        <w:rPr>
          <w:b/>
          <w:i w:val="0"/>
        </w:rPr>
        <w:t>Predict: capacity is set by phase structure, not average utilization.</w:t>
      </w:r>
      <w:r>
        <w:t xml:space="preserve"> With the same per-tenant duty (20%), 64 tenants in random phase safely sell 28 seats (P5 ≥ 70% bar; fine-scanned boundary [28,32)) while fully aligned tenants sell only 8 (boundary [8,10)); and a 35%-busy synchronized set collapses while a 98%-busy random set stays safe — </w:t>
      </w:r>
      <w:r>
        <w:rPr>
          <w:b/>
          <w:i w:val="0"/>
        </w:rPr>
        <w:t>safety is not identifiable from utilization</w:t>
      </w:r>
      <w:r>
        <w:t>. Phase structure is measurable from one-second per-tenant history (phase profiles) and can even be arranged at provisioning time (phase scattering).</w:t>
      </w:r>
    </w:p>
    <w:p>
      <w:pPr>
        <w:pStyle w:val="ListBullet"/>
      </w:pPr>
      <w:r>
        <w:rPr>
          <w:b/>
          <w:i w:val="0"/>
        </w:rPr>
        <w:t>Actuate: efficiency levers must be split into invisible gains and tenant-visible regressions.</w:t>
      </w:r>
      <w:r>
        <w:t xml:space="preserve"> Core isolation, KSM dedup, and free-page reporting are invisible to tenants; quotas, IO caps, and zram carry explicit prices. The product space of a small provider is exactly "how far density can be pushed without reducing tenant-visible resources".</w:t>
      </w:r>
    </w:p>
    <w:p>
      <w:pPr>
        <w:ind w:left="454"/>
      </w:pPr>
      <w:r>
        <w:rPr>
          <w:i/>
        </w:rPr>
        <w:t>Observation design: the three problems share one bottleneck — observational capability. Three capabilities (censoring identification / phase resolution / time resolution) are each necessary (Section 3.6) and jointly sufficient for our target workload family (an empirical statement); the Section 7 comparison attributes each baseline's failure to the capability it lacks.</w:t>
      </w:r>
    </w:p>
    <w:p>
      <w:pPr>
        <w:pStyle w:val="Heading2"/>
      </w:pPr>
      <w:r>
        <w:t>1.3 Approach Overview</w:t>
      </w:r>
    </w:p>
    <w:p>
      <w:r>
        <w:t xml:space="preserve">Figure 1 summarizes the study pipeline and the observation set. Two self-built testbeds make the problems verifiable: a </w:t>
      </w:r>
      <w:r>
        <w:rPr>
          <w:b/>
          <w:i w:val="0"/>
        </w:rPr>
        <w:t>nested PVE bed</w:t>
      </w:r>
      <w:r>
        <w:t xml:space="preserve"> (4 vCPU / 19.5 GiB, 16 tenants) and a </w:t>
      </w:r>
      <w:r>
        <w:rPr>
          <w:b/>
          <w:i w:val="0"/>
        </w:rPr>
        <w:t>bare-metal bed</w:t>
      </w:r>
      <w:r>
        <w:t xml:space="preserve"> (2x Xeon 8259CL, 96 threads / 991 GiB, 64-VM fleet; isolation claim verified against SMT/NUMA topology), anchored by read-only telemetry from two production hosts. Around the three pillars:</w:t>
      </w:r>
    </w:p>
    <w:p>
      <w:pPr>
        <w:jc w:val="center"/>
      </w:pPr>
      <w:r>
        <w:drawing>
          <wp:inline xmlns:a="http://schemas.openxmlformats.org/drawingml/2006/main" xmlns:pic="http://schemas.openxmlformats.org/drawingml/2006/picture">
            <wp:extent cx="5760000" cy="20400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760000" cy="2040000"/>
                    </a:xfrm>
                    <a:prstGeom prst="rect"/>
                  </pic:spPr>
                </pic:pic>
              </a:graphicData>
            </a:graphic>
          </wp:inline>
        </w:drawing>
      </w:r>
    </w:p>
    <w:p>
      <w:pPr>
        <w:jc w:val="center"/>
      </w:pPr>
      <w:r>
        <w:rPr>
          <w:i/>
          <w:color w:val="333333"/>
          <w:sz w:val="19"/>
        </w:rPr>
        <w:t>Figure 1 Study pipeline: Identify -&gt; Predict -&gt; Actuate with the minimal observation set</w:t>
      </w:r>
    </w:p>
    <w:p>
      <w:pPr>
        <w:ind w:left="454" w:hanging="283"/>
      </w:pPr>
      <w:r>
        <w:t xml:space="preserve">1. </w:t>
      </w:r>
      <w:r>
        <w:rPr>
          <w:b/>
          <w:i w:val="0"/>
        </w:rPr>
        <w:t>Identify</w:t>
      </w:r>
      <w:r>
        <w:t xml:space="preserve"> — the censoring identifiability analysis (Section 3.3.1), a 90-cycle paired validation, and a mixed-occupancy three-estimator ablation (naive / quota-scaled / throttle-corrected).</w:t>
      </w:r>
    </w:p>
    <w:p>
      <w:pPr>
        <w:ind w:left="454" w:hanging="283"/>
      </w:pPr>
      <w:r>
        <w:t xml:space="preserve">2. </w:t>
      </w:r>
      <w:r>
        <w:rPr>
          <w:b/>
          <w:i w:val="0"/>
        </w:rPr>
        <w:t>Predict</w:t>
      </w:r>
      <w:r>
        <w:t xml:space="preserve"> — the density law </w:t>
      </w:r>
      <m:oMath>
        <m:sSup>
          <m:e>
            <m:r>
              <m:t xml:space="preserve">N</m:t>
            </m:r>
          </m:e>
          <m:sup>
            <m:r>
              <m:t xml:space="preserve">*</m:t>
            </m:r>
          </m:sup>
        </m:sSup>
        <m:r>
          <m:t xml:space="preserve">=</m:t>
        </m:r>
        <m:r>
          <m:t xml:space="preserve">C/(</m:t>
        </m:r>
        <m:r>
          <m:t xml:space="preserve">φ</m:t>
        </m:r>
        <m:r>
          <m:t xml:space="preserve">+</m:t>
        </m:r>
        <m:r>
          <m:t xml:space="preserve">(1-</m:t>
        </m:r>
        <m:r>
          <m:t xml:space="preserve">φ</m:t>
        </m:r>
        <m:r>
          <m:t xml:space="preserve">)</m:t>
        </m:r>
        <m:r>
          <m:t xml:space="preserve">ρ</m:t>
        </m:r>
        <m:r>
          <m:t xml:space="preserve">)</m:t>
        </m:r>
        <m:r>
          <m:t xml:space="preserve">=</m:t>
        </m:r>
        <m:r>
          <m:t xml:space="preserve">C/(</m:t>
        </m:r>
        <m:r>
          <m:t xml:space="preserve">ρ</m:t>
        </m:r>
        <m:r>
          <m:t xml:space="preserve">κ</m:t>
        </m:r>
        <m:r>
          <m:t xml:space="preserve">)</m:t>
        </m:r>
      </m:oMath>
      <w:r>
        <w:t>; three-point mixed-phase validation, the anti-phase arrangement experiment, and threshold-qualified capacity curves (primary bar P5 ≥ 70%).</w:t>
      </w:r>
    </w:p>
    <w:p>
      <w:pPr>
        <w:ind w:left="454" w:hanging="283"/>
      </w:pPr>
      <w:r>
        <w:t xml:space="preserve">3. </w:t>
      </w:r>
      <w:r>
        <w:rPr>
          <w:b/>
          <w:i w:val="0"/>
        </w:rPr>
        <w:t>Actuate</w:t>
      </w:r>
      <w:r>
        <w:t xml:space="preserve"> — risk-calibrated admission (pseudocode and calibration protocol in Section 5.3.1) landing on the capacity oracle in an online head-to-head comparison; no-regression controls (KSM/FPR/zram, adaptive IO; micro-period quotas re-measured — the earlier +35% claim is withdrawn, Section 9.1) raising density per resource.</w:t>
      </w:r>
    </w:p>
    <w:p>
      <w:pPr>
        <w:pStyle w:val="Heading2"/>
      </w:pPr>
      <w:r>
        <w:t>1.4 Summary of Results</w:t>
      </w:r>
    </w:p>
    <w:p>
      <w:pPr>
        <w:pStyle w:val="ListBullet"/>
      </w:pPr>
      <w:r>
        <w:rPr>
          <w:b/>
          <w:i w:val="0"/>
        </w:rPr>
        <w:t>Identify</w:t>
      </w:r>
      <w:r>
        <w:t xml:space="preserve">: five pegged tenants at 30% quota show 1.50 cores on the usage panel against 5.00 cores of true demand (3.3x, 7/7 rounds); in the v2 repeat (50% quota), throttle-corrected estimates hit the truth in all 90 cycles and naive "release" decisions violate in </w:t>
      </w:r>
      <w:r>
        <w:rPr>
          <w:b/>
          <w:i w:val="0"/>
        </w:rPr>
        <w:t>90/90</w:t>
      </w:r>
      <w:r>
        <w:t xml:space="preserve">; the v3 rework (30% quota, 90 cycles) replicates the direction (naive 3.6x under-report; corrected median |err| 0.55 cores, 88/90 within ±20%); a mixed-occupancy ablation (3 pegged + 3 idle @30%, truth 3.3) yields aggregate errors — naive -2.31 (unsafe), quota-scaling +0.01 (smallest </w:t>
      </w:r>
      <w:r>
        <w:rPr>
          <w:b w:val="0"/>
          <w:i/>
        </w:rPr>
        <w:t>in this sample</w:t>
      </w:r>
      <w:r>
        <w:t xml:space="preserve"> because bursty peaks saturate the quota), throttle correction -0.20, full-vCPU +2.70, uncapped -0.16 — while per tenant, saturated tenants are exact under both methods and the window-averaged throttle fraction is diluted by idle time for bursty tenants (0.033 vs true 0.10); estimator choice must rest on per-tenant correctness, with multi-resolution throttle sequences (Ch. 9) fixing the dilution.</w:t>
      </w:r>
    </w:p>
    <w:p>
      <w:pPr>
        <w:pStyle w:val="ListBullet"/>
      </w:pPr>
      <w:r>
        <w:rPr>
          <w:b/>
          <w:i w:val="0"/>
        </w:rPr>
        <w:t>Predict</w:t>
      </w:r>
      <w:r>
        <w:t xml:space="preserve">: the density law hits three mixed-phase break points on the physical host — </w:t>
      </w:r>
      <m:oMath>
        <m:r>
          <m:t xml:space="preserve">φ</m:t>
        </m:r>
      </m:oMath>
      <w:r>
        <w:t xml:space="preserve">=0.50 predicted 13.3 (13 pass, 16 fail), </w:t>
      </w:r>
      <m:oMath>
        <m:r>
          <m:t xml:space="preserve">φ</m:t>
        </m:r>
      </m:oMath>
      <w:r>
        <w:t xml:space="preserve">=0.75 predicted 10.0 (10 pass, 13 fail), </w:t>
      </w:r>
      <m:oMath>
        <m:r>
          <m:t xml:space="preserve">φ</m:t>
        </m:r>
      </m:oMath>
      <w:r>
        <w:t>=0.25 predicted 20.0 (20–24 pass, 28 fail); random-vs-aligned safe capacity ratio 3.5× at the primary bar (3.5×–4× across bars); the utilization-impossibility counterexample (35% vs 98%).</w:t>
      </w:r>
    </w:p>
    <w:p>
      <w:pPr>
        <w:pStyle w:val="ListBullet"/>
      </w:pPr>
      <w:r>
        <w:rPr>
          <w:b/>
          <w:i w:val="0"/>
        </w:rPr>
        <w:t>Actuate</w:t>
      </w:r>
      <w:r>
        <w:t xml:space="preserve">: isolation is the only lever surviving every storm (physical-core verified); the fixed phase-aware admission stops </w:t>
      </w:r>
      <w:r>
        <w:rPr>
          <w:b/>
          <w:i w:val="0"/>
        </w:rPr>
        <w:t>inside the fine-scanned synchronized bracket (8 seats; 10 = first fail)</w:t>
      </w:r>
      <w:r>
        <w:t xml:space="preserve">; KSM reclaims </w:t>
      </w:r>
      <w:r>
        <w:rPr>
          <w:b/>
          <w:i w:val="0"/>
        </w:rPr>
        <w:t>21.4 GiB (33.4% of fleet RAM)</w:t>
      </w:r>
      <w:r>
        <w:t xml:space="preserve"> with service P99 0.73→0.76 ms, and idle "1 GB" VMs hold only 156–315 MB of host memory (free-page reporting already returning free pages) — the key enabler of memory density.</w:t>
      </w:r>
    </w:p>
    <w:p>
      <w:pPr>
        <w:pStyle w:val="ListBullet"/>
      </w:pPr>
      <w:r>
        <w:rPr>
          <w:b/>
          <w:i w:val="0"/>
        </w:rPr>
        <w:t>Evidence strength</w:t>
      </w:r>
      <w:r>
        <w:t>: 100-round knee (two batches), 180-cycle censoring (two batches), 30-round combined-stress campaign, 4-round fine scan, 3-round sync; explicit statistics (round-clustered, binomial bounds, P99 primary), anomalies (OOM-offline VMs, degraded rounds, batch drift) archived and merged via the v3 rework.</w:t>
      </w:r>
    </w:p>
    <w:p>
      <w:pPr>
        <w:pStyle w:val="Heading2"/>
      </w:pPr>
      <w:r>
        <w:t>1.5 Contributions</w:t>
      </w:r>
    </w:p>
    <w:p>
      <w:r>
        <w:rPr>
          <w:b/>
          <w:i w:val="0"/>
        </w:rPr>
        <w:t>Primary contributions (Identify and Actuate)</w:t>
      </w:r>
    </w:p>
    <w:p>
      <w:pPr>
        <w:ind w:left="454" w:hanging="283"/>
      </w:pPr>
      <w:r>
        <w:t xml:space="preserve">1. </w:t>
      </w:r>
      <w:r>
        <w:rPr>
          <w:b/>
          <w:i w:val="0"/>
        </w:rPr>
        <w:t>Identify (censoring identifiability + cross-batch validation)</w:t>
      </w:r>
      <w:r>
        <w:t>: the running-stretch-mean estimator with exactness conditions, a conditional floor, an aggregate non-identifiability construction, and validation across 180 cycles / 60 independent rounds (two batches).</w:t>
      </w:r>
    </w:p>
    <w:p>
      <w:pPr>
        <w:ind w:left="454" w:hanging="283"/>
      </w:pPr>
      <w:r>
        <w:t xml:space="preserve">2. </w:t>
      </w:r>
      <w:r>
        <w:rPr>
          <w:b/>
          <w:i w:val="0"/>
        </w:rPr>
        <w:t>Actuate (phase-aware admission + intervention evidence)</w:t>
      </w:r>
      <w:r>
        <w:t>: the complete risk-calibrated admission specification (pseudocode, parameters, calibration protocol), the complete 14-round comparison (both-bar final), the C5 anti-phase intervention (same tenants; phase arrangement alone changes capacity x2/x4), and fine-scan boundary pinning (sync [8,10), rand [28,32)).</w:t>
      </w:r>
    </w:p>
    <w:p>
      <w:r>
        <w:rPr>
          <w:b/>
          <w:i w:val="0"/>
        </w:rPr>
        <w:t>Supporting contributions (supporting evidence; not standalone claims)</w:t>
      </w:r>
    </w:p>
    <w:p>
      <w:pPr>
        <w:ind w:left="454" w:hanging="283"/>
      </w:pPr>
      <w:r>
        <w:t xml:space="preserve">1. </w:t>
      </w:r>
      <w:r>
        <w:rPr>
          <w:b/>
          <w:i w:val="0"/>
        </w:rPr>
        <w:t>Predict (approximation model + three-artifact PPC)</w:t>
      </w:r>
      <w:r>
        <w:t>: the assumption-explicit safe-capacity approximation and the PPC (parametric / empirical forward prediction / online actuator), with prediction quality reported as measured (4/5 zero over-admission; the optimistic sync case is vetoed by the online peak gate) — prediction is step advice and risk ranking; the online gate carries safety.</w:t>
      </w:r>
    </w:p>
    <w:p>
      <w:pPr>
        <w:ind w:left="454" w:hanging="283"/>
      </w:pPr>
      <w:r>
        <w:t xml:space="preserve">2. </w:t>
      </w:r>
      <w:r>
        <w:rPr>
          <w:b/>
          <w:i w:val="0"/>
        </w:rPr>
        <w:t>Efficiency ledger (supports the density ceiling, Chapter 9)</w:t>
      </w:r>
      <w:r>
        <w:t>: the per-resource no-regression ledger for CPU/memory/IO (KSM/FPR zero-visible-regression; zram/quota/IO caps explicitly priced).</w:t>
      </w:r>
    </w:p>
    <w:p>
      <w:r>
        <w:rPr>
          <w:b/>
          <w:i w:val="0"/>
        </w:rPr>
        <w:t>Platform + artifacts</w:t>
      </w:r>
      <w:r>
        <w:t>: two testbeds, production telemetry, all scripts and raw data.</w:t>
      </w:r>
    </w:p>
    <w:p>
      <w:pPr>
        <w:pStyle w:val="Heading2"/>
      </w:pPr>
      <w:r>
        <w:t>1.6 Structure</w:t>
      </w:r>
    </w:p>
    <w:p>
      <w:r>
        <w:t>Section 2 related work; Section 3 system model and problem definition (incl. 3.3.1 identifiability); Section 4 measurement study; Section 5 design (risk-calibrated admission and the no-regression control stack, with algorithm pseudocode); Section 6 implementation and testbed; Section 7 evaluation (comparison, combined-stress, estimator characterization); Section 8 physical-host validation and the density law; Section 9 resource-efficiency modules (KSM/FPR/zram/adaptive IO, incl. the micro-period self-audit correction); Section 10 discussion and limitations; Section 11 conclusion.</w:t>
      </w:r>
    </w:p>
    <w:p>
      <w:pPr>
        <w:pStyle w:val="Heading1"/>
        <w:pageBreakBefore/>
      </w:pPr>
      <w:r>
        <w:t>2 Related Work</w:t>
      </w:r>
    </w:p>
    <w:p>
      <w:pPr>
        <w:pStyle w:val="Heading2"/>
      </w:pPr>
      <w:r>
        <w:t>2.1 Oversubscription and Admission in Cloud Platforms</w:t>
      </w:r>
    </w:p>
    <w:p>
      <w:r>
        <w:t>Oversubscription is central to cloud resource efficiency. AUDIBLE [1] (ASPLOS 2024) controls server capacity violations with per-tenant empirical distributions combined convolutionally, substantially improving packing at hyperscale; Coach [2] (ASPLOS 2025) exploits long-term temporal patterns across all resources and monitors/mitigates contention; Hestia [3] (SIGCOMM 2026) aggregates workloads by temporal complementarity using a volatility metric (MCV) to stabilize oversubscription ratios. All of these assume long, rich, correlatable history and target platform-side capacity accounting.</w:t>
      </w:r>
    </w:p>
    <w:p>
      <w:r>
        <w:t xml:space="preserve">Our setting exposes two blind spots of that line for small providers. First, </w:t>
      </w:r>
      <w:r>
        <w:rPr>
          <w:b/>
          <w:i w:val="0"/>
        </w:rPr>
        <w:t>synchronization</w:t>
      </w:r>
      <w:r>
        <w:t xml:space="preserve">: temporal complementarity works precisely because loads are out of phase; when tenant loads synchronize (hourly jobs, batch deployments, attacks), aggregation aligns the spikes — our one-minute periodic spike timeline is direct evidence. Second, the </w:t>
      </w:r>
      <w:r>
        <w:rPr>
          <w:b/>
          <w:i w:val="0"/>
        </w:rPr>
        <w:t>observability gap</w:t>
      </w:r>
      <w:r>
        <w:t>: hyperscalers aggregate over billing windows, whereas small providers protect themselves with hard quotas; once a quota binds, "usage" becomes a censored observation, and Section 5 shows that decisions based on it systematically overestimate headroom (3.3× underestimate of true demand).</w:t>
      </w:r>
    </w:p>
    <w:p>
      <w:r>
        <w:t xml:space="preserve">On the admission side, Kerveros [4] (OSDI 2023) reports production capacity bookkeeping and buffering in a large public cloud; ProtoHAIL/ProtoRAIL [5] learns risk-aware adaptive vCPU oversubscription ratios via prototypical imitation learning with human-in-the-loop; conformal demand envelopes for GPU clusters [7] (2024) turn oversubscription into calibrated risk envelopes; SCROOGEVM [6] adjusts oversubscription ratios based on detected host quiescence; RSR [8] (2026) uses calibrated interval prediction to size individual VMs. These works are strong on prediction and calibration, but their evaluation targets are platform-side capacity violations or single-VM sizing, not </w:t>
      </w:r>
      <w:r>
        <w:rPr>
          <w:b/>
          <w:i w:val="0"/>
        </w:rPr>
        <w:t>which control mechanism actually protects business tail latency on a small host</w:t>
      </w:r>
      <w:r>
        <w:t>. Our controlled comparisons of CPU quotas, CPU weights, core isolation, memory double-gates, and IO caps/weights answer exactly that, yielding the "isolation first, hard caps second, no soft priorities" conclusion.</w:t>
      </w:r>
    </w:p>
    <w:p>
      <w:pPr>
        <w:pStyle w:val="Heading2"/>
      </w:pPr>
      <w:r>
        <w:t>2.2 Resource-Control Primitives and Scheduling</w:t>
      </w:r>
    </w:p>
    <w:p>
      <w:r>
        <w:t xml:space="preserve">cgroup v2 supplies the entire control surface we use: </w:t>
      </w:r>
      <w:r>
        <w:rPr>
          <w:rFonts w:ascii="Consolas" w:hAnsi="Consolas"/>
          <w:sz w:val="20"/>
        </w:rPr>
        <w:t>cpu.max</w:t>
      </w:r>
      <w:r>
        <w:t xml:space="preserve"> (bandwidth quota and period), </w:t>
      </w:r>
      <w:r>
        <w:rPr>
          <w:rFonts w:ascii="Consolas" w:hAnsi="Consolas"/>
          <w:sz w:val="20"/>
        </w:rPr>
        <w:t>cpu.weight</w:t>
      </w:r>
      <w:r>
        <w:t xml:space="preserve">, </w:t>
      </w:r>
      <w:r>
        <w:rPr>
          <w:rFonts w:ascii="Consolas" w:hAnsi="Consolas"/>
          <w:sz w:val="20"/>
        </w:rPr>
        <w:t>memory.high</w:t>
      </w:r>
      <w:r>
        <w:t>/</w:t>
      </w:r>
      <w:r>
        <w:rPr>
          <w:rFonts w:ascii="Consolas" w:hAnsi="Consolas"/>
          <w:sz w:val="20"/>
        </w:rPr>
        <w:t>memory.max</w:t>
      </w:r>
      <w:r>
        <w:t xml:space="preserve">, </w:t>
      </w:r>
      <w:r>
        <w:rPr>
          <w:rFonts w:ascii="Consolas" w:hAnsi="Consolas"/>
          <w:sz w:val="20"/>
        </w:rPr>
        <w:t>memory.swap.max</w:t>
      </w:r>
      <w:r>
        <w:t xml:space="preserve">, </w:t>
      </w:r>
      <w:r>
        <w:rPr>
          <w:rFonts w:ascii="Consolas" w:hAnsi="Consolas"/>
          <w:sz w:val="20"/>
        </w:rPr>
        <w:t>io.max</w:t>
      </w:r>
      <w:r>
        <w:t>/</w:t>
      </w:r>
      <w:r>
        <w:rPr>
          <w:rFonts w:ascii="Consolas" w:hAnsi="Consolas"/>
          <w:sz w:val="20"/>
        </w:rPr>
        <w:t>io.weight</w:t>
      </w:r>
      <w:r>
        <w:t>/</w:t>
      </w:r>
      <w:r>
        <w:rPr>
          <w:rFonts w:ascii="Consolas" w:hAnsi="Consolas"/>
          <w:sz w:val="20"/>
        </w:rPr>
        <w:t>io.latency</w:t>
      </w:r>
      <w:r>
        <w:t xml:space="preserve">, and PSI [16-18]. The kernel documentation defines the semantics but leaves the </w:t>
      </w:r>
      <w:r>
        <w:rPr>
          <w:b/>
          <w:i w:val="0"/>
        </w:rPr>
        <w:t>combined behavior under multi-tenant oversubscription</w:t>
      </w:r>
      <w:r>
        <w:t xml:space="preserve"> open. Our measurements add operationally important facts: block-IO accounting may bind to the whole-disk device rather than the mounted partition; </w:t>
      </w:r>
      <w:r>
        <w:rPr>
          <w:rFonts w:ascii="Consolas" w:hAnsi="Consolas"/>
          <w:sz w:val="20"/>
        </w:rPr>
        <w:t>io.weight</w:t>
      </w:r>
      <w:r>
        <w:t xml:space="preserve"> only distributes bandwidth when an IO scheduler such as BFQ honors it (the host default </w:t>
      </w:r>
      <w:r>
        <w:rPr>
          <w:rFonts w:ascii="Consolas" w:hAnsi="Consolas"/>
          <w:sz w:val="20"/>
        </w:rPr>
        <w:t>none</w:t>
      </w:r>
      <w:r>
        <w:t xml:space="preserve"> makes it a no-op); CPU quotas protect averages while manufacturing pulse trains that hurt tail latency; and even 100× CPU weight does not protect short-request tails on a saturated host.</w:t>
      </w:r>
    </w:p>
    <w:p>
      <w:r>
        <w:t xml:space="preserve">On the KVM scheduling side, the community has long studied lock-holder preemption and vCPU spinning under oversubscription [18] (KVM Forum 2021); a December 2025 kernel patch series (sched/kvm: Semantics-aware vCPU scheduling for oversubscribed KVM) continues improving this with a vCPU debooster and IPI-aware directed yield. These mechanism-level results align with our observations: oversubscribed-host tail latency is not an average-value problem, and the reliable way to bring tails back under control is to </w:t>
      </w:r>
      <w:r>
        <w:rPr>
          <w:b/>
          <w:i w:val="0"/>
        </w:rPr>
        <w:t>remove the critical workload from the contention set (isolation)</w:t>
      </w:r>
      <w:r>
        <w:t xml:space="preserve"> rather than to fine-tune priorities within it.</w:t>
      </w:r>
    </w:p>
    <w:p>
      <w:pPr>
        <w:pStyle w:val="Heading2"/>
      </w:pPr>
      <w:r>
        <w:t>2.3 Industrial Practice and Tools</w:t>
      </w:r>
    </w:p>
    <w:p>
      <w:r>
        <w:t xml:space="preserve">The Kubernetes ecosystem expresses differentiated policies as "overcommit classes": Inditex's k8s-overcommit-operator [10] rewrites resource requests per workload label, and OpenShift's ClusterResourceOverride [11] controls node density through request/limit ratios; KubeVirt [12] exposes a global </w:t>
      </w:r>
      <w:r>
        <w:rPr>
          <w:rFonts w:ascii="Consolas" w:hAnsi="Consolas"/>
          <w:sz w:val="20"/>
        </w:rPr>
        <w:t>cpuAllocationRatio</w:t>
      </w:r>
      <w:r>
        <w:t xml:space="preserve"> and its community still requests per-VM overcommit overrides (issue #15710: opened 2025-09, closed unfixed 2026-02), showing that per-customer oversubscription tiers remain poorly supported in practice. Research prototypes SweetSpotVM/SlackVM [13] demonstrate multi-level oversubscription templates with local schedulers; Calabi [14]'s host resource management stacks Gold/Silver/Bronze slices, guest/emulator CPU pools and pinning, with KSM/zram for memory oversubscription. Our work complements these artifacts with quantitative boundaries: for instance, on the memory path, compression/swap is exactly the failure path our measurements recommend keeping off by default (uncapped trials OOM-killed two tenants; capped trials drained host swap), whereas the double-gate (memory.high + memory.swap.max=0) bounds oversubscription without killing tenants or polluting host swap.</w:t>
      </w:r>
    </w:p>
    <w:p>
      <w:pPr>
        <w:pStyle w:val="Heading2"/>
      </w:pPr>
      <w:r>
        <w:t>2.4 Measurement Methodology</w:t>
      </w:r>
    </w:p>
    <w:p>
      <w:r>
        <w:t>On methodology, Metior [9] (ASE 2021) warns that adjacent time-series samples are not independent and that quantile comparisons must be estimated in time blocks or independent runs. All our controlled comparisons use a fixed SLO (P99 ≤ 10 ms), identical arrival sequences, open-loop generators (logging planned/actual send times, timeouts, and errors), and multiple replicates of every key conclusion (five rounds for the knee, seven for censoring, four synthesis passes); results that do not meet this standard are explicitly labeled preliminary.</w:t>
      </w:r>
    </w:p>
    <w:p>
      <w:pPr>
        <w:pStyle w:val="Heading2"/>
      </w:pPr>
      <w:r>
        <w:t>2.5 Positioning</w:t>
      </w:r>
    </w:p>
    <w:p>
      <w:r>
        <w:rPr>
          <w:b/>
          <w:i w:val="0"/>
        </w:rPr>
        <w:t>Mechanistic distinction from temporal-pattern work (explicit boundary).</w:t>
      </w:r>
      <w:r>
        <w:t xml:space="preserve"> Coach [2] and Hestia [3] also exploit temporal structure, but their mechanisms presuppose </w:t>
      </w:r>
      <w:r>
        <w:rPr>
          <w:b/>
          <w:i w:val="0"/>
        </w:rPr>
        <w:t>mobility/arrangability</w:t>
      </w:r>
      <w:r>
        <w:t xml:space="preserve">: Coach relies on long-term prediction and VM types with guaranteed/oversubscribed partitions; Hestia aggregates complementary workloads into groups and schedules them (with control-plane budget). Our regime (one or few small hosts, no migration freedom, no long history, quota-censored demand) forbids these mechanisms; PPC is therefore a </w:t>
      </w:r>
      <w:r>
        <w:rPr>
          <w:b/>
          <w:i w:val="0"/>
        </w:rPr>
        <w:t>read-only, measurement-driven</w:t>
      </w:r>
      <w:r>
        <w:t xml:space="preserve"> estimator whose new mechanism is (i) a </w:t>
      </w:r>
      <w:r>
        <w:rPr>
          <w:b/>
          <w:i w:val="0"/>
        </w:rPr>
        <w:t>joint block bootstrap</w:t>
      </w:r>
      <w:r>
        <w:t xml:space="preserve"> over per-tenant 1-s phase profiles (convolution on the measured joint structure, not on marginals), and (ii) a decision rule pairing the Section 3.3.1 identifiability boundary with "point estimate + tail bar + zero-over-admission". The two settings therefore ask different questions: prior work schedules workloads to smooth volatility, whereas this paper predicts safe capacity and enforces it online when scheduling is unavailable.</w:t>
      </w:r>
    </w:p>
    <w:p>
      <w:r>
        <w:t xml:space="preserve">We claim neither a new learning algorithm nor new prediction theory. This is a </w:t>
      </w:r>
      <w:r>
        <w:rPr>
          <w:b/>
          <w:i w:val="0"/>
        </w:rPr>
        <w:t>measurement-driven systems study</w:t>
      </w:r>
      <w:r>
        <w:t xml:space="preserve"> for small providers: it decomposes "multi-resource oversubscription with multiple control levers" into separately comparable experimental units, quantifies which folk practices hold and which do not under short history, censored demand, and mixed bursty loads, and delivers a combined-stress-validated admission and shaping configuration. The relationship to hyperscale work is complementary: our hosts are smaller, observability is worse, and the decision population is cheaper — exactly the operating conditions of a large share of the global low-cost VPS market.</w:t>
      </w:r>
    </w:p>
    <w:p>
      <w:pPr>
        <w:pStyle w:val="Heading1"/>
        <w:pageBreakBefore/>
      </w:pPr>
      <w:r>
        <w:t>3 System Model and Problem Definition</w:t>
      </w:r>
    </w:p>
    <w:p>
      <w:pPr>
        <w:ind w:left="454"/>
      </w:pPr>
      <w:r>
        <w:rPr>
          <w:i/>
        </w:rPr>
        <w:t>This chapter formalizes only what the later experiments actually use; no assumptions are introduced without evaluation.</w:t>
      </w:r>
    </w:p>
    <w:p>
      <w:pPr>
        <w:pStyle w:val="Heading2"/>
      </w:pPr>
      <w:r>
        <w:t>3.1 Platform and Tenant Model</w:t>
      </w:r>
    </w:p>
    <w:p>
      <w:r>
        <w:t xml:space="preserve">Consider a single multi-tenant host (the typical small-provider setup) with </w:t>
      </w:r>
      <m:oMath>
        <m:r>
          <m:t xml:space="preserve">C</m:t>
        </m:r>
      </m:oMath>
      <w:r>
        <w:t xml:space="preserve"> logical CPUs, </w:t>
      </w:r>
      <m:oMath>
        <m:r>
          <m:t xml:space="preserve">M</m:t>
        </m:r>
      </m:oMath>
      <w:r>
        <w:t xml:space="preserve"> bytes of physical memory, and one shared block device (throttling and accounting keyed to the whole-disk device). Two classes of workloads run on it:</w:t>
      </w:r>
    </w:p>
    <w:p>
      <w:pPr>
        <w:pStyle w:val="ListBullet"/>
      </w:pPr>
      <w:r>
        <w:rPr>
          <w:b/>
          <w:i w:val="0"/>
        </w:rPr>
        <w:t>Sensitive services</w:t>
      </w:r>
      <w:r>
        <w:t xml:space="preserve">: </w:t>
      </w:r>
      <m:oMath>
        <m:r>
          <m:t xml:space="preserve">s</m:t>
        </m:r>
      </m:oMath>
      <w:r>
        <w:t xml:space="preserve"> lightweight service VMs , e.g., status monitoring, gateway, static serving whose end-to-end latency must meet a service-level objective. We instrument one HTTP and one Redis service.</w:t>
      </w:r>
    </w:p>
    <w:p>
      <w:pPr>
        <w:pStyle w:val="ListBullet"/>
      </w:pPr>
      <w:r>
        <w:rPr>
          <w:b/>
          <w:i w:val="0"/>
        </w:rPr>
        <w:t>Customer VMs (tenants)</w:t>
      </w:r>
      <w:r>
        <w:t xml:space="preserve">: </w:t>
      </w:r>
      <m:oMath>
        <m:r>
          <m:t xml:space="preserve">n</m:t>
        </m:r>
      </m:oMath>
      <w:r>
        <w:t xml:space="preserve"> oversubscribed customer machines (typically 1 vCPU, a few GiB of memory) — the revenue source. Tenant load is characterized by a class: duty cycle </w:t>
      </w:r>
      <m:oMath>
        <m:r>
          <m:t xml:space="preserve">ρ</m:t>
        </m:r>
      </m:oMath>
      <w:r>
        <w:t xml:space="preserve"> (fraction of time working), period </w:t>
      </w:r>
      <m:oMath>
        <m:r>
          <m:t xml:space="preserve">P</m:t>
        </m:r>
      </m:oMath>
      <w:r>
        <w:t xml:space="preserve">, phase </w:t>
      </w:r>
      <m:oMath>
        <m:r>
          <m:t xml:space="preserve">φ</m:t>
        </m:r>
      </m:oMath>
      <w:r>
        <w:t xml:space="preserve"> (aligned or randomized), resident memory, and IO intensity. We cover four classes: pegged (</w:t>
      </w:r>
      <m:oMath>
        <m:r>
          <m:t xml:space="preserve">ρ</m:t>
        </m:r>
        <m:r>
          <m:t xml:space="preserve">=</m:t>
        </m:r>
        <m:r>
          <m:t xml:space="preserve">1</m:t>
        </m:r>
      </m:oMath>
      <w:r>
        <w:t>), bursty (</w:t>
      </w:r>
      <m:oMath>
        <m:r>
          <m:t xml:space="preserve">ρ</m:t>
        </m:r>
        <m:r>
          <m:t xml:space="preserve">≈</m:t>
        </m:r>
        <m:r>
          <m:t xml:space="preserve">1/3</m:t>
        </m:r>
      </m:oMath>
      <w:r>
        <w:t>), idle (</w:t>
      </w:r>
      <m:oMath>
        <m:r>
          <m:t xml:space="preserve">ρ</m:t>
        </m:r>
        <m:r>
          <m:t xml:space="preserve">≈</m:t>
        </m:r>
        <m:r>
          <m:t xml:space="preserve">1/10</m:t>
        </m:r>
      </m:oMath>
      <w:r>
        <w:t>), and synchronized (aligned phase).</w:t>
      </w:r>
    </w:p>
    <w:p>
      <w:r>
        <w:t xml:space="preserve">Each tenant VM </w:t>
      </w:r>
      <m:oMath>
        <m:r>
          <m:t xml:space="preserve">i</m:t>
        </m:r>
      </m:oMath>
      <w:r>
        <w:t xml:space="preserve"> can be constrained by a control vector </w:t>
      </w:r>
      <m:oMath>
        <m:sSub>
          <m:e>
            <m:r>
              <m:t xml:space="preserve">a</m:t>
            </m:r>
          </m:e>
          <m:sub>
            <m:r>
              <m:t xml:space="preserve">i</m:t>
            </m:r>
          </m:sub>
        </m:sSub>
        <m:r>
          <m:t xml:space="preserve">=</m:t>
        </m:r>
        <m:r>
          <m:t xml:space="preserve">(</m:t>
        </m:r>
        <m:sSub>
          <m:e>
            <m:r>
              <m:rPr>
                <m:nor/>
              </m:rPr>
              <m:t xml:space="preserve">pin</m:t>
            </m:r>
          </m:e>
          <m:sub>
            <m:r>
              <m:t xml:space="preserve">i</m:t>
            </m:r>
          </m:sub>
        </m:sSub>
        <m:r>
          <m:t xml:space="preserve">,</m:t>
        </m:r>
        <m:sSub>
          <m:e>
            <m:r>
              <m:t xml:space="preserve">q</m:t>
            </m:r>
          </m:e>
          <m:sub>
            <m:r>
              <m:t xml:space="preserve">i</m:t>
            </m:r>
          </m:sub>
        </m:sSub>
        <m:r>
          <m:t xml:space="preserve">,</m:t>
        </m:r>
        <m:sSub>
          <m:e>
            <m:r>
              <m:t xml:space="preserve">w</m:t>
            </m:r>
          </m:e>
          <m:sub>
            <m:r>
              <m:t xml:space="preserve">i</m:t>
            </m:r>
          </m:sub>
        </m:sSub>
        <m:r>
          <m:t xml:space="preserve">,</m:t>
        </m:r>
        <m:sSub>
          <m:e>
            <m:r>
              <m:t xml:space="preserve">g</m:t>
            </m:r>
          </m:e>
          <m:sub>
            <m:r>
              <m:t xml:space="preserve">i</m:t>
            </m:r>
          </m:sub>
        </m:sSub>
        <m:r>
          <m:t xml:space="preserve">,</m:t>
        </m:r>
        <m:sSub>
          <m:e>
            <m:r>
              <m:t xml:space="preserve">b</m:t>
            </m:r>
          </m:e>
          <m:sub>
            <m:r>
              <m:t xml:space="preserve">i</m:t>
            </m:r>
          </m:sub>
        </m:sSub>
        <m:r>
          <m:t xml:space="preserve">,</m:t>
        </m:r>
        <m:sSub>
          <m:e>
            <m:r>
              <m:rPr>
                <m:nor/>
              </m:rPr>
              <m:t xml:space="preserve">swapmax</m:t>
            </m:r>
          </m:e>
          <m:sub>
            <m:r>
              <m:t xml:space="preserve">i</m:t>
            </m:r>
          </m:sub>
        </m:sSub>
        <m:r>
          <m:t xml:space="preserve">)</m:t>
        </m:r>
      </m:oMath>
      <w:r>
        <w:t>, all through the cgroup v2 interface [15]: core set, CPU quota (</w:t>
      </w:r>
      <w:r>
        <w:rPr>
          <w:rFonts w:ascii="Consolas" w:hAnsi="Consolas"/>
          <w:sz w:val="20"/>
        </w:rPr>
        <w:t>cpu.max</w:t>
      </w:r>
      <w:r>
        <w:t>), CPU weight (</w:t>
      </w:r>
      <w:r>
        <w:rPr>
          <w:rFonts w:ascii="Consolas" w:hAnsi="Consolas"/>
          <w:sz w:val="20"/>
        </w:rPr>
        <w:t>cpu.weight</w:t>
      </w:r>
      <w:r>
        <w:t>), memory soft limit (</w:t>
      </w:r>
      <w:r>
        <w:rPr>
          <w:rFonts w:ascii="Consolas" w:hAnsi="Consolas"/>
          <w:sz w:val="20"/>
        </w:rPr>
        <w:t>memory.high</w:t>
      </w:r>
      <w:r>
        <w:t>), block-IO cap (</w:t>
      </w:r>
      <w:r>
        <w:rPr>
          <w:rFonts w:ascii="Consolas" w:hAnsi="Consolas"/>
          <w:sz w:val="20"/>
        </w:rPr>
        <w:t>io.max</w:t>
      </w:r>
      <w:r>
        <w:t>), and per-cgroup swap limit (</w:t>
      </w:r>
      <w:r>
        <w:rPr>
          <w:rFonts w:ascii="Consolas" w:hAnsi="Consolas"/>
          <w:sz w:val="20"/>
        </w:rPr>
        <w:t>memory.swap.max</w:t>
      </w:r>
      <w:r>
        <w:t>). Controls never change the sold configuration (no migration, no down-sizing), matching the operational envelope of small providers.</w:t>
      </w:r>
    </w:p>
    <w:p>
      <w:pPr>
        <w:pStyle w:val="Heading2"/>
      </w:pPr>
      <w:r>
        <w:t>3.2 Service-Level Objective and Metrics</w:t>
      </w:r>
    </w:p>
    <w:p>
      <w:r>
        <w:rPr>
          <w:b/>
          <w:i w:val="0"/>
        </w:rPr>
        <w:t>Service SLO.</w:t>
      </w:r>
      <w:r>
        <w:t xml:space="preserve"> Within an evaluation window of length </w:t>
      </w:r>
      <m:oMath>
        <m:r>
          <m:t xml:space="preserve">W</m:t>
        </m:r>
      </m:oMath>
      <w:r>
        <w:t xml:space="preserve">, the </w:t>
      </w:r>
      <m:oMath>
        <m:sSub>
          <m:e>
            <m:r>
              <m:t xml:space="preserve">P</m:t>
            </m:r>
          </m:e>
          <m:sub>
            <m:r>
              <m:t xml:space="preserve">99</m:t>
            </m:r>
          </m:sub>
        </m:sSub>
      </m:oMath>
      <w:r>
        <w:t xml:space="preserve"> of request completion latency must satisfy </w:t>
      </w:r>
      <m:oMath>
        <m:sSub>
          <m:e>
            <m:r>
              <m:t xml:space="preserve">P</m:t>
            </m:r>
          </m:e>
          <m:sub>
            <m:r>
              <m:t xml:space="preserve">99</m:t>
            </m:r>
          </m:sub>
        </m:sSub>
        <m:r>
          <m:t xml:space="preserve">≤</m:t>
        </m:r>
        <m:r>
          <m:t xml:space="preserve">L</m:t>
        </m:r>
      </m:oMath>
      <w:r>
        <w:t xml:space="preserve">. We use </w:t>
      </w:r>
      <m:oMath>
        <m:r>
          <m:t xml:space="preserve">W</m:t>
        </m:r>
        <m:r>
          <m:t xml:space="preserve">∈</m:t>
        </m:r>
        <m:r>
          <m:t xml:space="preserve">[30,</m:t>
        </m:r>
        <m:r>
          <m:t xml:space="preserve">120]</m:t>
        </m:r>
      </m:oMath>
      <w:r>
        <w:t xml:space="preserve"> s depending on scenario and </w:t>
      </w:r>
      <m:oMath>
        <m:r>
          <m:t xml:space="preserve">L</m:t>
        </m:r>
        <m:r>
          <m:t xml:space="preserve">=</m:t>
        </m:r>
        <m:r>
          <m:t xml:space="preserve">10</m:t>
        </m:r>
      </m:oMath>
      <w:r>
        <w:t xml:space="preserve"> ms; thresholds are fixed before and never adjusted after results. A window that violates is counted as a </w:t>
      </w:r>
      <w:r>
        <w:rPr>
          <w:b/>
          <w:i w:val="0"/>
        </w:rPr>
        <w:t>violation window</w:t>
      </w:r>
      <w:r>
        <w:t>. Requests are injected at a fixed rate by an open-loop generator that records planned send time, actual send time, and completion; timeouts (&gt;2 s) and errors are counted separately and excluded from latency quantiles.</w:t>
      </w:r>
    </w:p>
    <w:p>
      <w:r>
        <w:rPr>
          <w:b/>
          <w:i w:val="0"/>
        </w:rPr>
        <w:t>Customer-side experience.</w:t>
      </w:r>
      <w:r>
        <w:t xml:space="preserve"> The work rate of a tenant is its measurable busy-loop iteration rate (it/s), compared against the unconstrained full-speed baseline (roughly 55–75 M it/s depending on load shape); this metric expresses </w:t>
      </w:r>
      <w:r>
        <w:rPr>
          <w:b/>
          <w:i w:val="0"/>
        </w:rPr>
        <w:t>where the cost lands</w:t>
      </w:r>
      <w:r>
        <w:t>.</w:t>
      </w:r>
    </w:p>
    <w:p>
      <w:r>
        <w:rPr>
          <w:b/>
          <w:i w:val="0"/>
        </w:rPr>
        <w:t>Host-side evidence.</w:t>
      </w:r>
      <w:r>
        <w:t xml:space="preserve"> Per-cgroup </w:t>
      </w:r>
      <w:r>
        <w:rPr>
          <w:rFonts w:ascii="Consolas" w:hAnsi="Consolas"/>
          <w:sz w:val="20"/>
        </w:rPr>
        <w:t>cpu.stat</w:t>
      </w:r>
      <w:r>
        <w:t xml:space="preserve"> (</w:t>
      </w:r>
      <w:r>
        <w:rPr>
          <w:rFonts w:ascii="Consolas" w:hAnsi="Consolas"/>
          <w:sz w:val="20"/>
        </w:rPr>
        <w:t>usage_usec</w:t>
      </w:r>
      <w:r>
        <w:t xml:space="preserve">, </w:t>
      </w:r>
      <w:r>
        <w:rPr>
          <w:rFonts w:ascii="Consolas" w:hAnsi="Consolas"/>
          <w:sz w:val="20"/>
        </w:rPr>
        <w:t>nr_throttled</w:t>
      </w:r>
      <w:r>
        <w:t xml:space="preserve">, </w:t>
      </w:r>
      <w:r>
        <w:rPr>
          <w:rFonts w:ascii="Consolas" w:hAnsi="Consolas"/>
          <w:sz w:val="20"/>
        </w:rPr>
        <w:t>throttled_usec</w:t>
      </w:r>
      <w:r>
        <w:t xml:space="preserve">), </w:t>
      </w:r>
      <w:r>
        <w:rPr>
          <w:rFonts w:ascii="Consolas" w:hAnsi="Consolas"/>
          <w:sz w:val="20"/>
        </w:rPr>
        <w:t>memory.current</w:t>
      </w:r>
      <w:r>
        <w:t>/</w:t>
      </w:r>
      <w:r>
        <w:rPr>
          <w:rFonts w:ascii="Consolas" w:hAnsi="Consolas"/>
          <w:sz w:val="20"/>
        </w:rPr>
        <w:t>memory.events</w:t>
      </w:r>
      <w:r>
        <w:t xml:space="preserve">, </w:t>
      </w:r>
      <w:r>
        <w:rPr>
          <w:rFonts w:ascii="Consolas" w:hAnsi="Consolas"/>
          <w:sz w:val="20"/>
        </w:rPr>
        <w:t>io.stat</w:t>
      </w:r>
      <w:r>
        <w:t xml:space="preserve">, plus host-level </w:t>
      </w:r>
      <w:r>
        <w:rPr>
          <w:rFonts w:ascii="Consolas" w:hAnsi="Consolas"/>
          <w:sz w:val="20"/>
        </w:rPr>
        <w:t>MemAvailable</w:t>
      </w:r>
      <w:r>
        <w:t>/swap, 3-second CPU busy fraction and PSI pressure counters [16].</w:t>
      </w:r>
    </w:p>
    <w:p>
      <w:pPr>
        <w:pStyle w:val="Heading2"/>
      </w:pPr>
      <w:r>
        <w:t>3.3 Demand, Censoring, and the Observation Model</w:t>
      </w:r>
    </w:p>
    <w:p>
      <w:r>
        <w:t xml:space="preserve">The </w:t>
      </w:r>
      <w:r>
        <w:rPr>
          <w:b/>
          <w:i w:val="0"/>
        </w:rPr>
        <w:t>true demand</w:t>
      </w:r>
      <w:r>
        <w:t xml:space="preserve"> </w:t>
      </w:r>
      <m:oMath>
        <m:sSub>
          <m:e>
            <m:r>
              <m:t xml:space="preserve">d</m:t>
            </m:r>
          </m:e>
          <m:sub>
            <m:r>
              <m:t xml:space="preserve">i</m:t>
            </m:r>
          </m:sub>
        </m:sSub>
        <m:r>
          <m:t xml:space="preserve">(t)</m:t>
        </m:r>
      </m:oMath>
      <w:r>
        <w:t xml:space="preserve"> of tenant </w:t>
      </w:r>
      <m:oMath>
        <m:r>
          <m:t xml:space="preserve">i</m:t>
        </m:r>
      </m:oMath>
      <w:r>
        <w:t xml:space="preserve"> is the CPU it would consume without quota and without contention truncation. The </w:t>
      </w:r>
      <w:r>
        <w:rPr>
          <w:b/>
          <w:i w:val="0"/>
        </w:rPr>
        <w:t>observable usage</w:t>
      </w:r>
      <w:r>
        <w:t xml:space="preserve"> satisfies</w:t>
      </w:r>
    </w:p>
    <w:p>
      <m:oMathPara>
        <m:oMath>
          <m:sSub>
            <m:e>
              <m:r>
                <m:t xml:space="preserve">u</m:t>
              </m:r>
            </m:e>
            <m:sub>
              <m:r>
                <m:t xml:space="preserve">i</m:t>
              </m:r>
            </m:sub>
          </m:sSub>
          <m:r>
            <m:t xml:space="preserve">(t)</m:t>
          </m:r>
          <m:r>
            <m:rPr>
              <m:nor/>
            </m:rPr>
            <m:t xml:space="preserve"/>
          </m:r>
          <m:r>
            <m:t xml:space="preserve">;</m:t>
          </m:r>
          <m:r>
            <m:t xml:space="preserve">≤</m:t>
          </m:r>
          <m:r>
            <m:rPr>
              <m:nor/>
            </m:rPr>
            <m:t xml:space="preserve"/>
          </m:r>
          <m:r>
            <m:t xml:space="preserve">;</m:t>
          </m:r>
          <m:r>
            <m:rPr>
              <m:nor/>
            </m:rPr>
            <m:t xml:space="preserve">min</m:t>
          </m:r>
          <m:r>
            <m:t xml:space="preserve">(</m:t>
          </m:r>
          <m:sSub>
            <m:e>
              <m:r>
                <m:t xml:space="preserve">d</m:t>
              </m:r>
            </m:e>
            <m:sub>
              <m:r>
                <m:t xml:space="preserve">i</m:t>
              </m:r>
            </m:sub>
          </m:sSub>
          <m:r>
            <m:t xml:space="preserve">(t),</m:t>
          </m:r>
          <m:r>
            <m:rPr>
              <m:nor/>
            </m:rPr>
            <m:t xml:space="preserve"/>
          </m:r>
          <m:r>
            <m:t xml:space="preserve">;</m:t>
          </m:r>
          <m:sSub>
            <m:e>
              <m:r>
                <m:t xml:space="preserve">q</m:t>
              </m:r>
            </m:e>
            <m:sub>
              <m:r>
                <m:t xml:space="preserve">i</m:t>
              </m:r>
            </m:sub>
          </m:sSub>
          <m:r>
            <m:t xml:space="preserve">)</m:t>
          </m:r>
          <m:r>
            <m:t xml:space="preserve">,</m:t>
          </m:r>
        </m:oMath>
      </m:oMathPara>
    </w:p>
    <w:p>
      <w:r>
        <w:t>truncated either by an explicit quota (</w:t>
      </w:r>
      <m:oMath>
        <m:sSub>
          <m:e>
            <m:r>
              <m:t xml:space="preserve">q</m:t>
            </m:r>
          </m:e>
          <m:sub>
            <m:r>
              <m:t xml:space="preserve">i</m:t>
            </m:r>
          </m:sub>
        </m:sSub>
      </m:oMath>
      <w:r>
        <w:t xml:space="preserve"> binding) or by contention (all tenants shrink proportionally when the host saturates). Both hide demand from a usage dashboard; we focus on quota censoring and detect it via </w:t>
      </w:r>
      <w:r>
        <w:rPr>
          <w:b/>
          <w:i w:val="0"/>
        </w:rPr>
        <w:t>throttle evidence</w:t>
      </w:r>
      <w:r>
        <w:t>:</w:t>
      </w:r>
    </w:p>
    <w:p>
      <m:oMathPara>
        <m:oMath>
          <m:sSub>
            <m:e>
              <m:r>
                <m:rPr>
                  <m:nor/>
                </m:rPr>
                <m:t xml:space="preserve">censored</m:t>
              </m:r>
            </m:e>
            <m:sub>
              <m:r>
                <m:t xml:space="preserve">i</m:t>
              </m:r>
            </m:sub>
          </m:sSub>
          <m:r>
            <m:t xml:space="preserve">(t)</m:t>
          </m:r>
          <m:r>
            <m:rPr>
              <m:nor/>
            </m:rPr>
            <m:t xml:space="preserve"/>
          </m:r>
          <m:r>
            <m:t xml:space="preserve">;=</m:t>
          </m:r>
          <m:r>
            <m:rPr>
              <m:nor/>
            </m:rPr>
            <m:t xml:space="preserve"/>
          </m:r>
          <m:r>
            <m:t xml:space="preserve">;</m:t>
          </m:r>
          <m:r>
            <m:rPr>
              <m:sty m:val="b"/>
            </m:rPr>
            <m:t>1</m:t>
          </m:r>
          <m:r>
            <m:t xml:space="preserve">[</m:t>
          </m:r>
          <m:r>
            <m:t xml:space="preserve">Δ</m:t>
          </m:r>
          <m:r>
            <m:rPr>
              <m:nor/>
            </m:rPr>
            <m:t xml:space="preserve"/>
          </m:r>
          <m:r>
            <m:t xml:space="preserve">,</m:t>
          </m:r>
          <m:sSub>
            <m:e>
              <m:r>
                <m:rPr>
                  <m:nor/>
                </m:rPr>
                <m:t xml:space="preserve">throttled_usec</m:t>
              </m:r>
            </m:e>
            <m:sub>
              <m:r>
                <m:t xml:space="preserve">i</m:t>
              </m:r>
            </m:sub>
          </m:sSub>
          <m:r>
            <m:t xml:space="preserve">(t)</m:t>
          </m:r>
          <m:r>
            <m:t xml:space="preserve">&gt;</m:t>
          </m:r>
          <m:r>
            <m:t xml:space="preserve">ε</m:t>
          </m:r>
          <m:r>
            <m:rPr>
              <m:nor/>
            </m:rPr>
            <m:t xml:space="preserve"/>
          </m:r>
          <m:r>
            <m:t xml:space="preserve">;</m:t>
          </m:r>
          <m:r>
            <m:t xml:space="preserve">∨</m:t>
          </m:r>
          <m:r>
            <m:rPr>
              <m:nor/>
            </m:rPr>
            <m:t xml:space="preserve"/>
          </m:r>
          <m:r>
            <m:t xml:space="preserve">;</m:t>
          </m:r>
          <m:r>
            <m:t xml:space="preserve">Δ</m:t>
          </m:r>
          <m:r>
            <m:rPr>
              <m:nor/>
            </m:rPr>
            <m:t xml:space="preserve"/>
          </m:r>
          <m:r>
            <m:t xml:space="preserve">,</m:t>
          </m:r>
          <m:sSub>
            <m:e>
              <m:r>
                <m:rPr>
                  <m:nor/>
                </m:rPr>
                <m:t xml:space="preserve">nr_throttled</m:t>
              </m:r>
            </m:e>
            <m:sub>
              <m:r>
                <m:t xml:space="preserve">i</m:t>
              </m:r>
            </m:sub>
          </m:sSub>
          <m:r>
            <m:t xml:space="preserve">(t)</m:t>
          </m:r>
          <m:r>
            <m:t xml:space="preserve">&gt;</m:t>
          </m:r>
          <m:r>
            <m:t xml:space="preserve">0</m:t>
          </m:r>
          <m:r>
            <m:t xml:space="preserve">]</m:t>
          </m:r>
          <m:r>
            <m:t xml:space="preserve">,</m:t>
          </m:r>
        </m:oMath>
      </m:oMathPara>
    </w:p>
    <w:p>
      <w:r>
        <w:t>i.e., the tenant was actually throttled in the window. Two estimators follow:</w:t>
      </w:r>
    </w:p>
    <w:p>
      <w:pPr>
        <w:pStyle w:val="ListBullet"/>
      </w:pPr>
      <w:r>
        <w:rPr>
          <w:b/>
          <w:i w:val="0"/>
        </w:rPr>
        <w:t>naive</w:t>
      </w:r>
      <w:r>
        <w:t xml:space="preserve">: </w:t>
      </w:r>
      <m:oMath>
        <m:acc>
          <m:accPr>
            <m:chr m:val="0302"/>
          </m:accPr>
          <m:e>
            <m:r>
              <m:t xml:space="preserve"> </m:t>
            </m:r>
          </m:e>
        </m:acc>
        <m:sSubSup>
          <m:e>
            <m:r>
              <m:t xml:space="preserve">d</m:t>
            </m:r>
          </m:e>
          <m:sub>
            <m:r>
              <m:t xml:space="preserve">i</m:t>
            </m:r>
          </m:sub>
          <m:sup>
            <m:r>
              <m:rPr>
                <m:nor/>
              </m:rPr>
              <m:t xml:space="preserve">naive</m:t>
            </m:r>
          </m:sup>
        </m:sSubSup>
        <m:r>
          <m:t xml:space="preserve">=</m:t>
        </m:r>
        <m:sSub>
          <m:e>
            <m:r>
              <m:t xml:space="preserve">u</m:t>
            </m:r>
          </m:e>
          <m:sub>
            <m:r>
              <m:t xml:space="preserve">i</m:t>
            </m:r>
          </m:sub>
        </m:sSub>
      </m:oMath>
      <w:r>
        <w:t xml:space="preserve"> (dashboards take usage as demand);</w:t>
      </w:r>
    </w:p>
    <w:p>
      <w:pPr>
        <w:pStyle w:val="ListBullet"/>
      </w:pPr>
      <w:r>
        <w:rPr>
          <w:b/>
          <w:i w:val="0"/>
        </w:rPr>
        <w:t>censoring-aware (empirical estimator)</w:t>
      </w:r>
      <w:r>
        <w:t xml:space="preserve">: if </w:t>
      </w:r>
      <m:oMath>
        <m:sSub>
          <m:e>
            <m:r>
              <m:rPr>
                <m:nor/>
              </m:rPr>
              <m:t xml:space="preserve">censored</m:t>
            </m:r>
          </m:e>
          <m:sub>
            <m:r>
              <m:t xml:space="preserve">i</m:t>
            </m:r>
          </m:sub>
        </m:sSub>
        <m:r>
          <m:t xml:space="preserve">=</m:t>
        </m:r>
        <m:r>
          <m:t xml:space="preserve">1</m:t>
        </m:r>
      </m:oMath>
      <w:r>
        <w:t xml:space="preserve">, with throttle fraction </w:t>
      </w:r>
      <m:oMath>
        <m:sSub>
          <m:e>
            <m:r>
              <m:t xml:space="preserve">t</m:t>
            </m:r>
          </m:e>
          <m:sub>
            <m:r>
              <m:t xml:space="preserve">i</m:t>
            </m:r>
          </m:sub>
        </m:sSub>
      </m:oMath>
      <w:r>
        <w:t xml:space="preserve"> over the window, take </w:t>
      </w:r>
      <m:oMath>
        <m:acc>
          <m:accPr>
            <m:chr m:val="0302"/>
          </m:accPr>
          <m:e>
            <m:r>
              <m:t xml:space="preserve"> </m:t>
            </m:r>
          </m:e>
        </m:acc>
        <m:sSub>
          <m:e>
            <m:r>
              <m:t xml:space="preserve">d</m:t>
            </m:r>
          </m:e>
          <m:sub>
            <m:r>
              <m:t xml:space="preserve">i</m:t>
            </m:r>
          </m:sub>
        </m:sSub>
        <m:r>
          <m:t xml:space="preserve">=</m:t>
        </m:r>
        <m:r>
          <m:rPr>
            <m:nor/>
          </m:rPr>
          <m:t xml:space="preserve">min</m:t>
        </m:r>
        <m:r>
          <m:t xml:space="preserve">(</m:t>
        </m:r>
        <m:r>
          <m:rPr>
            <m:nor/>
          </m:rPr>
          <m:t xml:space="preserve">vCPU</m:t>
        </m:r>
        <m:r>
          <m:t xml:space="preserve">,</m:t>
        </m:r>
        <m:r>
          <m:rPr>
            <m:nor/>
          </m:rPr>
          <m:t xml:space="preserve"/>
        </m:r>
        <m:r>
          <m:t xml:space="preserve">,</m:t>
        </m:r>
        <m:sSub>
          <m:e>
            <m:r>
              <m:t xml:space="preserve">u</m:t>
            </m:r>
          </m:e>
          <m:sub>
            <m:r>
              <m:t xml:space="preserve">i</m:t>
            </m:r>
          </m:sub>
        </m:sSub>
        <m:sSub>
          <m:e>
            <m:r>
              <m:t xml:space="preserve">/(1-t</m:t>
            </m:r>
          </m:e>
          <m:sub>
            <m:r>
              <m:t xml:space="preserve">i</m:t>
            </m:r>
          </m:sub>
        </m:sSub>
        <m:r>
          <m:t xml:space="preserve">))</m:t>
        </m:r>
      </m:oMath>
      <w:r>
        <w:t xml:space="preserve">. This formula assumes the tenant would keep burning at its unthrottled rate during throttled time: it is near-unbiased for </w:t>
      </w:r>
      <w:r>
        <w:rPr>
          <w:b/>
          <w:i w:val="0"/>
        </w:rPr>
        <w:t>saturated</w:t>
      </w:r>
      <w:r>
        <w:t xml:space="preserve"> demand (our primary workload family; ground-truth error ≤9% in Section 7.3.2), </w:t>
      </w:r>
      <w:r>
        <w:rPr>
          <w:b/>
          <w:i w:val="0"/>
        </w:rPr>
        <w:t>over-estimates bursty demand</w:t>
      </w:r>
      <w:r>
        <w:t xml:space="preserve"> (counterexample in the unit tests: true demand 0.3, quota 0.2 → estimate 1.0), and may under-estimate intermittent saturation. It is therefore an </w:t>
      </w:r>
      <w:r>
        <w:rPr>
          <w:b/>
          <w:i w:val="0"/>
        </w:rPr>
        <w:t>empirical estimator to be characterized per workload family, not a distribution-free bound</w:t>
      </w:r>
      <w:r>
        <w:t xml:space="preserve">; "at least its full vCPU" remains the conservative fallback. If </w:t>
      </w:r>
      <m:oMath>
        <m:sSub>
          <m:e>
            <m:r>
              <m:rPr>
                <m:nor/>
              </m:rPr>
              <m:t xml:space="preserve">censored</m:t>
            </m:r>
          </m:e>
          <m:sub>
            <m:r>
              <m:t xml:space="preserve">i</m:t>
            </m:r>
          </m:sub>
        </m:sSub>
        <m:r>
          <m:t xml:space="preserve">=</m:t>
        </m:r>
        <m:r>
          <m:t xml:space="preserve">0</m:t>
        </m:r>
      </m:oMath>
      <w:r>
        <w:t xml:space="preserve">, use </w:t>
      </w:r>
      <m:oMath>
        <m:sSub>
          <m:e>
            <m:r>
              <m:t xml:space="preserve">u</m:t>
            </m:r>
          </m:e>
          <m:sub>
            <m:r>
              <m:t xml:space="preserve">i</m:t>
            </m:r>
          </m:sub>
        </m:sSub>
      </m:oMath>
      <w:r>
        <w:t xml:space="preserve"> — note </w:t>
      </w:r>
      <m:oMath>
        <m:sSub>
          <m:e>
            <m:r>
              <m:t xml:space="preserve">u</m:t>
            </m:r>
          </m:e>
          <m:sub>
            <m:r>
              <m:t xml:space="preserve">i</m:t>
            </m:r>
          </m:sub>
        </m:sSub>
      </m:oMath>
      <w:r>
        <w:t xml:space="preserve"> is always a (weak) lower bound on demand; the absence of throttling only rules out quota censoring, not contention shrinkage.</w:t>
      </w:r>
    </w:p>
    <w:p>
      <w:r>
        <w:rPr>
          <w:b/>
          <w:i w:val="0"/>
        </w:rPr>
        <w:t>History length</w:t>
      </w:r>
      <w:r>
        <w:t xml:space="preserve"> enters the same way: a newly arrived tenant has </w:t>
      </w:r>
      <m:oMath>
        <m:sSub>
          <m:e>
            <m:r>
              <m:t xml:space="preserve">T</m:t>
            </m:r>
          </m:e>
          <m:sub>
            <m:r>
              <m:rPr>
                <m:nor/>
              </m:rPr>
              <m:t xml:space="preserve">hist</m:t>
            </m:r>
          </m:sub>
        </m:sSub>
        <m:r>
          <m:t xml:space="preserve">=</m:t>
        </m:r>
        <m:r>
          <m:t xml:space="preserve">0</m:t>
        </m:r>
      </m:oMath>
      <w:r>
        <w:t xml:space="preserve"> and admits only class priors or conservative bounds; the cold-start discussion builds on this (a dedicated experiment is listed as future work).</w:t>
      </w:r>
    </w:p>
    <w:p>
      <w:pPr>
        <w:pStyle w:val="Heading3"/>
      </w:pPr>
      <w:r>
        <w:t>3.3.1 Identifiability of Censoring: What Counters Can and Cannot Recover</w:t>
      </w:r>
    </w:p>
    <w:p>
      <w:r>
        <w:rPr>
          <w:b/>
          <w:i w:val="0"/>
        </w:rPr>
        <w:t>Observation model and assumptions.</w:t>
      </w:r>
      <w:r>
        <w:t xml:space="preserve"> Window </w:t>
      </w:r>
      <m:oMath>
        <m:r>
          <m:t xml:space="preserve">W</m:t>
        </m:r>
      </m:oMath>
      <w:r>
        <w:t xml:space="preserve"> spanning several quota periods </w:t>
      </w:r>
      <m:oMath>
        <m:r>
          <m:t xml:space="preserve">P</m:t>
        </m:r>
      </m:oMath>
      <w:r>
        <w:t xml:space="preserve">; quota </w:t>
      </w:r>
      <m:oMath>
        <m:r>
          <m:t xml:space="preserve">q</m:t>
        </m:r>
      </m:oMath>
      <w:r>
        <w:t xml:space="preserve"> (cores); budget </w:t>
      </w:r>
      <m:oMath>
        <m:r>
          <m:t xml:space="preserve">qP</m:t>
        </m:r>
      </m:oMath>
      <w:r>
        <w:t xml:space="preserve"> per period. Let </w:t>
      </w:r>
      <m:oMath>
        <m:r>
          <m:t xml:space="preserve">u</m:t>
        </m:r>
      </m:oMath>
      <w:r>
        <w:t xml:space="preserve"> = mean usage, </w:t>
      </w:r>
      <m:oMath>
        <m:r>
          <m:t xml:space="preserve">t</m:t>
        </m:r>
      </m:oMath>
      <w:r>
        <w:t xml:space="preserve"> = throttled-time fraction, </w:t>
      </w:r>
      <m:oMath>
        <m:acc>
          <m:accPr>
            <m:chr m:val="0305"/>
          </m:accPr>
          <m:e>
            <m:r>
              <m:t xml:space="preserve"> </m:t>
            </m:r>
          </m:e>
        </m:acc>
        <m:r>
          <m:t xml:space="preserve">d</m:t>
        </m:r>
      </m:oMath>
      <w:r>
        <w:t xml:space="preserve"> = window-mean demand, </w:t>
      </w:r>
      <m:oMath>
        <m:sSub>
          <m:e>
            <m:acc>
              <m:accPr>
                <m:chr m:val="0305"/>
              </m:accPr>
              <m:e>
                <m:r>
                  <m:t xml:space="preserve">d</m:t>
                </m:r>
              </m:e>
            </m:acc>
          </m:e>
          <m:sub>
            <m:r>
              <m:rPr>
                <m:nor/>
              </m:rPr>
              <m:t xml:space="preserve">run</m:t>
            </m:r>
          </m:sub>
        </m:sSub>
        <m:r>
          <m:t xml:space="preserve">/</m:t>
        </m:r>
        <m:sSub>
          <m:e>
            <m:acc>
              <m:accPr>
                <m:chr m:val="0305"/>
              </m:accPr>
              <m:e>
                <m:r>
                  <m:t xml:space="preserve">d</m:t>
                </m:r>
              </m:e>
            </m:acc>
          </m:e>
          <m:sub>
            <m:r>
              <m:rPr>
                <m:nor/>
              </m:rPr>
              <m:t xml:space="preserve">thr</m:t>
            </m:r>
          </m:sub>
        </m:sSub>
      </m:oMath>
      <w:r>
        <w:t xml:space="preserve"> = mean demand inside the running / throttled stretches. Assumptions: (A1) single cgroup, work-conserving, no external steal; (A2) the budget is exhausted within the window (else no throttle evidence); (A3) </w:t>
      </w:r>
      <m:oMath>
        <m:r>
          <m:t xml:space="preserve">W</m:t>
        </m:r>
        <m:r>
          <m:t xml:space="preserve">≫</m:t>
        </m:r>
        <m:r>
          <m:t xml:space="preserve">P</m:t>
        </m:r>
      </m:oMath>
      <w:r>
        <w:t xml:space="preserve">, ignoring period-boundary effects. </w:t>
      </w:r>
      <w:r>
        <w:rPr>
          <w:b/>
          <w:i w:val="0"/>
        </w:rPr>
        <w:t>Caveat:</w:t>
      </w:r>
      <w:r>
        <w:t xml:space="preserve"> </w:t>
      </w:r>
      <w:r>
        <w:rPr>
          <w:rFonts w:ascii="Consolas" w:hAnsi="Consolas"/>
          <w:sz w:val="20"/>
        </w:rPr>
        <w:t>throttled_usec</w:t>
      </w:r>
      <w:r>
        <w:t xml:space="preserve"> counts the cgroup's throttled state in real CFS and may include slack inside throttled windows; the identities below are a bandwidth (budget-exhaustion) model, and the residual versus the implementation is reported at the end.</w:t>
      </w:r>
    </w:p>
    <w:p>
      <w:r>
        <w:rPr>
          <w:b/>
          <w:i w:val="0"/>
        </w:rPr>
        <w:t>Proposition 1 (what the point estimate really is, and when it is exact).</w:t>
      </w:r>
      <w:r>
        <w:t xml:space="preserve"> When the budget is exhausted, total delivery in the window is </w:t>
      </w:r>
      <m:oMath>
        <m:r>
          <m:t xml:space="preserve">uW</m:t>
        </m:r>
        <m:r>
          <m:t xml:space="preserve">=</m:t>
        </m:r>
        <m:r>
          <m:t xml:space="preserve">qW</m:t>
        </m:r>
      </m:oMath>
      <w:r>
        <w:t>, all of it inside the unthrottled stretch; hence</w:t>
      </w:r>
    </w:p>
    <w:p>
      <m:oMathPara>
        <m:oMath>
          <m:acc>
            <m:accPr>
              <m:chr m:val="0302"/>
            </m:accPr>
            <m:e>
              <m:r>
                <m:t xml:space="preserve"> </m:t>
              </m:r>
            </m:e>
          </m:acc>
          <m:r>
            <m:t xml:space="preserve">d</m:t>
          </m:r>
          <m:r>
            <m:t xml:space="preserve">:=</m:t>
          </m:r>
          <m:f>
            <m:num>
              <m:r>
                <m:t xml:space="preserve">q</m:t>
              </m:r>
            </m:num>
            <m:den>
              <m:r>
                <m:t xml:space="preserve">1-t</m:t>
              </m:r>
            </m:den>
          </m:f>
          <m:r>
            <m:rPr>
              <m:nor/>
            </m:rPr>
            <m:t xml:space="preserve"/>
          </m:r>
          <m:r>
            <m:t xml:space="preserve">;=</m:t>
          </m:r>
          <m:r>
            <m:rPr>
              <m:nor/>
            </m:rPr>
            <m:t xml:space="preserve"/>
          </m:r>
          <m:r>
            <m:t xml:space="preserve">;</m:t>
          </m:r>
          <m:sSub>
            <m:e>
              <m:acc>
                <m:accPr>
                  <m:chr m:val="0305"/>
                </m:accPr>
                <m:e>
                  <m:r>
                    <m:t xml:space="preserve">d</m:t>
                  </m:r>
                </m:e>
              </m:acc>
            </m:e>
            <m:sub>
              <m:r>
                <m:rPr>
                  <m:nor/>
                </m:rPr>
                <m:t xml:space="preserve">run</m:t>
              </m:r>
            </m:sub>
          </m:sSub>
          <m:r>
            <m:t xml:space="preserve">  </m:t>
          </m:r>
          <m:r>
            <m:t xml:space="preserve">(</m:t>
          </m:r>
          <m:r>
            <m:rPr>
              <m:nor/>
            </m:rPr>
            <m:t xml:space="preserve">mean demand over the running stretch</m:t>
          </m:r>
          <m:r>
            <m:t xml:space="preserve">),</m:t>
          </m:r>
        </m:oMath>
      </m:oMathPara>
    </w:p>
    <w:p>
      <w:r>
        <w:t xml:space="preserve">and under </w:t>
      </w:r>
      <m:oMath>
        <m:r>
          <m:t xml:space="preserve">d(t)</m:t>
        </m:r>
        <m:r>
          <m:t xml:space="preserve">≥</m:t>
        </m:r>
        <m:r>
          <m:t xml:space="preserve">q</m:t>
        </m:r>
      </m:oMath>
      <w:r>
        <w:t xml:space="preserve"> throughout (no idle slack) we have the </w:t>
      </w:r>
      <w:r>
        <w:rPr>
          <w:b/>
          <w:i w:val="0"/>
        </w:rPr>
        <w:t>bias identity</w:t>
      </w:r>
    </w:p>
    <w:p>
      <m:oMathPara>
        <m:oMath>
          <m:acc>
            <m:accPr>
              <m:chr m:val="0305"/>
            </m:accPr>
            <m:e>
              <m:r>
                <m:t xml:space="preserve"> </m:t>
              </m:r>
            </m:e>
          </m:acc>
          <m:r>
            <m:t xml:space="preserve">d</m:t>
          </m:r>
          <m:r>
            <m:t xml:space="preserve">-</m:t>
          </m:r>
          <m:acc>
            <m:accPr>
              <m:chr m:val="0302"/>
            </m:accPr>
            <m:e>
              <m:r>
                <m:t xml:space="preserve"> </m:t>
              </m:r>
            </m:e>
          </m:acc>
          <m:r>
            <m:t xml:space="preserve">d</m:t>
          </m:r>
          <m:r>
            <m:rPr>
              <m:nor/>
            </m:rPr>
            <m:t xml:space="preserve"/>
          </m:r>
          <m:r>
            <m:t xml:space="preserve">;=</m:t>
          </m:r>
          <m:r>
            <m:rPr>
              <m:nor/>
            </m:rPr>
            <m:t xml:space="preserve"/>
          </m:r>
          <m:r>
            <m:t xml:space="preserve">;</m:t>
          </m:r>
          <m:r>
            <m:t xml:space="preserve">t</m:t>
          </m:r>
          <m:r>
            <m:rPr>
              <m:nor/>
            </m:rPr>
            <m:t xml:space="preserve"/>
          </m:r>
          <m:r>
            <m:t xml:space="preserve">,</m:t>
          </m:r>
          <m:r>
            <m:t xml:space="preserve">(</m:t>
          </m:r>
          <m:sSub>
            <m:e>
              <m:acc>
                <m:accPr>
                  <m:chr m:val="0305"/>
                </m:accPr>
                <m:e>
                  <m:r>
                    <m:t xml:space="preserve">d</m:t>
                  </m:r>
                </m:e>
              </m:acc>
            </m:e>
            <m:sub>
              <m:r>
                <m:rPr>
                  <m:nor/>
                </m:rPr>
                <m:t xml:space="preserve">thr</m:t>
              </m:r>
            </m:sub>
          </m:sSub>
          <m:r>
            <m:t xml:space="preserve">-</m:t>
          </m:r>
          <m:sSub>
            <m:e>
              <m:acc>
                <m:accPr>
                  <m:chr m:val="0305"/>
                </m:accPr>
                <m:e>
                  <m:r>
                    <m:t xml:space="preserve">d</m:t>
                  </m:r>
                </m:e>
              </m:acc>
            </m:e>
            <m:sub>
              <m:r>
                <m:rPr>
                  <m:nor/>
                </m:rPr>
                <m:t xml:space="preserve">run</m:t>
              </m:r>
            </m:sub>
          </m:sSub>
          <m:r>
            <m:t xml:space="preserve">)</m:t>
          </m:r>
          <m:r>
            <m:t xml:space="preserve">.</m:t>
          </m:r>
        </m:oMath>
      </m:oMathPara>
    </w:p>
    <w:p>
      <w:r>
        <w:t xml:space="preserve">The </w:t>
      </w:r>
      <w:r>
        <w:rPr>
          <w:b/>
          <w:i w:val="0"/>
        </w:rPr>
        <w:t xml:space="preserve">exactness condition is </w:t>
      </w:r>
      <m:oMath>
        <m:sSub>
          <m:e>
            <m:acc>
              <m:accPr>
                <m:chr m:val="0305"/>
              </m:accPr>
              <m:e>
                <m:r>
                  <m:t xml:space="preserve">d</m:t>
                </m:r>
              </m:e>
            </m:acc>
          </m:e>
          <m:sub>
            <m:r>
              <m:rPr>
                <m:nor/>
              </m:rPr>
              <m:t xml:space="preserve">thr</m:t>
            </m:r>
          </m:sub>
        </m:sSub>
        <m:r>
          <m:t xml:space="preserve">=</m:t>
        </m:r>
        <m:sSub>
          <m:e>
            <m:acc>
              <m:accPr>
                <m:chr m:val="0305"/>
              </m:accPr>
              <m:e>
                <m:r>
                  <m:t xml:space="preserve">d</m:t>
                </m:r>
              </m:e>
            </m:acc>
          </m:e>
          <m:sub>
            <m:r>
              <m:rPr>
                <m:nor/>
              </m:rPr>
              <m:t xml:space="preserve">run</m:t>
            </m:r>
          </m:sub>
        </m:sSub>
      </m:oMath>
      <w:r>
        <w:t xml:space="preserve"> (equal means over the throttled and running stretches) — </w:t>
      </w:r>
      <w:r>
        <w:rPr>
          <w:b/>
          <w:i w:val="0"/>
        </w:rPr>
        <w:t>constant demand is sufficient but not necessary</w:t>
      </w:r>
      <w:r>
        <w:t xml:space="preserve">. </w:t>
      </w:r>
      <w:r>
        <w:rPr>
          <w:b w:val="0"/>
          <w:i/>
        </w:rPr>
        <w:t>Non-constant example:</w:t>
      </w:r>
      <w:r>
        <w:t xml:space="preserve"> </w:t>
      </w:r>
      <m:oMath>
        <m:r>
          <m:t xml:space="preserve">q</m:t>
        </m:r>
        <m:r>
          <m:t xml:space="preserve">=</m:t>
        </m:r>
        <m:r>
          <m:t xml:space="preserve">0.3</m:t>
        </m:r>
      </m:oMath>
      <w:r>
        <w:t xml:space="preserve">, one 1 s period, demand 0.6 (first 0.5 s) / 0.4 (0.25 s) / 0.8 (0.25 s): the budget is exhausted at 0.5 s, </w:t>
      </w:r>
      <m:oMath>
        <m:r>
          <m:t xml:space="preserve">t</m:t>
        </m:r>
        <m:r>
          <m:t xml:space="preserve">=</m:t>
        </m:r>
        <m:r>
          <m:t xml:space="preserve">0.5</m:t>
        </m:r>
      </m:oMath>
      <w:r>
        <w:t xml:space="preserve">, and </w:t>
      </w:r>
      <m:oMath>
        <m:acc>
          <m:accPr>
            <m:chr m:val="0302"/>
          </m:accPr>
          <m:e>
            <m:r>
              <m:t xml:space="preserve"> </m:t>
            </m:r>
          </m:e>
        </m:acc>
        <m:r>
          <m:t xml:space="preserve">d</m:t>
        </m:r>
        <m:r>
          <m:t xml:space="preserve">=</m:t>
        </m:r>
        <m:r>
          <m:t xml:space="preserve">0.3/0.5</m:t>
        </m:r>
        <m:r>
          <m:t xml:space="preserve">=</m:t>
        </m:r>
        <m:r>
          <m:t xml:space="preserve">0.6</m:t>
        </m:r>
        <m:r>
          <m:t xml:space="preserve">=</m:t>
        </m:r>
        <m:acc>
          <m:accPr>
            <m:chr m:val="0305"/>
          </m:accPr>
          <m:e>
            <m:r>
              <m:t xml:space="preserve"> </m:t>
            </m:r>
          </m:e>
        </m:acc>
        <m:r>
          <m:t xml:space="preserve">d</m:t>
        </m:r>
      </m:oMath>
      <w:r>
        <w:t xml:space="preserve"> although demand is plainly not constant. In general: peaks inside the running stretch followed by decay (the typical burst) produce </w:t>
      </w:r>
      <w:r>
        <w:rPr>
          <w:b/>
          <w:i w:val="0"/>
        </w:rPr>
        <w:t>over-estimation</w:t>
      </w:r>
      <w:r>
        <w:t xml:space="preserve">; demand rising during throttle (low-then-high) produces </w:t>
      </w:r>
      <w:r>
        <w:rPr>
          <w:b/>
          <w:i w:val="0"/>
        </w:rPr>
        <w:t>under-estimation</w:t>
      </w:r>
      <w:r>
        <w:t>; the sign is shape-dependent and not identifiable from aggregates.</w:t>
      </w:r>
    </w:p>
    <w:p>
      <w:r>
        <w:rPr>
          <w:b w:val="0"/>
          <w:i/>
        </w:rPr>
        <w:t>Counterexamples in both directions (idealized model).</w:t>
      </w:r>
      <w:r>
        <w:t xml:space="preserve"> </w:t>
      </w:r>
      <w:r>
        <w:rPr>
          <w:b/>
          <w:i w:val="0"/>
        </w:rPr>
        <w:t>Over:</w:t>
      </w:r>
      <w:r>
        <w:t xml:space="preserve"> </w:t>
      </w:r>
      <m:oMath>
        <m:r>
          <m:t xml:space="preserve">q</m:t>
        </m:r>
        <m:r>
          <m:t xml:space="preserve">=</m:t>
        </m:r>
        <m:r>
          <m:t xml:space="preserve">0.5</m:t>
        </m:r>
      </m:oMath>
      <w:r>
        <w:t xml:space="preserve">, </w:t>
      </w:r>
      <m:oMath>
        <m:r>
          <m:t xml:space="preserve">P</m:t>
        </m:r>
        <m:r>
          <m:t xml:space="preserve">=</m:t>
        </m:r>
        <m:r>
          <m:t xml:space="preserve">1</m:t>
        </m:r>
      </m:oMath>
      <w:r>
        <w:t xml:space="preserve"> s, demand 1.0 for the first 0.5 s then 0.5; budget is exhausted at 0.5 s, </w:t>
      </w:r>
      <m:oMath>
        <m:r>
          <m:t xml:space="preserve">t</m:t>
        </m:r>
        <m:r>
          <m:t xml:space="preserve">=</m:t>
        </m:r>
        <m:r>
          <m:t xml:space="preserve">0.5</m:t>
        </m:r>
      </m:oMath>
      <w:r>
        <w:t xml:space="preserve">, </w:t>
      </w:r>
      <m:oMath>
        <m:acc>
          <m:accPr>
            <m:chr m:val="0302"/>
          </m:accPr>
          <m:e>
            <m:r>
              <m:t xml:space="preserve"> </m:t>
            </m:r>
          </m:e>
        </m:acc>
        <m:r>
          <m:t xml:space="preserve">d</m:t>
        </m:r>
        <m:r>
          <m:t xml:space="preserve">=</m:t>
        </m:r>
        <m:r>
          <m:t xml:space="preserve">1.0</m:t>
        </m:r>
        <m:r>
          <m:t xml:space="preserve">&gt;</m:t>
        </m:r>
        <m:acc>
          <m:accPr>
            <m:chr m:val="0305"/>
          </m:accPr>
          <m:e>
            <m:r>
              <m:t xml:space="preserve"> </m:t>
            </m:r>
          </m:e>
        </m:acc>
        <m:r>
          <m:t xml:space="preserve">d</m:t>
        </m:r>
        <m:r>
          <m:t xml:space="preserve">=</m:t>
        </m:r>
        <m:r>
          <m:t xml:space="preserve">0.75</m:t>
        </m:r>
      </m:oMath>
      <w:r>
        <w:t xml:space="preserve">. </w:t>
      </w:r>
      <w:r>
        <w:rPr>
          <w:b/>
          <w:i w:val="0"/>
        </w:rPr>
        <w:t>Under:</w:t>
      </w:r>
      <w:r>
        <w:t xml:space="preserve"> </w:t>
      </w:r>
      <m:oMath>
        <m:r>
          <m:t xml:space="preserve">q</m:t>
        </m:r>
        <m:r>
          <m:t xml:space="preserve">=</m:t>
        </m:r>
        <m:r>
          <m:t xml:space="preserve">0.5</m:t>
        </m:r>
      </m:oMath>
      <w:r>
        <w:t xml:space="preserve">, demand 0.5 for 0.9 s then 1.0; budget exhausts at 0.95 s, </w:t>
      </w:r>
      <m:oMath>
        <m:r>
          <m:t xml:space="preserve">t</m:t>
        </m:r>
        <m:r>
          <m:t xml:space="preserve">=</m:t>
        </m:r>
        <m:r>
          <m:t xml:space="preserve">0.05</m:t>
        </m:r>
      </m:oMath>
      <w:r>
        <w:t xml:space="preserve">, </w:t>
      </w:r>
      <m:oMath>
        <m:acc>
          <m:accPr>
            <m:chr m:val="0302"/>
          </m:accPr>
          <m:e>
            <m:r>
              <m:t xml:space="preserve"> </m:t>
            </m:r>
          </m:e>
        </m:acc>
        <m:r>
          <m:t xml:space="preserve">d</m:t>
        </m:r>
        <m:r>
          <m:t xml:space="preserve">=</m:t>
        </m:r>
        <m:r>
          <m:t xml:space="preserve">0.526</m:t>
        </m:r>
        <m:r>
          <m:t xml:space="preserve">&lt;</m:t>
        </m:r>
        <m:acc>
          <m:accPr>
            <m:chr m:val="0305"/>
          </m:accPr>
          <m:e>
            <m:r>
              <m:t xml:space="preserve"> </m:t>
            </m:r>
          </m:e>
        </m:acc>
        <m:r>
          <m:t xml:space="preserve">d</m:t>
        </m:r>
        <m:r>
          <m:t xml:space="preserve">=</m:t>
        </m:r>
        <m:r>
          <m:t xml:space="preserve">0.55</m:t>
        </m:r>
      </m:oMath>
      <w:r>
        <w:t>.</w:t>
      </w:r>
    </w:p>
    <w:p>
      <w:r>
        <w:rPr>
          <w:b/>
          <w:i w:val="0"/>
        </w:rPr>
        <w:t xml:space="preserve">Proposition 2 (conditional lower bound, under </w:t>
      </w:r>
      <m:oMath>
        <m:r>
          <m:t xml:space="preserve">d</m:t>
        </m:r>
        <m:r>
          <m:t xml:space="preserve">≥</m:t>
        </m:r>
        <m:r>
          <m:t xml:space="preserve">q</m:t>
        </m:r>
      </m:oMath>
      <w:r>
        <w:rPr>
          <w:b/>
          <w:i w:val="0"/>
        </w:rPr>
        <w:t>).</w:t>
      </w:r>
      <w:r>
        <w:t xml:space="preserve"> If </w:t>
      </w:r>
      <m:oMath>
        <m:r>
          <m:t xml:space="preserve">d(t)</m:t>
        </m:r>
        <m:r>
          <m:t xml:space="preserve">≥</m:t>
        </m:r>
        <m:r>
          <m:t xml:space="preserve">q</m:t>
        </m:r>
      </m:oMath>
      <w:r>
        <w:t xml:space="preserve"> throughout the window (continuous saturation, no slack), then</w:t>
      </w:r>
    </w:p>
    <w:p>
      <m:oMathPara>
        <m:oMath>
          <m:acc>
            <m:accPr>
              <m:chr m:val="0305"/>
            </m:accPr>
            <m:e>
              <m:r>
                <m:t xml:space="preserve"> </m:t>
              </m:r>
            </m:e>
          </m:acc>
          <m:r>
            <m:t xml:space="preserve">d</m:t>
          </m:r>
          <m:r>
            <m:rPr>
              <m:nor/>
            </m:rPr>
            <m:t xml:space="preserve"/>
          </m:r>
          <m:r>
            <m:t xml:space="preserve">;</m:t>
          </m:r>
          <m:r>
            <m:t xml:space="preserve">≥</m:t>
          </m:r>
          <m:r>
            <m:rPr>
              <m:nor/>
            </m:rPr>
            <m:t xml:space="preserve"/>
          </m:r>
          <m:r>
            <m:t xml:space="preserve">;</m:t>
          </m:r>
          <m:r>
            <m:t xml:space="preserve">q</m:t>
          </m:r>
          <m:r>
            <m:rPr>
              <m:nor/>
            </m:rPr>
            <m:t xml:space="preserve"/>
          </m:r>
          <m:r>
            <m:t xml:space="preserve">,(1+t).</m:t>
          </m:r>
        </m:oMath>
      </m:oMathPara>
    </w:p>
    <w:p>
      <w:r>
        <w:rPr>
          <w:b w:val="0"/>
          <w:i/>
        </w:rPr>
        <w:t xml:space="preserve">(Proof: the running stretch accumulates exactly </w:t>
      </w:r>
      <m:oMath>
        <m:r>
          <m:t xml:space="preserve">qW</m:t>
        </m:r>
      </m:oMath>
      <w:r>
        <w:rPr>
          <w:b w:val="0"/>
          <w:i/>
        </w:rPr>
        <w:t xml:space="preserve">; the throttled stretch contributes at least </w:t>
      </w:r>
      <m:oMath>
        <m:r>
          <m:t xml:space="preserve">q</m:t>
        </m:r>
        <m:r>
          <m:rPr>
            <m:nor/>
          </m:rPr>
          <m:t xml:space="preserve"/>
        </m:r>
        <m:r>
          <m:t xml:space="preserve">,tW</m:t>
        </m:r>
      </m:oMath>
      <w:r>
        <w:rPr>
          <w:b w:val="0"/>
          <w:i/>
        </w:rPr>
        <w:t xml:space="preserve"> because </w:t>
      </w:r>
      <m:oMath>
        <m:r>
          <m:t xml:space="preserve">d</m:t>
        </m:r>
        <m:r>
          <m:t xml:space="preserve">≥</m:t>
        </m:r>
        <m:r>
          <m:t xml:space="preserve">q</m:t>
        </m:r>
      </m:oMath>
      <w:r>
        <w:rPr>
          <w:b w:val="0"/>
          <w:i/>
        </w:rPr>
        <w:t xml:space="preserve"> there; add and divide by </w:t>
      </w:r>
      <m:oMath>
        <m:r>
          <m:t xml:space="preserve">W</m:t>
        </m:r>
      </m:oMath>
      <w:r>
        <w:rPr>
          <w:b w:val="0"/>
          <w:i/>
        </w:rPr>
        <w:t xml:space="preserve">. Equality iff </w:t>
      </w:r>
      <m:oMath>
        <m:r>
          <m:t xml:space="preserve">d</m:t>
        </m:r>
        <m:r>
          <m:t xml:space="preserve">≡</m:t>
        </m:r>
        <m:r>
          <m:t xml:space="preserve">q</m:t>
        </m:r>
      </m:oMath>
      <w:r>
        <w:rPr>
          <w:b w:val="0"/>
          <w:i/>
        </w:rPr>
        <w:t xml:space="preserve"> while throttled. </w:t>
      </w:r>
      <m:oMath>
        <m:r>
          <m:t xml:space="preserve">□</m:t>
        </m:r>
      </m:oMath>
      <w:r>
        <w:rPr>
          <w:b w:val="0"/>
          <w:i/>
        </w:rPr>
        <w:t>)</w:t>
      </w:r>
      <w:r>
        <w:t xml:space="preserve"> </w:t>
      </w:r>
      <w:r>
        <w:rPr>
          <w:b/>
          <w:i w:val="0"/>
        </w:rPr>
        <w:t>Boundary:</w:t>
      </w:r>
      <w:r>
        <w:t xml:space="preserve"> the precondition "</w:t>
      </w:r>
      <m:oMath>
        <m:r>
          <m:t xml:space="preserve">d</m:t>
        </m:r>
        <m:r>
          <m:t xml:space="preserve">≥</m:t>
        </m:r>
        <m:r>
          <m:t xml:space="preserve">q</m:t>
        </m:r>
      </m:oMath>
      <w:r>
        <w:t xml:space="preserve"> throughout" </w:t>
      </w:r>
      <w:r>
        <w:rPr>
          <w:b/>
          <w:i w:val="0"/>
        </w:rPr>
        <w:t>cannot be verified from aggregate counters</w:t>
      </w:r>
      <w:r>
        <w:t xml:space="preserve"> — it is a property of the target workload family (continuous saturation), not a per-tenant certification. In the system this floor is used only for tenants with continuous throttle evidence (the conservative backstop of Section 3.3); for everyone else we report the point estimate plus uncertainty and claim no bound.</w:t>
      </w:r>
    </w:p>
    <w:p>
      <w:r>
        <w:rPr>
          <w:b/>
          <w:i w:val="0"/>
        </w:rPr>
        <w:t>Boundary (counterexample):</w:t>
      </w:r>
      <w:r>
        <w:t xml:space="preserve"> "continuous throttling" and "d&gt;=q throughout" are </w:t>
      </w:r>
      <w:r>
        <w:rPr>
          <w:b/>
          <w:i w:val="0"/>
        </w:rPr>
        <w:t>not equivalent</w:t>
      </w:r>
      <w:r>
        <w:t xml:space="preserve"> — e.g. q=0.2 with demand 1.0 for the first 20% of each period and 0.1 for the rest: the budget still exhausts every period (t=0.8, constant throttle evidence) yet the true mean is 0.28, </w:t>
      </w:r>
      <w:r>
        <w:rPr>
          <w:b w:val="0"/>
          <w:i/>
        </w:rPr>
        <w:t>below</w:t>
      </w:r>
      <w:r>
        <w:t xml:space="preserve"> q(1+t)=0.36. The engineering trigger is therefore an </w:t>
      </w:r>
      <w:r>
        <w:rPr>
          <w:b/>
          <w:i w:val="0"/>
        </w:rPr>
        <w:t>empirical conservative policy</w:t>
      </w:r>
      <w:r>
        <w:t xml:space="preserve"> (its bias direction is over-estimation, i.e. more conservative admission; it cannot cause over-admission) — not a certified bound, whose status remains conditional on d&gt;=q per Proposition 2.</w:t>
      </w:r>
    </w:p>
    <w:p>
      <w:r>
        <w:rPr>
          <w:b/>
          <w:i w:val="0"/>
        </w:rPr>
        <w:t>Proposition 3 (aggregate non-identifiability).</w:t>
      </w:r>
      <w:r>
        <w:t xml:space="preserve"> There exist two demand processes with identical </w:t>
      </w:r>
      <m:oMath>
        <m:r>
          <m:t xml:space="preserve">(u,t,q)</m:t>
        </m:r>
      </m:oMath>
      <w:r>
        <w:t xml:space="preserve"> but different window means; no function of </w:t>
      </w:r>
      <m:oMath>
        <m:r>
          <m:t xml:space="preserve">(u,t,q)</m:t>
        </m:r>
      </m:oMath>
      <w:r>
        <w:t xml:space="preserve"> can be correct for all processes (an identifiability impossibility), and the bias sign is not identifiable. </w:t>
      </w:r>
      <w:r>
        <w:rPr>
          <w:b w:val="0"/>
          <w:i/>
        </w:rPr>
        <w:t>Construction (throttle time explicitly accounted).</w:t>
      </w:r>
      <w:r>
        <w:t xml:space="preserve"> </w:t>
      </w:r>
      <m:oMath>
        <m:r>
          <m:t xml:space="preserve">q</m:t>
        </m:r>
        <m:r>
          <m:t xml:space="preserve">=</m:t>
        </m:r>
        <m:r>
          <m:t xml:space="preserve">0.2</m:t>
        </m:r>
      </m:oMath>
      <w:r>
        <w:t>, vCPU</w:t>
      </w:r>
      <m:oMath>
        <m:r>
          <m:t xml:space="preserve">=1</m:t>
        </m:r>
      </m:oMath>
      <w:r>
        <w:t xml:space="preserve">, window = one period. Process A: </w:t>
      </w:r>
      <m:oMath>
        <m:r>
          <m:t xml:space="preserve">d</m:t>
        </m:r>
        <m:r>
          <m:t xml:space="preserve">≡</m:t>
        </m:r>
        <m:r>
          <m:t xml:space="preserve">5/9</m:t>
        </m:r>
        <m:r>
          <m:t xml:space="preserve">≈</m:t>
        </m:r>
        <m:r>
          <m:t xml:space="preserve">0.556</m:t>
        </m:r>
      </m:oMath>
      <w:r>
        <w:t xml:space="preserve"> (never slack; </w:t>
      </w:r>
      <m:oMath>
        <m:r>
          <m:t xml:space="preserve">5/9</m:t>
        </m:r>
      </m:oMath>
      <w:r>
        <w:t xml:space="preserve"> makes </w:t>
      </w:r>
      <m:oMath>
        <m:r>
          <m:t xml:space="preserve">t</m:t>
        </m:r>
      </m:oMath>
      <w:r>
        <w:t xml:space="preserve"> exactly 0.64) → budget exhausts at </w:t>
      </w:r>
      <m:oMath>
        <m:r>
          <m:t xml:space="preserve">0.36W</m:t>
        </m:r>
      </m:oMath>
      <w:r>
        <w:t xml:space="preserve">, </w:t>
      </w:r>
      <m:oMath>
        <m:r>
          <m:t xml:space="preserve">t=0.64</m:t>
        </m:r>
      </m:oMath>
      <w:r>
        <w:t xml:space="preserve">, </w:t>
      </w:r>
      <m:oMath>
        <m:r>
          <m:t xml:space="preserve">u=0.2</m:t>
        </m:r>
      </m:oMath>
      <w:r>
        <w:t xml:space="preserve">, mean </w:t>
      </w:r>
      <m:oMath>
        <m:r>
          <m:t xml:space="preserve">5/9</m:t>
        </m:r>
        <m:r>
          <m:t xml:space="preserve">≈</m:t>
        </m:r>
        <m:r>
          <m:t xml:space="preserve">0.556</m:t>
        </m:r>
      </m:oMath>
      <w:r>
        <w:t xml:space="preserve">. Process B: </w:t>
      </w:r>
      <m:oMath>
        <m:r>
          <m:t xml:space="preserve">d=1.0</m:t>
        </m:r>
      </m:oMath>
      <w:r>
        <w:t xml:space="preserve"> for 84% of the duration, 0 otherwise → budget exhausts at </w:t>
      </w:r>
      <m:oMath>
        <m:r>
          <m:t xml:space="preserve">0.2W</m:t>
        </m:r>
      </m:oMath>
      <w:r>
        <w:t xml:space="preserve">, throttled until </w:t>
      </w:r>
      <m:oMath>
        <m:r>
          <m:t xml:space="preserve">0.84W</m:t>
        </m:r>
      </m:oMath>
      <w:r>
        <w:t xml:space="preserve">, </w:t>
      </w:r>
      <m:oMath>
        <m:r>
          <m:t xml:space="preserve">t=0.64</m:t>
        </m:r>
      </m:oMath>
      <w:r>
        <w:t xml:space="preserve">, </w:t>
      </w:r>
      <m:oMath>
        <m:r>
          <m:t xml:space="preserve">u=0.2</m:t>
        </m:r>
      </m:oMath>
      <w:r>
        <w:t xml:space="preserve">, mean </w:t>
      </w:r>
      <m:oMath>
        <m:r>
          <m:t xml:space="preserve">0.84</m:t>
        </m:r>
      </m:oMath>
      <w:r>
        <w:t xml:space="preserve">. Identical observation </w:t>
      </w:r>
      <m:oMath>
        <m:r>
          <m:t xml:space="preserve">(u,t)=(0.2,0.64)</m:t>
        </m:r>
      </m:oMath>
      <w:r>
        <w:t xml:space="preserve">, means differ by </w:t>
      </w:r>
      <m:oMath>
        <m:r>
          <m:t xml:space="preserve">0.284</m:t>
        </m:r>
      </m:oMath>
      <w:r>
        <w:t xml:space="preserve">; any estimator errs by </w:t>
      </w:r>
      <m:oMath>
        <m:r>
          <m:t xml:space="preserve">≥</m:t>
        </m:r>
        <m:r>
          <m:t xml:space="preserve">0.142</m:t>
        </m:r>
      </m:oMath>
      <w:r>
        <w:t xml:space="preserve"> on one of them. </w:t>
      </w:r>
      <m:oMath>
        <m:r>
          <m:t xml:space="preserve">□</m:t>
        </m:r>
      </m:oMath>
    </w:p>
    <w:p>
      <w:r>
        <w:rPr>
          <w:b/>
          <w:i w:val="0"/>
        </w:rPr>
        <w:t>Practical consequences.</w:t>
      </w:r>
      <w:r>
        <w:t xml:space="preserve"> (i) Aggregate unbiasedness is unattainable — estimators are characterized per workload family; (ii) recovering demand </w:t>
      </w:r>
      <w:r>
        <w:rPr>
          <w:b w:val="0"/>
          <w:i/>
        </w:rPr>
        <w:t>structure</w:t>
      </w:r>
      <w:r>
        <w:t xml:space="preserve"> requires </w:t>
      </w:r>
      <w:r>
        <w:rPr>
          <w:b w:val="0"/>
          <w:i/>
        </w:rPr>
        <w:t>time resolution</w:t>
      </w:r>
      <w:r>
        <w:t xml:space="preserve"> (a per-window </w:t>
      </w:r>
      <m:oMath>
        <m:r>
          <m:t xml:space="preserve">t</m:t>
        </m:r>
      </m:oMath>
      <w:r>
        <w:t xml:space="preserve"> sequence or 1-s history) — the motivation for the phase-profiled aggregation in Section 5: </w:t>
      </w:r>
      <w:r>
        <w:rPr>
          <w:b/>
          <w:i w:val="0"/>
        </w:rPr>
        <w:t>amplitude from throttle evidence (with a conservative floor), structure from time history</w:t>
      </w:r>
      <w:r>
        <w:t xml:space="preserve">; (iii) under-estimation (the unsafe direction) needs an explicit backstop: for continuously saturated tenants the design uses </w:t>
      </w:r>
      <m:oMath>
        <m:acc>
          <m:accPr>
            <m:chr m:val="0302"/>
          </m:accPr>
          <m:e>
            <m:r>
              <m:t xml:space="preserve"> </m:t>
            </m:r>
          </m:e>
        </m:acc>
        <m:r>
          <m:t xml:space="preserve">d</m:t>
        </m:r>
        <m:r>
          <m:t xml:space="preserve">=</m:t>
        </m:r>
        <m:r>
          <m:rPr>
            <m:nor/>
          </m:rPr>
          <m:t xml:space="preserve">vCPU</m:t>
        </m:r>
      </m:oMath>
      <w:r>
        <w:t>.</w:t>
      </w:r>
    </w:p>
    <w:p>
      <w:r>
        <w:rPr>
          <w:b/>
          <w:i w:val="0"/>
        </w:rPr>
        <w:t>Empirical characterization.</w:t>
      </w:r>
      <w:r>
        <w:t xml:space="preserve"> Saturated family: ≤9% across three quota levels (6.3c); the v2 batch (90 cycles = 450 tenant-windows incl. 90 offline): throttle detection + vCPU backstop gives exactly 1.00; the 360 online windows average </w:t>
      </w:r>
      <m:oMath>
        <m:r>
          <m:t xml:space="preserve">t</m:t>
        </m:r>
        <m:r>
          <m:t xml:space="preserve">=</m:t>
        </m:r>
        <m:r>
          <m:t xml:space="preserve">0.470</m:t>
        </m:r>
      </m:oMath>
      <w:r>
        <w:t xml:space="preserve"> and the bare formula gives 0.943 (−5.7%) — precisely the residual between Proposition 1's model and real CFS accounting (period boundaries, throttled-state timing including slack), removed by the backstop. The bursty family exposes the other side (backstop reports 1.0 for a true 0.3 — Section 3.3), deliberately conservative; the intermittent family's under-estimation is covered by the no-double-promise + pause monitors.</w:t>
      </w:r>
    </w:p>
    <w:p>
      <w:pPr>
        <w:pStyle w:val="Heading2"/>
      </w:pPr>
      <w:r>
        <w:t>3.4 Decision Problems</w:t>
      </w:r>
    </w:p>
    <w:p>
      <w:r>
        <w:t>The system makes two kinds of decisions over an arrival sequence:</w:t>
      </w:r>
    </w:p>
    <w:p>
      <w:pPr>
        <w:ind w:left="454" w:hanging="283"/>
      </w:pPr>
      <w:r>
        <w:t xml:space="preserve">1. </w:t>
      </w:r>
      <w:r>
        <w:rPr>
          <w:b/>
          <w:i w:val="0"/>
        </w:rPr>
        <w:t>Admission</w:t>
      </w:r>
      <w:r>
        <w:t>: for each arriving tenant, use the currently visible evidence (history, throttle evidence, host pressure, latest service-tail windows) to output allow/defer with a reason; batch arrivals require reservation accounting so the same spare capacity is not promised twice.</w:t>
      </w:r>
    </w:p>
    <w:p>
      <w:pPr>
        <w:ind w:left="454" w:hanging="283"/>
      </w:pPr>
      <w:r>
        <w:t xml:space="preserve">2. </w:t>
      </w:r>
      <w:r>
        <w:rPr>
          <w:b/>
          <w:i w:val="0"/>
        </w:rPr>
        <w:t>Shaping</w:t>
      </w:r>
      <w:r>
        <w:t xml:space="preserve">: choose control parameters </w:t>
      </w:r>
      <m:oMath>
        <m:sSub>
          <m:e>
            <m:r>
              <m:t xml:space="preserve">a</m:t>
            </m:r>
          </m:e>
          <m:sub>
            <m:r>
              <m:t xml:space="preserve">i</m:t>
            </m:r>
          </m:sub>
        </m:sSub>
      </m:oMath>
      <w:r>
        <w:t xml:space="preserve"> for admitted tenants, and decide on "release/expand" requests from capped tenants.</w:t>
      </w:r>
    </w:p>
    <w:p>
      <w:r>
        <w:t>The objective is to maximize admitted volume (count, VM-hours, or configuration-weighted) subject to the service SLO, while reporting costs (customer work-rate loss, throttled-tenant queueing) separately and without hiding them.</w:t>
      </w:r>
    </w:p>
    <w:p>
      <w:pPr>
        <w:pStyle w:val="Heading2"/>
      </w:pPr>
      <w:r>
        <w:t>3.5 Assumptions and Scope</w:t>
      </w:r>
    </w:p>
    <w:p>
      <w:pPr>
        <w:pStyle w:val="ListBullet"/>
      </w:pPr>
      <w:r>
        <w:t>Tenant load is not adversarial: our "pegged tenant" is legitimate but extreme (mining, compilation); malicious behavior is out of scope.</w:t>
      </w:r>
    </w:p>
    <w:p>
      <w:pPr>
        <w:pStyle w:val="ListBullet"/>
      </w:pPr>
      <w:r>
        <w:t>No live migration, no killing of tenants, no re-configuring of already-sold resources — these change the service model and are deferred.</w:t>
      </w:r>
    </w:p>
    <w:p>
      <w:pPr>
        <w:pStyle w:val="ListBullet"/>
      </w:pPr>
      <w:r>
        <w:t>The testbed is a nested virtualization environment (Proxmox inside a KVM guest); results reflect the behavior of a topology isomorphic to small-provider production but do not substitute for bare-metal extrapolation.</w:t>
      </w:r>
    </w:p>
    <w:p>
      <w:pPr>
        <w:pStyle w:val="ListBullet"/>
      </w:pPr>
      <w:r>
        <w:t>The 10 ms SLO is our strict default; the evaluation chapter discusses sensitivity across thresholds.</w:t>
      </w:r>
    </w:p>
    <w:p>
      <w:pPr>
        <w:pStyle w:val="Heading2"/>
      </w:pPr>
      <w:r>
        <w:t>3.6 Observation Necessity: Three Constructive Counterexamples and the Minimal Observation Set</w:t>
      </w:r>
    </w:p>
    <w:p>
      <w:r>
        <w:t xml:space="preserve">For the decision problems studied in this paper, </w:t>
      </w:r>
      <w:r>
        <w:rPr>
          <w:b/>
          <w:i w:val="0"/>
        </w:rPr>
        <w:t>the binding constraint is observational capability rather than the capacity algorithm.</w:t>
      </w:r>
      <w:r>
        <w:t xml:space="preserve"> Three constructive results (formal proofs and executable counterexamples in Appendix A), each with measured counterparts here:</w:t>
      </w:r>
    </w:p>
    <w:p>
      <w:r>
        <w:rPr>
          <w:b/>
          <w:i w:val="0"/>
        </w:rPr>
        <w:t>Proposition A (censoring impossibility).</w:t>
      </w:r>
      <w:r>
        <w:t xml:space="preserve"> Given only aggregate counters (usage, throttle fraction, quota), no estimator that sees only these counters can be correct for all workloads — two processes can produce </w:t>
      </w:r>
      <w:r>
        <w:rPr>
          <w:b/>
          <w:i w:val="0"/>
        </w:rPr>
        <w:t>identical observations</w:t>
      </w:r>
      <w:r>
        <w:t xml:space="preserve"> with different demand (construction in Section 3.3.1, Prop. 3). This is an </w:t>
      </w:r>
      <w:r>
        <w:rPr>
          <w:b/>
          <w:i w:val="0"/>
        </w:rPr>
        <w:t>identifiability</w:t>
      </w:r>
      <w:r>
        <w:t xml:space="preserve"> impossibility (it holds for any deterministic function of the observations) and is stronger than statistical unbiasedness. </w:t>
      </w:r>
      <w:r>
        <w:rPr>
          <w:b w:val="0"/>
          <w:i/>
        </w:rPr>
        <w:t>Corollary:</w:t>
      </w:r>
      <w:r>
        <w:t xml:space="preserve"> dashboard-driven release/oversell decisions are unfixably dangerous — 90/90 independent-round judgments violate (Section 4.3b).</w:t>
      </w:r>
    </w:p>
    <w:p>
      <w:r>
        <w:rPr>
          <w:b/>
          <w:i w:val="0"/>
        </w:rPr>
        <w:t>Proposition B1 (capacity is not determined by marginals; construction).</w:t>
      </w:r>
      <w:r>
        <w:t xml:space="preserve"> N tenants each work w seconds per period P (identical per-tenant marginals). Aligned phases give peak concurrency N; random phases give an overlap distribution with mean rho N (rho = w/P). With pool capacity C, the aligned fleet is safe iff N &lt;= C, while the random fleet's capacity is bounded above by C/rho (mean-concurrency necessary condition rho</w:t>
      </w:r>
      <w:r>
        <w:rPr>
          <w:b w:val="0"/>
          <w:i/>
        </w:rPr>
        <w:t xml:space="preserve">N &lt;= C) — a </w:t>
      </w:r>
      <w:r>
        <w:rPr>
          <w:b w:val="0"/>
          <w:i/>
        </w:rPr>
        <w:t>capacity ratio of at most 1/rho = 5</w:t>
      </w:r>
      <w:r>
        <w:rPr>
          <w:b w:val="0"/>
          <w:i/>
        </w:rPr>
        <w:t xml:space="preserve"> at rho = 0.2 , i.e., random/aligned &lt;= 5. Physical realization (Section 8.4): primary-bar capacities 28 vs 8 (fine-scan brackets [28,32)/[8,10)), with the unsafe fleet reporting </w:t>
      </w:r>
      <w:r>
        <w:t>lower* utilization (30.4% vs 66.4–68.0%).</w:t>
      </w:r>
    </w:p>
    <w:p>
      <w:r>
        <w:rPr>
          <w:b/>
          <w:i w:val="0"/>
        </w:rPr>
        <w:t>Proposition B2 (threshold impossibility; theorem).</w:t>
      </w:r>
      <w:r>
        <w:t xml:space="preserve"> Let the monitoring window be L seconds. An aligned fleet's windowed delivered utilization is capped at </w:t>
      </w:r>
      <w:r>
        <w:rPr>
          <w:b/>
          <w:i w:val="0"/>
        </w:rPr>
        <w:t>U(L) = [w*floor(L/P) + min(L mod P, w)] / L</w:t>
      </w:r>
      <w:r>
        <w:t>: the total overlap of an L-second window with the burst windows is at most w</w:t>
      </w:r>
      <w:r>
        <w:rPr>
          <w:b w:val="0"/>
          <w:i/>
        </w:rPr>
        <w:t xml:space="preserve">floor(L/P) + min(L mod P, w), so delivery is at most C times that overlap. Special cases: for L &lt;= P, U(L) = min(w,L)/L (the 30-s rolling window of the sync experiments: 12/30 = 40%); for L an integer multiple of P, U = rho; for L = kP + r with r &gt; 0, U can slightly exceed rho (e.g. L = 90 s: 24/90 = 26.7%). </w:t>
      </w:r>
      <w:r>
        <w:rPr>
          <w:b w:val="0"/>
          <w:i/>
        </w:rPr>
        <w:t>Hence any rule "admit while windowed utilization &lt; theta" with theta &gt; U(L) admits unbounded N</w:t>
      </w:r>
      <w:r>
        <w:rPr>
          <w:b w:val="0"/>
          <w:i/>
        </w:rPr>
        <w:t xml:space="preserve"> on aligned fleets whose safe capacity is only C. </w:t>
      </w:r>
      <w:r>
        <w:t>Measured counterpart:* util80 (L=30 s, theta=80% &gt; 40%) sells to the experiment cap (40) in the aligned phase while its criterion reads ~20-40% (Section 7.4.1); the "35%-busy collapse vs 98%-busy safe" inversion is a field instance of this theorem.</w:t>
      </w:r>
    </w:p>
    <w:p>
      <w:r>
        <w:rPr>
          <w:b/>
          <w:i w:val="0"/>
        </w:rPr>
        <w:t>Proposition C (sampling insufficiency).</w:t>
      </w:r>
      <w:r>
        <w:t xml:space="preserve"> Let a monitor sample utilization at fixed interval Delta with burst width w &lt; Delta. There exist benign and dangerous fleets whose </w:t>
      </w:r>
      <w:r>
        <w:rPr>
          <w:b/>
          <w:i w:val="0"/>
        </w:rPr>
        <w:t>sample sequences are identical</w:t>
      </w:r>
      <w:r>
        <w:t xml:space="preserve"> , e.g., all zeros while safe capacities differ — place the bursts between samples. </w:t>
      </w:r>
      <w:r>
        <w:rPr>
          <w:b w:val="0"/>
          <w:i/>
        </w:rPr>
        <w:t>Evidence level:</w:t>
      </w:r>
      <w:r>
        <w:t xml:space="preserve"> formal construction plus indirect measurement (util80's stop alternates 28 vs 40 across identical runs — sampling-moment sensitive, Section 7.4.1); the </w:t>
      </w:r>
      <w:r>
        <w:rPr>
          <w:b/>
          <w:i w:val="0"/>
        </w:rPr>
        <w:t>direct experiment</w:t>
      </w:r>
      <w:r>
        <w:t xml:space="preserve"> (fixed phases, sampling interval varied) is listed as future work; this proposition is cited as a construction with indirect evidence only. </w:t>
      </w:r>
      <w:r>
        <w:rPr>
          <w:b w:val="0"/>
          <w:i/>
        </w:rPr>
        <w:t>Corollary:</w:t>
      </w:r>
      <w:r>
        <w:t xml:space="preserve"> the sampling rate must resolve the burst shape of interest (our online history uses </w:t>
      </w:r>
      <w:r>
        <w:rPr>
          <w:b/>
          <w:i w:val="0"/>
        </w:rPr>
        <w:t>1 second</w:t>
      </w:r>
      <w:r>
        <w:t>; a 12-s aligned burst is one phase-bucket wide).</w:t>
      </w:r>
    </w:p>
    <w:p>
      <w:r>
        <w:rPr>
          <w:b/>
          <w:i w:val="0"/>
        </w:rPr>
        <w:t>Minimal sufficient observation set (this paper's design implements it):</w:t>
      </w:r>
    </w:p>
    <w:p>
      <w:r>
        <w:rPr>
          <w:b/>
          <w:i w:val="0"/>
        </w:rPr>
        <w:t>Table 1.</w:t>
      </w:r>
      <w:r>
        <w:t xml:space="preserve"> Observation capabilities: the failure axis each covers, mechanism, and measured consequence when missing</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Capability</w:t>
            </w:r>
          </w:p>
        </w:tc>
        <w:tc>
          <w:tcPr>
            <w:tcW w:type="dxa" w:w="2493"/>
          </w:tcPr>
          <w:p>
            <w:r>
              <w:rPr>
                <w:b/>
                <w:sz w:val="19"/>
              </w:rPr>
              <w:t>Failure axis it covers</w:t>
            </w:r>
          </w:p>
        </w:tc>
        <w:tc>
          <w:tcPr>
            <w:tcW w:type="dxa" w:w="2493"/>
          </w:tcPr>
          <w:p>
            <w:r>
              <w:rPr>
                <w:b/>
                <w:sz w:val="19"/>
              </w:rPr>
              <w:t>Mechanism</w:t>
            </w:r>
          </w:p>
        </w:tc>
        <w:tc>
          <w:tcPr>
            <w:tcW w:type="dxa" w:w="2493"/>
          </w:tcPr>
          <w:p>
            <w:r>
              <w:rPr>
                <w:b/>
                <w:sz w:val="19"/>
              </w:rPr>
              <w:t>Measured consequence when missing</w:t>
            </w:r>
          </w:p>
        </w:tc>
      </w:tr>
      <w:tr>
        <w:tc>
          <w:tcPr>
            <w:tcW w:type="dxa" w:w="2493"/>
          </w:tcPr>
          <w:p>
            <w:r>
              <w:rPr>
                <w:sz w:val="19"/>
              </w:rPr>
              <w:t>(1) Censoring identification (quota + throttle evidence)</w:t>
            </w:r>
          </w:p>
        </w:tc>
        <w:tc>
          <w:tcPr>
            <w:tcW w:type="dxa" w:w="2493"/>
          </w:tcPr>
          <w:p>
            <w:r>
              <w:rPr>
                <w:sz w:val="19"/>
              </w:rPr>
              <w:t>hidden demand</w:t>
            </w:r>
          </w:p>
        </w:tc>
        <w:tc>
          <w:tcPr>
            <w:tcW w:type="dxa" w:w="2493"/>
          </w:tcPr>
          <w:p>
            <w:r>
              <w:rPr>
                <w:sz w:val="19"/>
              </w:rPr>
              <w:t>point estimate + conservative heuristic</w:t>
            </w:r>
          </w:p>
        </w:tc>
        <w:tc>
          <w:tcPr>
            <w:tcW w:type="dxa" w:w="2493"/>
          </w:tcPr>
          <w:p>
            <w:r>
              <w:rPr>
                <w:sz w:val="19"/>
              </w:rPr>
              <w:t>naive/quantile: 90/90 release violations</w:t>
            </w:r>
          </w:p>
        </w:tc>
      </w:tr>
      <w:tr>
        <w:tc>
          <w:tcPr>
            <w:tcW w:type="dxa" w:w="2493"/>
          </w:tcPr>
          <w:p>
            <w:r>
              <w:rPr>
                <w:sz w:val="19"/>
              </w:rPr>
              <w:t>(2) Phase resolution (joint structure, &gt;= 1 s history)</w:t>
            </w:r>
          </w:p>
        </w:tc>
        <w:tc>
          <w:tcPr>
            <w:tcW w:type="dxa" w:w="2493"/>
          </w:tcPr>
          <w:p>
            <w:r>
              <w:rPr>
                <w:sz w:val="19"/>
              </w:rPr>
              <w:t>overlap averaged away</w:t>
            </w:r>
          </w:p>
        </w:tc>
        <w:tc>
          <w:tcPr>
            <w:tcW w:type="dxa" w:w="2493"/>
          </w:tcPr>
          <w:p>
            <w:r>
              <w:rPr>
                <w:sz w:val="19"/>
              </w:rPr>
              <w:t>phase profiles + PPC</w:t>
            </w:r>
          </w:p>
        </w:tc>
        <w:tc>
          <w:tcPr>
            <w:tcW w:type="dxa" w:w="2493"/>
          </w:tcPr>
          <w:p>
            <w:r>
              <w:rPr>
                <w:sz w:val="19"/>
              </w:rPr>
              <w:t>iid/marginal methods: 40 seats in sync, P5 = 16%</w:t>
            </w:r>
          </w:p>
        </w:tc>
      </w:tr>
      <w:tr>
        <w:tc>
          <w:tcPr>
            <w:tcW w:type="dxa" w:w="2493"/>
          </w:tcPr>
          <w:p>
            <w:r>
              <w:rPr>
                <w:sz w:val="19"/>
              </w:rPr>
              <w:t>(3) Time resolution (sampling rate &gt;= burst width)</w:t>
            </w:r>
          </w:p>
        </w:tc>
        <w:tc>
          <w:tcPr>
            <w:tcW w:type="dxa" w:w="2493"/>
          </w:tcPr>
          <w:p>
            <w:r>
              <w:rPr>
                <w:sz w:val="19"/>
              </w:rPr>
              <w:t>bursts sampled away</w:t>
            </w:r>
          </w:p>
        </w:tc>
        <w:tc>
          <w:tcPr>
            <w:tcW w:type="dxa" w:w="2493"/>
          </w:tcPr>
          <w:p>
            <w:r>
              <w:rPr>
                <w:sz w:val="19"/>
              </w:rPr>
              <w:t>1-s history + aligned sampling</w:t>
            </w:r>
          </w:p>
        </w:tc>
        <w:tc>
          <w:tcPr>
            <w:tcW w:type="dxa" w:w="2493"/>
          </w:tcPr>
          <w:p>
            <w:r>
              <w:rPr>
                <w:sz w:val="19"/>
              </w:rPr>
              <w:t>single-point busy: 28/40 stop drift across identical runs</w:t>
            </w:r>
          </w:p>
        </w:tc>
      </w:tr>
    </w:tbl>
    <w:p/>
    <w:p>
      <w:r>
        <w:rPr>
          <w:b/>
          <w:i w:val="0"/>
        </w:rPr>
        <w:t>Evidence levels and boundaries:</w:t>
      </w:r>
      <w:r>
        <w:t xml:space="preserve"> A, B1, B2 and C are all formal constructions/theorems (B2 is provable) each with measured counterparts (A: 90/90; B1/B2: Section 8.4 and the util80 sync record; C: construction plus the util80 drift as indirect evidence, direct runs queued). Executable re-checks: Appendix A (</w:t>
      </w:r>
      <w:r>
        <w:rPr>
          <w:rFonts w:ascii="Consolas" w:hAnsi="Consolas"/>
          <w:sz w:val="20"/>
        </w:rPr>
        <w:t>tools/theory_tests.py</w:t>
      </w:r>
      <w:r>
        <w:t xml:space="preserve">, output archived in </w:t>
      </w:r>
      <w:r>
        <w:rPr>
          <w:rFonts w:ascii="Consolas" w:hAnsi="Consolas"/>
          <w:sz w:val="20"/>
        </w:rPr>
        <w:t>research_data/theory_checks.txt</w:t>
      </w:r>
      <w:r>
        <w:t xml:space="preserve">). "Jointly sufficient" is an </w:t>
      </w:r>
      <w:r>
        <w:rPr>
          <w:b/>
          <w:i w:val="0"/>
        </w:rPr>
        <w:t>empirical statement for our target workload family and quality bars</w:t>
      </w:r>
      <w:r>
        <w:t xml:space="preserve"> (in the 14 rounds, the policy with all three is the only one with no service-side violation in either phase and random-phase customer compliance), not a theorem; the aligned-phase customer evidence (show5) is merged, and the anti-aliasing direct experiment remains future work.</w:t>
      </w:r>
    </w:p>
    <w:p>
      <w:pPr>
        <w:pStyle w:val="Heading1"/>
        <w:pageBreakBefore/>
      </w:pPr>
      <w:r>
        <w:t>4 Measurement Study</w:t>
      </w:r>
    </w:p>
    <w:p>
      <w:pPr>
        <w:ind w:left="454"/>
      </w:pPr>
      <w:r>
        <w:rPr>
          <w:i/>
        </w:rPr>
        <w:t xml:space="preserve">This is the paper's empirical core (Figures 2–9, 17–18). All numbers come from the archived pilot data plus the v2 mass-repeat campaign; each subsection ends with explicit boundaries. Common settings: service SLO = P99 ≤ 10 ms; probes inject 100 req/s in open loop and log per-request planned/actual send and completion times; host busy fraction from 3-second </w:t>
      </w:r>
      <w:r>
        <w:rPr>
          <w:rFonts w:ascii="Consolas" w:hAnsi="Consolas"/>
          <w:i/>
          <w:sz w:val="20"/>
        </w:rPr>
        <w:t>/proc/stat</w:t>
      </w:r>
      <w:r>
        <w:rPr>
          <w:i/>
        </w:rPr>
        <w:t xml:space="preserve"> windows; customer rate = busy-loop iterations/s (full-speed baseline ≈ 55–75 M it/s).</w:t>
      </w:r>
    </w:p>
    <w:p>
      <w:pPr>
        <w:pStyle w:val="Heading2"/>
      </w:pPr>
      <w:r>
        <w:t>4.1 Knee and Instantaneous Overlap (Figure 2)</w:t>
      </w:r>
    </w:p>
    <w:p>
      <w:pPr>
        <w:jc w:val="center"/>
      </w:pPr>
      <w:r>
        <w:drawing>
          <wp:inline xmlns:a="http://schemas.openxmlformats.org/drawingml/2006/main" xmlns:pic="http://schemas.openxmlformats.org/drawingml/2006/picture">
            <wp:extent cx="5760000" cy="2188800"/>
            <wp:docPr id="2" name="Picture 2"/>
            <wp:cNvGraphicFramePr>
              <a:graphicFrameLocks noChangeAspect="1"/>
            </wp:cNvGraphicFramePr>
            <a:graphic>
              <a:graphicData uri="http://schemas.openxmlformats.org/drawingml/2006/picture">
                <pic:pic>
                  <pic:nvPicPr>
                    <pic:cNvPr id="0" name="fig2_knee.png"/>
                    <pic:cNvPicPr/>
                  </pic:nvPicPr>
                  <pic:blipFill>
                    <a:blip r:embed="rId11"/>
                    <a:stretch>
                      <a:fillRect/>
                    </a:stretch>
                  </pic:blipFill>
                  <pic:spPr>
                    <a:xfrm>
                      <a:off x="0" y="0"/>
                      <a:ext cx="5760000" cy="2188800"/>
                    </a:xfrm>
                    <a:prstGeom prst="rect"/>
                  </pic:spPr>
                </pic:pic>
              </a:graphicData>
            </a:graphic>
          </wp:inline>
        </w:drawing>
      </w:r>
    </w:p>
    <w:p>
      <w:pPr>
        <w:jc w:val="center"/>
      </w:pPr>
      <w:r>
        <w:rPr>
          <w:i/>
          <w:color w:val="333333"/>
          <w:sz w:val="19"/>
        </w:rPr>
        <w:t>Figure 2 Knee curve: service latency vs pegged co-tenants (nested bed)</w:t>
      </w:r>
    </w:p>
    <w:p>
      <w:r>
        <w:rPr>
          <w:b/>
          <w:i w:val="0"/>
        </w:rPr>
        <w:t>Setup.</w:t>
      </w:r>
      <w:r>
        <w:t xml:space="preserve"> Services (one HTTP, one Redis, 1 vCPU each) are held constant; pegged neighbors (1 vCPU busy loops) are added from 0 to 5; each level is probed for 20 s per service at 100 req/s after a 10 s settle; five rounds run in randomized order.</w:t>
      </w:r>
    </w:p>
    <w:p>
      <w:r>
        <w:rPr>
          <w:b/>
          <w:i w:val="0"/>
        </w:rPr>
        <w:t>Results.</w:t>
      </w:r>
      <w:r>
        <w:t xml:space="preserve"> Cross-round means (ms):</w:t>
      </w:r>
    </w:p>
    <w:p>
      <w:r>
        <w:rPr>
          <w:b/>
          <w:i w:val="0"/>
        </w:rPr>
        <w:t>Table 2.</w:t>
      </w:r>
      <w:r>
        <w:t xml:space="preserve"> Knee curve: service latency vs number of pegged co-tenants (5 rounds)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9"/>
              </w:rPr>
              <w:t>Neighbors</w:t>
            </w:r>
          </w:p>
        </w:tc>
        <w:tc>
          <w:tcPr>
            <w:tcW w:type="dxa" w:w="1662"/>
          </w:tcPr>
          <w:p>
            <w:r>
              <w:rPr>
                <w:b/>
                <w:sz w:val="19"/>
              </w:rPr>
              <w:t>HTTP P50</w:t>
            </w:r>
          </w:p>
        </w:tc>
        <w:tc>
          <w:tcPr>
            <w:tcW w:type="dxa" w:w="1662"/>
          </w:tcPr>
          <w:p>
            <w:r>
              <w:rPr>
                <w:b/>
                <w:sz w:val="19"/>
              </w:rPr>
              <w:t>HTTP P99</w:t>
            </w:r>
          </w:p>
        </w:tc>
        <w:tc>
          <w:tcPr>
            <w:tcW w:type="dxa" w:w="1662"/>
          </w:tcPr>
          <w:p>
            <w:r>
              <w:rPr>
                <w:b/>
                <w:sz w:val="19"/>
              </w:rPr>
              <w:t>HTTP P999</w:t>
            </w:r>
          </w:p>
        </w:tc>
        <w:tc>
          <w:tcPr>
            <w:tcW w:type="dxa" w:w="1662"/>
          </w:tcPr>
          <w:p>
            <w:r>
              <w:rPr>
                <w:b/>
                <w:sz w:val="19"/>
              </w:rPr>
              <w:t>Redis P99</w:t>
            </w:r>
          </w:p>
        </w:tc>
        <w:tc>
          <w:tcPr>
            <w:tcW w:type="dxa" w:w="1662"/>
          </w:tcPr>
          <w:p>
            <w:r>
              <w:rPr>
                <w:b/>
                <w:sz w:val="19"/>
              </w:rPr>
              <w:t>Host busy</w:t>
            </w:r>
          </w:p>
        </w:tc>
      </w:tr>
      <w:tr>
        <w:tc>
          <w:tcPr>
            <w:tcW w:type="dxa" w:w="1662"/>
          </w:tcPr>
          <w:p>
            <w:r>
              <w:rPr>
                <w:sz w:val="19"/>
              </w:rPr>
              <w:t>0</w:t>
            </w:r>
          </w:p>
        </w:tc>
        <w:tc>
          <w:tcPr>
            <w:tcW w:type="dxa" w:w="1662"/>
          </w:tcPr>
          <w:p>
            <w:r>
              <w:rPr>
                <w:sz w:val="19"/>
              </w:rPr>
              <w:t>1.39</w:t>
            </w:r>
          </w:p>
        </w:tc>
        <w:tc>
          <w:tcPr>
            <w:tcW w:type="dxa" w:w="1662"/>
          </w:tcPr>
          <w:p>
            <w:r>
              <w:rPr>
                <w:sz w:val="19"/>
              </w:rPr>
              <w:t>2.57</w:t>
            </w:r>
          </w:p>
        </w:tc>
        <w:tc>
          <w:tcPr>
            <w:tcW w:type="dxa" w:w="1662"/>
          </w:tcPr>
          <w:p>
            <w:r>
              <w:rPr>
                <w:sz w:val="19"/>
              </w:rPr>
              <w:t>4.0</w:t>
            </w:r>
          </w:p>
        </w:tc>
        <w:tc>
          <w:tcPr>
            <w:tcW w:type="dxa" w:w="1662"/>
          </w:tcPr>
          <w:p>
            <w:r>
              <w:rPr>
                <w:sz w:val="19"/>
              </w:rPr>
              <w:t>2.40</w:t>
            </w:r>
          </w:p>
        </w:tc>
        <w:tc>
          <w:tcPr>
            <w:tcW w:type="dxa" w:w="1662"/>
          </w:tcPr>
          <w:p>
            <w:r>
              <w:rPr>
                <w:sz w:val="19"/>
              </w:rPr>
              <w:t>~3%</w:t>
            </w:r>
          </w:p>
        </w:tc>
      </w:tr>
      <w:tr>
        <w:tc>
          <w:tcPr>
            <w:tcW w:type="dxa" w:w="1662"/>
          </w:tcPr>
          <w:p>
            <w:r>
              <w:rPr>
                <w:sz w:val="19"/>
              </w:rPr>
              <w:t>1</w:t>
            </w:r>
          </w:p>
        </w:tc>
        <w:tc>
          <w:tcPr>
            <w:tcW w:type="dxa" w:w="1662"/>
          </w:tcPr>
          <w:p>
            <w:r>
              <w:rPr>
                <w:sz w:val="19"/>
              </w:rPr>
              <w:t>1.44</w:t>
            </w:r>
          </w:p>
        </w:tc>
        <w:tc>
          <w:tcPr>
            <w:tcW w:type="dxa" w:w="1662"/>
          </w:tcPr>
          <w:p>
            <w:r>
              <w:rPr>
                <w:sz w:val="19"/>
              </w:rPr>
              <w:t>3.00</w:t>
            </w:r>
          </w:p>
        </w:tc>
        <w:tc>
          <w:tcPr>
            <w:tcW w:type="dxa" w:w="1662"/>
          </w:tcPr>
          <w:p>
            <w:r>
              <w:rPr>
                <w:sz w:val="19"/>
              </w:rPr>
              <w:t>6.3</w:t>
            </w:r>
          </w:p>
        </w:tc>
        <w:tc>
          <w:tcPr>
            <w:tcW w:type="dxa" w:w="1662"/>
          </w:tcPr>
          <w:p>
            <w:r>
              <w:rPr>
                <w:sz w:val="19"/>
              </w:rPr>
              <w:t>2.68</w:t>
            </w:r>
          </w:p>
        </w:tc>
        <w:tc>
          <w:tcPr>
            <w:tcW w:type="dxa" w:w="1662"/>
          </w:tcPr>
          <w:p>
            <w:r>
              <w:rPr>
                <w:sz w:val="19"/>
              </w:rPr>
              <w:t>~42%</w:t>
            </w:r>
          </w:p>
        </w:tc>
      </w:tr>
      <w:tr>
        <w:tc>
          <w:tcPr>
            <w:tcW w:type="dxa" w:w="1662"/>
          </w:tcPr>
          <w:p>
            <w:r>
              <w:rPr>
                <w:sz w:val="19"/>
              </w:rPr>
              <w:t>2</w:t>
            </w:r>
          </w:p>
        </w:tc>
        <w:tc>
          <w:tcPr>
            <w:tcW w:type="dxa" w:w="1662"/>
          </w:tcPr>
          <w:p>
            <w:r>
              <w:rPr>
                <w:sz w:val="19"/>
              </w:rPr>
              <w:t>1.59</w:t>
            </w:r>
          </w:p>
        </w:tc>
        <w:tc>
          <w:tcPr>
            <w:tcW w:type="dxa" w:w="1662"/>
          </w:tcPr>
          <w:p>
            <w:r>
              <w:rPr>
                <w:sz w:val="19"/>
              </w:rPr>
              <w:t>3.38</w:t>
            </w:r>
          </w:p>
        </w:tc>
        <w:tc>
          <w:tcPr>
            <w:tcW w:type="dxa" w:w="1662"/>
          </w:tcPr>
          <w:p>
            <w:r>
              <w:rPr>
                <w:sz w:val="19"/>
              </w:rPr>
              <w:t>13.7</w:t>
            </w:r>
          </w:p>
        </w:tc>
        <w:tc>
          <w:tcPr>
            <w:tcW w:type="dxa" w:w="1662"/>
          </w:tcPr>
          <w:p>
            <w:r>
              <w:rPr>
                <w:sz w:val="19"/>
              </w:rPr>
              <w:t>3.19</w:t>
            </w:r>
          </w:p>
        </w:tc>
        <w:tc>
          <w:tcPr>
            <w:tcW w:type="dxa" w:w="1662"/>
          </w:tcPr>
          <w:p>
            <w:r>
              <w:rPr>
                <w:sz w:val="19"/>
              </w:rPr>
              <w:t>~67%</w:t>
            </w:r>
          </w:p>
        </w:tc>
      </w:tr>
      <w:tr>
        <w:tc>
          <w:tcPr>
            <w:tcW w:type="dxa" w:w="1662"/>
          </w:tcPr>
          <w:p>
            <w:r>
              <w:rPr>
                <w:sz w:val="19"/>
              </w:rPr>
              <w:t>3</w:t>
            </w:r>
          </w:p>
        </w:tc>
        <w:tc>
          <w:tcPr>
            <w:tcW w:type="dxa" w:w="1662"/>
          </w:tcPr>
          <w:p>
            <w:r>
              <w:rPr>
                <w:sz w:val="19"/>
              </w:rPr>
              <w:t>1.92</w:t>
            </w:r>
          </w:p>
        </w:tc>
        <w:tc>
          <w:tcPr>
            <w:tcW w:type="dxa" w:w="1662"/>
          </w:tcPr>
          <w:p>
            <w:r>
              <w:rPr>
                <w:sz w:val="19"/>
              </w:rPr>
              <w:t>4.86</w:t>
            </w:r>
          </w:p>
        </w:tc>
        <w:tc>
          <w:tcPr>
            <w:tcW w:type="dxa" w:w="1662"/>
          </w:tcPr>
          <w:p>
            <w:r>
              <w:rPr>
                <w:sz w:val="19"/>
              </w:rPr>
              <w:t>26.8</w:t>
            </w:r>
          </w:p>
        </w:tc>
        <w:tc>
          <w:tcPr>
            <w:tcW w:type="dxa" w:w="1662"/>
          </w:tcPr>
          <w:p>
            <w:r>
              <w:rPr>
                <w:sz w:val="19"/>
              </w:rPr>
              <w:t>4.95</w:t>
            </w:r>
          </w:p>
        </w:tc>
        <w:tc>
          <w:tcPr>
            <w:tcW w:type="dxa" w:w="1662"/>
          </w:tcPr>
          <w:p>
            <w:r>
              <w:rPr>
                <w:sz w:val="19"/>
              </w:rPr>
              <w:t>~86%</w:t>
            </w:r>
          </w:p>
        </w:tc>
      </w:tr>
      <w:tr>
        <w:tc>
          <w:tcPr>
            <w:tcW w:type="dxa" w:w="1662"/>
          </w:tcPr>
          <w:p>
            <w:r>
              <w:rPr>
                <w:sz w:val="19"/>
              </w:rPr>
              <w:t>4</w:t>
            </w:r>
          </w:p>
        </w:tc>
        <w:tc>
          <w:tcPr>
            <w:tcW w:type="dxa" w:w="1662"/>
          </w:tcPr>
          <w:p>
            <w:r>
              <w:rPr>
                <w:sz w:val="19"/>
              </w:rPr>
              <w:t>11.0</w:t>
            </w:r>
          </w:p>
        </w:tc>
        <w:tc>
          <w:tcPr>
            <w:tcW w:type="dxa" w:w="1662"/>
          </w:tcPr>
          <w:p>
            <w:r>
              <w:rPr>
                <w:sz w:val="19"/>
              </w:rPr>
              <w:t>23.8</w:t>
            </w:r>
          </w:p>
        </w:tc>
        <w:tc>
          <w:tcPr>
            <w:tcW w:type="dxa" w:w="1662"/>
          </w:tcPr>
          <w:p>
            <w:r>
              <w:rPr>
                <w:sz w:val="19"/>
              </w:rPr>
              <w:t>27.4</w:t>
            </w:r>
          </w:p>
        </w:tc>
        <w:tc>
          <w:tcPr>
            <w:tcW w:type="dxa" w:w="1662"/>
          </w:tcPr>
          <w:p>
            <w:r>
              <w:rPr>
                <w:sz w:val="19"/>
              </w:rPr>
              <w:t>20.8</w:t>
            </w:r>
          </w:p>
        </w:tc>
        <w:tc>
          <w:tcPr>
            <w:tcW w:type="dxa" w:w="1662"/>
          </w:tcPr>
          <w:p>
            <w:r>
              <w:rPr>
                <w:sz w:val="19"/>
              </w:rPr>
              <w:t>100%</w:t>
            </w:r>
          </w:p>
        </w:tc>
      </w:tr>
      <w:tr>
        <w:tc>
          <w:tcPr>
            <w:tcW w:type="dxa" w:w="1662"/>
          </w:tcPr>
          <w:p>
            <w:r>
              <w:rPr>
                <w:sz w:val="19"/>
              </w:rPr>
              <w:t>5</w:t>
            </w:r>
          </w:p>
        </w:tc>
        <w:tc>
          <w:tcPr>
            <w:tcW w:type="dxa" w:w="1662"/>
          </w:tcPr>
          <w:p>
            <w:r>
              <w:rPr>
                <w:sz w:val="19"/>
              </w:rPr>
              <w:t>6.9</w:t>
            </w:r>
          </w:p>
        </w:tc>
        <w:tc>
          <w:tcPr>
            <w:tcW w:type="dxa" w:w="1662"/>
          </w:tcPr>
          <w:p>
            <w:r>
              <w:rPr>
                <w:sz w:val="19"/>
              </w:rPr>
              <w:t>21.5</w:t>
            </w:r>
          </w:p>
        </w:tc>
        <w:tc>
          <w:tcPr>
            <w:tcW w:type="dxa" w:w="1662"/>
          </w:tcPr>
          <w:p>
            <w:r>
              <w:rPr>
                <w:sz w:val="19"/>
              </w:rPr>
              <w:t>25.9</w:t>
            </w:r>
          </w:p>
        </w:tc>
        <w:tc>
          <w:tcPr>
            <w:tcW w:type="dxa" w:w="1662"/>
          </w:tcPr>
          <w:p>
            <w:r>
              <w:rPr>
                <w:sz w:val="19"/>
              </w:rPr>
              <w:t>18.5</w:t>
            </w:r>
          </w:p>
        </w:tc>
        <w:tc>
          <w:tcPr>
            <w:tcW w:type="dxa" w:w="1662"/>
          </w:tcPr>
          <w:p>
            <w:r>
              <w:rPr>
                <w:sz w:val="19"/>
              </w:rPr>
              <w:t>100%</w:t>
            </w:r>
          </w:p>
        </w:tc>
      </w:tr>
    </w:tbl>
    <w:p/>
    <w:p>
      <w:r>
        <w:rPr>
          <w:b/>
          <w:i w:val="0"/>
        </w:rPr>
        <w:t>Observations.</w:t>
      </w:r>
      <w:r>
        <w:t xml:space="preserve"> (i) The knee is stable at 3→4: with the fourth pegged neighbor, P50 jumps from 1.9 to 11.0 ms and P99 from 4.9 to 23.8 ms, tightly across five rounds. (ii) Tail-percentile warning precedes the median collapse: P999 already fluctuates at 2–3 neighbors (14–27 ms), one or two levels earlier. (iii) The 4-vs-5 comparison is non-monotonic in P50 (11.0 vs 6.9) — reading averages alone would rank 5 neighbors "better". (iv) Zero timeouts throughout: the service "looks healthy" by error rate or mean.</w:t>
      </w:r>
    </w:p>
    <w:p>
      <w:r>
        <w:rPr>
          <w:b/>
          <w:i w:val="0"/>
        </w:rPr>
        <w:t>Interpretation.</w:t>
      </w:r>
      <w:r>
        <w:t xml:space="preserve"> Once the runnable set persistently exceeds the logical core count (C = 4; the fourth pegged tenant plus service and probe threads), short requests begin queueing for scheduling shares; collapse is an event of </w:t>
      </w:r>
      <w:r>
        <w:rPr>
          <w:b/>
          <w:i w:val="0"/>
        </w:rPr>
        <w:t>instantaneous concurrency crossing the capacity line</w:t>
      </w:r>
      <w:r>
        <w:t>, not of average utilization reaching a threshold (at 3 neighbors the host is already 86% busy yet healthy). This explains why fixed-utilization thresholds fail here and motivates managing instantaneous concurrency in the design.</w:t>
      </w:r>
    </w:p>
    <w:p>
      <w:r>
        <w:rPr>
          <w:b/>
          <w:i w:val="0"/>
        </w:rPr>
        <w:t>Boundaries.</w:t>
      </w:r>
      <w:r>
        <w:t xml:space="preserve"> One host, 4 logical cores; neighbors are continuously pegged (worst case); no quotas or isolation; absolute numbers do not extrapolate to other core counts, but the mechanism does not depend on the count.</w:t>
      </w:r>
    </w:p>
    <w:p>
      <w:pPr>
        <w:pStyle w:val="Heading3"/>
      </w:pPr>
      <w:r>
        <w:t>4.1b Repeat: 50-Round Amplification (Figure 17)</w:t>
      </w:r>
    </w:p>
    <w:p>
      <w:pPr>
        <w:jc w:val="center"/>
      </w:pPr>
      <w:r>
        <w:drawing>
          <wp:inline xmlns:a="http://schemas.openxmlformats.org/drawingml/2006/main" xmlns:pic="http://schemas.openxmlformats.org/drawingml/2006/picture">
            <wp:extent cx="5760000" cy="2246400"/>
            <wp:docPr id="3" name="Picture 3"/>
            <wp:cNvGraphicFramePr>
              <a:graphicFrameLocks noChangeAspect="1"/>
            </wp:cNvGraphicFramePr>
            <a:graphic>
              <a:graphicData uri="http://schemas.openxmlformats.org/drawingml/2006/picture">
                <pic:pic>
                  <pic:nvPicPr>
                    <pic:cNvPr id="0" name="fig17_knee_repeat.png"/>
                    <pic:cNvPicPr/>
                  </pic:nvPicPr>
                  <pic:blipFill>
                    <a:blip r:embed="rId12"/>
                    <a:stretch>
                      <a:fillRect/>
                    </a:stretch>
                  </pic:blipFill>
                  <pic:spPr>
                    <a:xfrm>
                      <a:off x="0" y="0"/>
                      <a:ext cx="5760000" cy="2246400"/>
                    </a:xfrm>
                    <a:prstGeom prst="rect"/>
                  </pic:spPr>
                </pic:pic>
              </a:graphicData>
            </a:graphic>
          </wp:inline>
        </w:drawing>
      </w:r>
    </w:p>
    <w:p>
      <w:pPr>
        <w:jc w:val="center"/>
      </w:pPr>
      <w:r>
        <w:rPr>
          <w:i/>
          <w:color w:val="333333"/>
          <w:sz w:val="19"/>
        </w:rPr>
        <w:t>Figure 17 50-round knee repeat (v2 reconstruction); v3 rework in Figure 29</w:t>
      </w:r>
    </w:p>
    <w:p>
      <w:pPr>
        <w:jc w:val="center"/>
      </w:pPr>
      <w:r>
        <w:drawing>
          <wp:inline xmlns:a="http://schemas.openxmlformats.org/drawingml/2006/main" xmlns:pic="http://schemas.openxmlformats.org/drawingml/2006/picture">
            <wp:extent cx="5760000" cy="2246400"/>
            <wp:docPr id="4" name="Picture 4"/>
            <wp:cNvGraphicFramePr>
              <a:graphicFrameLocks noChangeAspect="1"/>
            </wp:cNvGraphicFramePr>
            <a:graphic>
              <a:graphicData uri="http://schemas.openxmlformats.org/drawingml/2006/picture">
                <pic:pic>
                  <pic:nvPicPr>
                    <pic:cNvPr id="0" name="fig29_knee_v3.png"/>
                    <pic:cNvPicPr/>
                  </pic:nvPicPr>
                  <pic:blipFill>
                    <a:blip r:embed="rId13"/>
                    <a:stretch>
                      <a:fillRect/>
                    </a:stretch>
                  </pic:blipFill>
                  <pic:spPr>
                    <a:xfrm>
                      <a:off x="0" y="0"/>
                      <a:ext cx="5760000" cy="2246400"/>
                    </a:xfrm>
                    <a:prstGeom prst="rect"/>
                  </pic:spPr>
                </pic:pic>
              </a:graphicData>
            </a:graphic>
          </wp:inline>
        </w:drawing>
      </w:r>
    </w:p>
    <w:p>
      <w:pPr>
        <w:jc w:val="center"/>
      </w:pPr>
      <w:r>
        <w:rPr>
          <w:i/>
          <w:color w:val="333333"/>
          <w:sz w:val="19"/>
        </w:rPr>
        <w:t>Figure 29 Knee v3 rework (all neighbors online): L2 clean, L3 45/50, L4 100% collapse</w:t>
      </w:r>
    </w:p>
    <w:p>
      <w:r>
        <w:rPr>
          <w:b/>
          <w:i w:val="0"/>
        </w:rPr>
        <w:t>Setup.</w:t>
      </w:r>
      <w:r>
        <w:t xml:space="preserve"> The automated engine reran the Section 4.1 procedure </w:t>
      </w:r>
      <w:r>
        <w:rPr>
          <w:b/>
          <w:i w:val="0"/>
        </w:rPr>
        <w:t>50 times</w:t>
      </w:r>
      <w:r>
        <w:t xml:space="preserve"> (v2 campaign; randomized order, settle between levels, two 20 s probes per round). During the campaign the fourth pegged neighbor was OOM-killed by the host in round 2 and stayed down; from then on the nominal 4-neighbor level in fact ran 3 neighbors and the nominal 5-neighbor level ran 4. We therefore merge by </w:t>
      </w:r>
      <w:r>
        <w:rPr>
          <w:b/>
          <w:i w:val="0"/>
        </w:rPr>
        <w:t>neighbors actually running</w:t>
      </w:r>
      <w:r>
        <w:t>: 3 neighbors = all of L3 + L4-from-round-3 (n = 98); 4 neighbors = L5-from-round-3 (n = 48).</w:t>
      </w:r>
    </w:p>
    <w:p>
      <w:r>
        <w:rPr>
          <w:b/>
          <w:i w:val="0"/>
        </w:rPr>
        <w:t>Results (HTTP P99, ms; Figure 17 left).</w:t>
      </w:r>
    </w:p>
    <w:p>
      <w:r>
        <w:rPr>
          <w:b/>
          <w:i w:val="0"/>
        </w:rPr>
        <w:t>Table 3.</w:t>
      </w:r>
      <w:r>
        <w:t xml:space="preserve"> Per-neighbor breakdown of the first knee sweep</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9"/>
              </w:rPr>
              <w:t>Neighbors running</w:t>
            </w:r>
          </w:p>
        </w:tc>
        <w:tc>
          <w:tcPr>
            <w:tcW w:type="dxa" w:w="1662"/>
          </w:tcPr>
          <w:p>
            <w:r>
              <w:rPr>
                <w:b/>
                <w:sz w:val="19"/>
              </w:rPr>
              <w:t>n</w:t>
            </w:r>
          </w:p>
        </w:tc>
        <w:tc>
          <w:tcPr>
            <w:tcW w:type="dxa" w:w="1662"/>
          </w:tcPr>
          <w:p>
            <w:r>
              <w:rPr>
                <w:b/>
                <w:sz w:val="19"/>
              </w:rPr>
              <w:t>mean</w:t>
            </w:r>
          </w:p>
        </w:tc>
        <w:tc>
          <w:tcPr>
            <w:tcW w:type="dxa" w:w="1662"/>
          </w:tcPr>
          <w:p>
            <w:r>
              <w:rPr>
                <w:b/>
                <w:sz w:val="19"/>
              </w:rPr>
              <w:t>median</w:t>
            </w:r>
          </w:p>
        </w:tc>
        <w:tc>
          <w:tcPr>
            <w:tcW w:type="dxa" w:w="1662"/>
          </w:tcPr>
          <w:p>
            <w:r>
              <w:rPr>
                <w:b/>
                <w:sz w:val="19"/>
              </w:rPr>
              <w:t>range</w:t>
            </w:r>
          </w:p>
        </w:tc>
        <w:tc>
          <w:tcPr>
            <w:tcW w:type="dxa" w:w="1662"/>
          </w:tcPr>
          <w:p>
            <w:r>
              <w:rPr>
                <w:b/>
                <w:sz w:val="19"/>
              </w:rPr>
              <w:t>&gt; 10 ms</w:t>
            </w:r>
          </w:p>
        </w:tc>
      </w:tr>
      <w:tr>
        <w:tc>
          <w:tcPr>
            <w:tcW w:type="dxa" w:w="1662"/>
          </w:tcPr>
          <w:p>
            <w:r>
              <w:rPr>
                <w:sz w:val="19"/>
              </w:rPr>
              <w:t>0</w:t>
            </w:r>
          </w:p>
        </w:tc>
        <w:tc>
          <w:tcPr>
            <w:tcW w:type="dxa" w:w="1662"/>
          </w:tcPr>
          <w:p>
            <w:r>
              <w:rPr>
                <w:sz w:val="19"/>
              </w:rPr>
              <w:t>50</w:t>
            </w:r>
          </w:p>
        </w:tc>
        <w:tc>
          <w:tcPr>
            <w:tcW w:type="dxa" w:w="1662"/>
          </w:tcPr>
          <w:p>
            <w:r>
              <w:rPr>
                <w:sz w:val="19"/>
              </w:rPr>
              <w:t>2.92</w:t>
            </w:r>
          </w:p>
        </w:tc>
        <w:tc>
          <w:tcPr>
            <w:tcW w:type="dxa" w:w="1662"/>
          </w:tcPr>
          <w:p>
            <w:r>
              <w:rPr>
                <w:sz w:val="19"/>
              </w:rPr>
              <w:t>2.84</w:t>
            </w:r>
          </w:p>
        </w:tc>
        <w:tc>
          <w:tcPr>
            <w:tcW w:type="dxa" w:w="1662"/>
          </w:tcPr>
          <w:p>
            <w:r>
              <w:rPr>
                <w:sz w:val="19"/>
              </w:rPr>
              <w:t>2.45–4.17</w:t>
            </w:r>
          </w:p>
        </w:tc>
        <w:tc>
          <w:tcPr>
            <w:tcW w:type="dxa" w:w="1662"/>
          </w:tcPr>
          <w:p>
            <w:r>
              <w:rPr>
                <w:sz w:val="19"/>
              </w:rPr>
              <w:t>0</w:t>
            </w:r>
          </w:p>
        </w:tc>
      </w:tr>
      <w:tr>
        <w:tc>
          <w:tcPr>
            <w:tcW w:type="dxa" w:w="1662"/>
          </w:tcPr>
          <w:p>
            <w:r>
              <w:rPr>
                <w:sz w:val="19"/>
              </w:rPr>
              <w:t>1</w:t>
            </w:r>
          </w:p>
        </w:tc>
        <w:tc>
          <w:tcPr>
            <w:tcW w:type="dxa" w:w="1662"/>
          </w:tcPr>
          <w:p>
            <w:r>
              <w:rPr>
                <w:sz w:val="19"/>
              </w:rPr>
              <w:t>50</w:t>
            </w:r>
          </w:p>
        </w:tc>
        <w:tc>
          <w:tcPr>
            <w:tcW w:type="dxa" w:w="1662"/>
          </w:tcPr>
          <w:p>
            <w:r>
              <w:rPr>
                <w:sz w:val="19"/>
              </w:rPr>
              <w:t>3.42</w:t>
            </w:r>
          </w:p>
        </w:tc>
        <w:tc>
          <w:tcPr>
            <w:tcW w:type="dxa" w:w="1662"/>
          </w:tcPr>
          <w:p>
            <w:r>
              <w:rPr>
                <w:sz w:val="19"/>
              </w:rPr>
              <w:t>3.31</w:t>
            </w:r>
          </w:p>
        </w:tc>
        <w:tc>
          <w:tcPr>
            <w:tcW w:type="dxa" w:w="1662"/>
          </w:tcPr>
          <w:p>
            <w:r>
              <w:rPr>
                <w:sz w:val="19"/>
              </w:rPr>
              <w:t>2.74–4.82</w:t>
            </w:r>
          </w:p>
        </w:tc>
        <w:tc>
          <w:tcPr>
            <w:tcW w:type="dxa" w:w="1662"/>
          </w:tcPr>
          <w:p>
            <w:r>
              <w:rPr>
                <w:sz w:val="19"/>
              </w:rPr>
              <w:t>0</w:t>
            </w:r>
          </w:p>
        </w:tc>
      </w:tr>
      <w:tr>
        <w:tc>
          <w:tcPr>
            <w:tcW w:type="dxa" w:w="1662"/>
          </w:tcPr>
          <w:p>
            <w:r>
              <w:rPr>
                <w:sz w:val="19"/>
              </w:rPr>
              <w:t>2</w:t>
            </w:r>
          </w:p>
        </w:tc>
        <w:tc>
          <w:tcPr>
            <w:tcW w:type="dxa" w:w="1662"/>
          </w:tcPr>
          <w:p>
            <w:r>
              <w:rPr>
                <w:sz w:val="19"/>
              </w:rPr>
              <w:t>50</w:t>
            </w:r>
          </w:p>
        </w:tc>
        <w:tc>
          <w:tcPr>
            <w:tcW w:type="dxa" w:w="1662"/>
          </w:tcPr>
          <w:p>
            <w:r>
              <w:rPr>
                <w:sz w:val="19"/>
              </w:rPr>
              <w:t>4.47</w:t>
            </w:r>
          </w:p>
        </w:tc>
        <w:tc>
          <w:tcPr>
            <w:tcW w:type="dxa" w:w="1662"/>
          </w:tcPr>
          <w:p>
            <w:r>
              <w:rPr>
                <w:sz w:val="19"/>
              </w:rPr>
              <w:t>4.47</w:t>
            </w:r>
          </w:p>
        </w:tc>
        <w:tc>
          <w:tcPr>
            <w:tcW w:type="dxa" w:w="1662"/>
          </w:tcPr>
          <w:p>
            <w:r>
              <w:rPr>
                <w:sz w:val="19"/>
              </w:rPr>
              <w:t>3.19–5.95</w:t>
            </w:r>
          </w:p>
        </w:tc>
        <w:tc>
          <w:tcPr>
            <w:tcW w:type="dxa" w:w="1662"/>
          </w:tcPr>
          <w:p>
            <w:r>
              <w:rPr>
                <w:sz w:val="19"/>
              </w:rPr>
              <w:t>0</w:t>
            </w:r>
          </w:p>
        </w:tc>
      </w:tr>
      <w:tr>
        <w:tc>
          <w:tcPr>
            <w:tcW w:type="dxa" w:w="1662"/>
          </w:tcPr>
          <w:p>
            <w:r>
              <w:rPr>
                <w:sz w:val="19"/>
              </w:rPr>
              <w:t>3</w:t>
            </w:r>
          </w:p>
        </w:tc>
        <w:tc>
          <w:tcPr>
            <w:tcW w:type="dxa" w:w="1662"/>
          </w:tcPr>
          <w:p>
            <w:r>
              <w:rPr>
                <w:sz w:val="19"/>
              </w:rPr>
              <w:t>98</w:t>
            </w:r>
          </w:p>
        </w:tc>
        <w:tc>
          <w:tcPr>
            <w:tcW w:type="dxa" w:w="1662"/>
          </w:tcPr>
          <w:p>
            <w:r>
              <w:rPr>
                <w:sz w:val="19"/>
              </w:rPr>
              <w:t>7.36</w:t>
            </w:r>
          </w:p>
        </w:tc>
        <w:tc>
          <w:tcPr>
            <w:tcW w:type="dxa" w:w="1662"/>
          </w:tcPr>
          <w:p>
            <w:r>
              <w:rPr>
                <w:sz w:val="19"/>
              </w:rPr>
              <w:t>7.10</w:t>
            </w:r>
          </w:p>
        </w:tc>
        <w:tc>
          <w:tcPr>
            <w:tcW w:type="dxa" w:w="1662"/>
          </w:tcPr>
          <w:p>
            <w:r>
              <w:rPr>
                <w:sz w:val="19"/>
              </w:rPr>
              <w:t>4.71–13.50</w:t>
            </w:r>
          </w:p>
        </w:tc>
        <w:tc>
          <w:tcPr>
            <w:tcW w:type="dxa" w:w="1662"/>
          </w:tcPr>
          <w:p>
            <w:r>
              <w:rPr>
                <w:sz w:val="19"/>
              </w:rPr>
              <w:t>7 (7%)</w:t>
            </w:r>
          </w:p>
        </w:tc>
      </w:tr>
      <w:tr>
        <w:tc>
          <w:tcPr>
            <w:tcW w:type="dxa" w:w="1662"/>
          </w:tcPr>
          <w:p>
            <w:r>
              <w:rPr>
                <w:sz w:val="19"/>
              </w:rPr>
              <w:t>4</w:t>
            </w:r>
          </w:p>
        </w:tc>
        <w:tc>
          <w:tcPr>
            <w:tcW w:type="dxa" w:w="1662"/>
          </w:tcPr>
          <w:p>
            <w:r>
              <w:rPr>
                <w:sz w:val="19"/>
              </w:rPr>
              <w:t>48</w:t>
            </w:r>
          </w:p>
        </w:tc>
        <w:tc>
          <w:tcPr>
            <w:tcW w:type="dxa" w:w="1662"/>
          </w:tcPr>
          <w:p>
            <w:r>
              <w:rPr>
                <w:sz w:val="19"/>
              </w:rPr>
              <w:t>24.44</w:t>
            </w:r>
          </w:p>
        </w:tc>
        <w:tc>
          <w:tcPr>
            <w:tcW w:type="dxa" w:w="1662"/>
          </w:tcPr>
          <w:p>
            <w:r>
              <w:rPr>
                <w:sz w:val="19"/>
              </w:rPr>
              <w:t>24.42</w:t>
            </w:r>
          </w:p>
        </w:tc>
        <w:tc>
          <w:tcPr>
            <w:tcW w:type="dxa" w:w="1662"/>
          </w:tcPr>
          <w:p>
            <w:r>
              <w:rPr>
                <w:sz w:val="19"/>
              </w:rPr>
              <w:t>20.66–28.48</w:t>
            </w:r>
          </w:p>
        </w:tc>
        <w:tc>
          <w:tcPr>
            <w:tcW w:type="dxa" w:w="1662"/>
          </w:tcPr>
          <w:p>
            <w:r>
              <w:rPr>
                <w:sz w:val="19"/>
              </w:rPr>
              <w:t>48 (100%, all &gt; 20 ms)</w:t>
            </w:r>
          </w:p>
        </w:tc>
      </w:tr>
    </w:tbl>
    <w:p/>
    <w:p>
      <w:r>
        <w:t>Redis mirrors this (6.8 ms → 21.4 ms). The round-1 L4 sample (when the fourth neighbor was still up, i.e. exactly 4 running) reads 22.99 ms — inside the four-neighbor band.</w:t>
      </w:r>
    </w:p>
    <w:p>
      <w:r>
        <w:rPr>
          <w:b/>
          <w:i w:val="0"/>
        </w:rPr>
        <w:t>Rework batch (all five neighbors online throughout, 50 rounds; Figure 29).</w:t>
      </w:r>
    </w:p>
    <w:p>
      <w:r>
        <w:rPr>
          <w:b/>
          <w:i w:val="0"/>
        </w:rPr>
        <w:t>Table 4.</w:t>
      </w:r>
      <w:r>
        <w:t xml:space="preserve"> Repeat of the knee sweep (second batch)</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9"/>
              </w:rPr>
              <w:t>Neighbors running</w:t>
            </w:r>
          </w:p>
        </w:tc>
        <w:tc>
          <w:tcPr>
            <w:tcW w:type="dxa" w:w="1662"/>
          </w:tcPr>
          <w:p>
            <w:r>
              <w:rPr>
                <w:b/>
                <w:sz w:val="19"/>
              </w:rPr>
              <w:t>n</w:t>
            </w:r>
          </w:p>
        </w:tc>
        <w:tc>
          <w:tcPr>
            <w:tcW w:type="dxa" w:w="1662"/>
          </w:tcPr>
          <w:p>
            <w:r>
              <w:rPr>
                <w:b/>
                <w:sz w:val="19"/>
              </w:rPr>
              <w:t>mean</w:t>
            </w:r>
          </w:p>
        </w:tc>
        <w:tc>
          <w:tcPr>
            <w:tcW w:type="dxa" w:w="1662"/>
          </w:tcPr>
          <w:p>
            <w:r>
              <w:rPr>
                <w:b/>
                <w:sz w:val="19"/>
              </w:rPr>
              <w:t>median</w:t>
            </w:r>
          </w:p>
        </w:tc>
        <w:tc>
          <w:tcPr>
            <w:tcW w:type="dxa" w:w="1662"/>
          </w:tcPr>
          <w:p>
            <w:r>
              <w:rPr>
                <w:b/>
                <w:sz w:val="19"/>
              </w:rPr>
              <w:t>range</w:t>
            </w:r>
          </w:p>
        </w:tc>
        <w:tc>
          <w:tcPr>
            <w:tcW w:type="dxa" w:w="1662"/>
          </w:tcPr>
          <w:p>
            <w:r>
              <w:rPr>
                <w:b/>
                <w:sz w:val="19"/>
              </w:rPr>
              <w:t>&gt; 10 ms</w:t>
            </w:r>
          </w:p>
        </w:tc>
      </w:tr>
      <w:tr>
        <w:tc>
          <w:tcPr>
            <w:tcW w:type="dxa" w:w="1662"/>
          </w:tcPr>
          <w:p>
            <w:r>
              <w:rPr>
                <w:sz w:val="19"/>
              </w:rPr>
              <w:t>0 (v3)</w:t>
            </w:r>
          </w:p>
        </w:tc>
        <w:tc>
          <w:tcPr>
            <w:tcW w:type="dxa" w:w="1662"/>
          </w:tcPr>
          <w:p>
            <w:r>
              <w:rPr>
                <w:sz w:val="19"/>
              </w:rPr>
              <w:t>50</w:t>
            </w:r>
          </w:p>
        </w:tc>
        <w:tc>
          <w:tcPr>
            <w:tcW w:type="dxa" w:w="1662"/>
          </w:tcPr>
          <w:p>
            <w:r>
              <w:rPr>
                <w:sz w:val="19"/>
              </w:rPr>
              <w:t>3.14</w:t>
            </w:r>
          </w:p>
        </w:tc>
        <w:tc>
          <w:tcPr>
            <w:tcW w:type="dxa" w:w="1662"/>
          </w:tcPr>
          <w:p>
            <w:r>
              <w:rPr>
                <w:sz w:val="19"/>
              </w:rPr>
              <w:t>3.1</w:t>
            </w:r>
          </w:p>
        </w:tc>
        <w:tc>
          <w:tcPr>
            <w:tcW w:type="dxa" w:w="1662"/>
          </w:tcPr>
          <w:p>
            <w:r>
              <w:rPr>
                <w:sz w:val="19"/>
              </w:rPr>
              <w:t>2.6–4.1</w:t>
            </w:r>
          </w:p>
        </w:tc>
        <w:tc>
          <w:tcPr>
            <w:tcW w:type="dxa" w:w="1662"/>
          </w:tcPr>
          <w:p>
            <w:r>
              <w:rPr>
                <w:sz w:val="19"/>
              </w:rPr>
              <w:t>0 (0%)</w:t>
            </w:r>
          </w:p>
        </w:tc>
      </w:tr>
      <w:tr>
        <w:tc>
          <w:tcPr>
            <w:tcW w:type="dxa" w:w="1662"/>
          </w:tcPr>
          <w:p>
            <w:r>
              <w:rPr>
                <w:sz w:val="19"/>
              </w:rPr>
              <w:t>1 (v3)</w:t>
            </w:r>
          </w:p>
        </w:tc>
        <w:tc>
          <w:tcPr>
            <w:tcW w:type="dxa" w:w="1662"/>
          </w:tcPr>
          <w:p>
            <w:r>
              <w:rPr>
                <w:sz w:val="19"/>
              </w:rPr>
              <w:t>50</w:t>
            </w:r>
          </w:p>
        </w:tc>
        <w:tc>
          <w:tcPr>
            <w:tcW w:type="dxa" w:w="1662"/>
          </w:tcPr>
          <w:p>
            <w:r>
              <w:rPr>
                <w:sz w:val="19"/>
              </w:rPr>
              <w:t>3.62</w:t>
            </w:r>
          </w:p>
        </w:tc>
        <w:tc>
          <w:tcPr>
            <w:tcW w:type="dxa" w:w="1662"/>
          </w:tcPr>
          <w:p>
            <w:r>
              <w:rPr>
                <w:sz w:val="19"/>
              </w:rPr>
              <w:t>3.6</w:t>
            </w:r>
          </w:p>
        </w:tc>
        <w:tc>
          <w:tcPr>
            <w:tcW w:type="dxa" w:w="1662"/>
          </w:tcPr>
          <w:p>
            <w:r>
              <w:rPr>
                <w:sz w:val="19"/>
              </w:rPr>
              <w:t>2.9–4.6</w:t>
            </w:r>
          </w:p>
        </w:tc>
        <w:tc>
          <w:tcPr>
            <w:tcW w:type="dxa" w:w="1662"/>
          </w:tcPr>
          <w:p>
            <w:r>
              <w:rPr>
                <w:sz w:val="19"/>
              </w:rPr>
              <w:t>0 (0%)</w:t>
            </w:r>
          </w:p>
        </w:tc>
      </w:tr>
      <w:tr>
        <w:tc>
          <w:tcPr>
            <w:tcW w:type="dxa" w:w="1662"/>
          </w:tcPr>
          <w:p>
            <w:r>
              <w:rPr>
                <w:sz w:val="19"/>
              </w:rPr>
              <w:t>2 (v3)</w:t>
            </w:r>
          </w:p>
        </w:tc>
        <w:tc>
          <w:tcPr>
            <w:tcW w:type="dxa" w:w="1662"/>
          </w:tcPr>
          <w:p>
            <w:r>
              <w:rPr>
                <w:sz w:val="19"/>
              </w:rPr>
              <w:t>50</w:t>
            </w:r>
          </w:p>
        </w:tc>
        <w:tc>
          <w:tcPr>
            <w:tcW w:type="dxa" w:w="1662"/>
          </w:tcPr>
          <w:p>
            <w:r>
              <w:rPr>
                <w:sz w:val="19"/>
              </w:rPr>
              <w:t>5.35</w:t>
            </w:r>
          </w:p>
        </w:tc>
        <w:tc>
          <w:tcPr>
            <w:tcW w:type="dxa" w:w="1662"/>
          </w:tcPr>
          <w:p>
            <w:r>
              <w:rPr>
                <w:sz w:val="19"/>
              </w:rPr>
              <w:t>5.3</w:t>
            </w:r>
          </w:p>
        </w:tc>
        <w:tc>
          <w:tcPr>
            <w:tcW w:type="dxa" w:w="1662"/>
          </w:tcPr>
          <w:p>
            <w:r>
              <w:rPr>
                <w:sz w:val="19"/>
              </w:rPr>
              <w:t>3.9–8.0</w:t>
            </w:r>
          </w:p>
        </w:tc>
        <w:tc>
          <w:tcPr>
            <w:tcW w:type="dxa" w:w="1662"/>
          </w:tcPr>
          <w:p>
            <w:r>
              <w:rPr>
                <w:sz w:val="19"/>
              </w:rPr>
              <w:t>0 (0%)</w:t>
            </w:r>
          </w:p>
        </w:tc>
      </w:tr>
      <w:tr>
        <w:tc>
          <w:tcPr>
            <w:tcW w:type="dxa" w:w="1662"/>
          </w:tcPr>
          <w:p>
            <w:r>
              <w:rPr>
                <w:sz w:val="19"/>
              </w:rPr>
              <w:t>3 (v3)</w:t>
            </w:r>
          </w:p>
        </w:tc>
        <w:tc>
          <w:tcPr>
            <w:tcW w:type="dxa" w:w="1662"/>
          </w:tcPr>
          <w:p>
            <w:r>
              <w:rPr>
                <w:sz w:val="19"/>
              </w:rPr>
              <w:t>50</w:t>
            </w:r>
          </w:p>
        </w:tc>
        <w:tc>
          <w:tcPr>
            <w:tcW w:type="dxa" w:w="1662"/>
          </w:tcPr>
          <w:p>
            <w:r>
              <w:rPr>
                <w:sz w:val="19"/>
              </w:rPr>
              <w:t>15.41</w:t>
            </w:r>
          </w:p>
        </w:tc>
        <w:tc>
          <w:tcPr>
            <w:tcW w:type="dxa" w:w="1662"/>
          </w:tcPr>
          <w:p>
            <w:r>
              <w:rPr>
                <w:sz w:val="19"/>
              </w:rPr>
              <w:t>16.0</w:t>
            </w:r>
          </w:p>
        </w:tc>
        <w:tc>
          <w:tcPr>
            <w:tcW w:type="dxa" w:w="1662"/>
          </w:tcPr>
          <w:p>
            <w:r>
              <w:rPr>
                <w:sz w:val="19"/>
              </w:rPr>
              <w:t>7.4–23.4</w:t>
            </w:r>
          </w:p>
        </w:tc>
        <w:tc>
          <w:tcPr>
            <w:tcW w:type="dxa" w:w="1662"/>
          </w:tcPr>
          <w:p>
            <w:r>
              <w:rPr>
                <w:sz w:val="19"/>
              </w:rPr>
              <w:t>45 (90%)</w:t>
            </w:r>
          </w:p>
        </w:tc>
      </w:tr>
      <w:tr>
        <w:tc>
          <w:tcPr>
            <w:tcW w:type="dxa" w:w="1662"/>
          </w:tcPr>
          <w:p>
            <w:r>
              <w:rPr>
                <w:sz w:val="19"/>
              </w:rPr>
              <w:t>4 (v3)</w:t>
            </w:r>
          </w:p>
        </w:tc>
        <w:tc>
          <w:tcPr>
            <w:tcW w:type="dxa" w:w="1662"/>
          </w:tcPr>
          <w:p>
            <w:r>
              <w:rPr>
                <w:sz w:val="19"/>
              </w:rPr>
              <w:t>50</w:t>
            </w:r>
          </w:p>
        </w:tc>
        <w:tc>
          <w:tcPr>
            <w:tcW w:type="dxa" w:w="1662"/>
          </w:tcPr>
          <w:p>
            <w:r>
              <w:rPr>
                <w:sz w:val="19"/>
              </w:rPr>
              <w:t>24.45</w:t>
            </w:r>
          </w:p>
        </w:tc>
        <w:tc>
          <w:tcPr>
            <w:tcW w:type="dxa" w:w="1662"/>
          </w:tcPr>
          <w:p>
            <w:r>
              <w:rPr>
                <w:sz w:val="19"/>
              </w:rPr>
              <w:t>24.1</w:t>
            </w:r>
          </w:p>
        </w:tc>
        <w:tc>
          <w:tcPr>
            <w:tcW w:type="dxa" w:w="1662"/>
          </w:tcPr>
          <w:p>
            <w:r>
              <w:rPr>
                <w:sz w:val="19"/>
              </w:rPr>
              <w:t>19.9–30.6</w:t>
            </w:r>
          </w:p>
        </w:tc>
        <w:tc>
          <w:tcPr>
            <w:tcW w:type="dxa" w:w="1662"/>
          </w:tcPr>
          <w:p>
            <w:r>
              <w:rPr>
                <w:sz w:val="19"/>
              </w:rPr>
              <w:t>50 (100%)</w:t>
            </w:r>
          </w:p>
        </w:tc>
      </w:tr>
      <w:tr>
        <w:tc>
          <w:tcPr>
            <w:tcW w:type="dxa" w:w="1662"/>
          </w:tcPr>
          <w:p>
            <w:r>
              <w:rPr>
                <w:sz w:val="19"/>
              </w:rPr>
              <w:t>5 (v3)</w:t>
            </w:r>
          </w:p>
        </w:tc>
        <w:tc>
          <w:tcPr>
            <w:tcW w:type="dxa" w:w="1662"/>
          </w:tcPr>
          <w:p>
            <w:r>
              <w:rPr>
                <w:sz w:val="19"/>
              </w:rPr>
              <w:t>50</w:t>
            </w:r>
          </w:p>
        </w:tc>
        <w:tc>
          <w:tcPr>
            <w:tcW w:type="dxa" w:w="1662"/>
          </w:tcPr>
          <w:p>
            <w:r>
              <w:rPr>
                <w:sz w:val="19"/>
              </w:rPr>
              <w:t>21.62</w:t>
            </w:r>
          </w:p>
        </w:tc>
        <w:tc>
          <w:tcPr>
            <w:tcW w:type="dxa" w:w="1662"/>
          </w:tcPr>
          <w:p>
            <w:r>
              <w:rPr>
                <w:sz w:val="19"/>
              </w:rPr>
              <w:t>21.1</w:t>
            </w:r>
          </w:p>
        </w:tc>
        <w:tc>
          <w:tcPr>
            <w:tcW w:type="dxa" w:w="1662"/>
          </w:tcPr>
          <w:p>
            <w:r>
              <w:rPr>
                <w:sz w:val="19"/>
              </w:rPr>
              <w:t>18.5–25.5</w:t>
            </w:r>
          </w:p>
        </w:tc>
        <w:tc>
          <w:tcPr>
            <w:tcW w:type="dxa" w:w="1662"/>
          </w:tcPr>
          <w:p>
            <w:r>
              <w:rPr>
                <w:sz w:val="19"/>
              </w:rPr>
              <w:t>50 (100%)</w:t>
            </w:r>
          </w:p>
        </w:tc>
      </w:tr>
    </w:tbl>
    <w:p/>
    <w:p>
      <w:r>
        <w:rPr>
          <w:b/>
          <w:i w:val="0"/>
        </w:rPr>
        <w:t>Observations.</w:t>
      </w:r>
      <w:r>
        <w:t xml:space="preserve"> (i) The 3→4 cliff reproduces </w:t>
      </w:r>
      <w:r>
        <w:rPr>
          <w:b/>
          <w:i w:val="0"/>
        </w:rPr>
        <w:t>round after round</w:t>
      </w:r>
      <w:r>
        <w:t xml:space="preserve">: 48/48 four-neighbor rounds sit at P99 ≥ 20.7 ms while 93/98 three-neighbor rounds stay ≤ 12 ms — the two distributions do not overlap (Figure 17 right). (ii) Absolute levels run slightly higher than the first 5-round batch (3n 4.9, 4n 23.8 ms → 7.4/24.4 ms here); the ordering and the cliff position are unchanged. We record the drift; plausible causes include host state after ~40 days online and cache/fragmentation differences between batches. (iii) The verdict is threshold-insensitive: even at a 13.5 ms bar only 7% of three-neighbor rounds would be flagged, while the four-neighbor minimum is 20.7 ms. (iv) </w:t>
      </w:r>
      <w:r>
        <w:rPr>
          <w:b/>
          <w:i w:val="0"/>
        </w:rPr>
        <w:t>v3 rework:</w:t>
      </w:r>
      <w:r>
        <w:t xml:space="preserve"> L2 stays clean (all ≤ 8.0 ms; the eps=0 capacity remains 2), but </w:t>
      </w:r>
      <w:r>
        <w:rPr>
          <w:b/>
          <w:i w:val="0"/>
        </w:rPr>
        <w:t>L3's violation rate moves up sharply — 45/50 rounds (median P99 16.0 ms)</w:t>
      </w:r>
      <w:r>
        <w:t xml:space="preserve"> — diverging from the v2 reconstruction (eps~7%; exact Clopper-Pearson 95% interval [78%, 97%] for L3); both batches agree that L4 collapses 100% ([93%, 100%]). So </w:t>
      </w:r>
      <w:r>
        <w:rPr>
          <w:b/>
          <w:i w:val="0"/>
        </w:rPr>
        <w:t>the eps=0 capacity and the L4 collapse replicate; only L3's risk budget drifts with the host environment</w:t>
      </w:r>
      <w:r>
        <w:t xml:space="preserve"> (same protocol, same 87% busy; absolute drift recorded) — the conservative statement uses the eps=0 capacity of 2.</w:t>
      </w:r>
    </w:p>
    <w:p>
      <w:r>
        <w:rPr>
          <w:b/>
          <w:i w:val="0"/>
        </w:rPr>
        <w:t>Boundaries.</w:t>
      </w:r>
      <w:r>
        <w:t xml:space="preserve"> The batch baseline differs from the first batch (absolute drift); the post-mortem level merging uses run logs and is automated in </w:t>
      </w:r>
      <w:r>
        <w:rPr>
          <w:rFonts w:ascii="Consolas" w:hAnsi="Consolas"/>
          <w:sz w:val="20"/>
        </w:rPr>
        <w:t>make_v2_figs.py</w:t>
      </w:r>
      <w:r>
        <w:t>. The v3 rework shows the L3 risk budget is batch-sensitive (7% vs 90% violation across batches at the same busy) — capacity claims use the eps=0 bar (2 neighbors) and per-batch eps values are reported explicitly.</w:t>
      </w:r>
    </w:p>
    <w:p>
      <w:pPr>
        <w:pStyle w:val="Heading2"/>
      </w:pPr>
      <w:r>
        <w:t>4.2 Synchronized Bursts (Figures 3 and 4)</w:t>
      </w:r>
    </w:p>
    <w:p>
      <w:r>
        <w:rPr>
          <w:b/>
          <w:i w:val="0"/>
        </w:rPr>
        <w:t>Setup.</w:t>
      </w:r>
      <w:r>
        <w:t xml:space="preserve"> With "6 synchronized (working during the first ~6 s of every wall-clock minute) + 2 bursty + 2 pegged" tenants, a 120 s probe records per-second latency. Two phase controls follow: ten idle-class customers with clustered phases (near-simultaneous starts) versus fully randomized phases (</w:t>
      </w:r>
      <w:r>
        <w:rPr>
          <w:rFonts w:ascii="Consolas" w:hAnsi="Consolas"/>
          <w:sz w:val="20"/>
        </w:rPr>
        <w:t>--randphase</w:t>
      </w:r>
      <w:r>
        <w:t>); and randomized phases mixed with a single pegged tenant.</w:t>
      </w:r>
    </w:p>
    <w:p>
      <w:r>
        <w:rPr>
          <w:b/>
          <w:i w:val="0"/>
        </w:rPr>
        <w:t>Results.</w:t>
      </w:r>
      <w:r>
        <w:t xml:space="preserve"> (i) The synchronized scenario has a strict periodic timeline (Figure 3):</w:t>
      </w:r>
    </w:p>
    <w:p>
      <w:pPr>
        <w:jc w:val="center"/>
      </w:pPr>
      <w:r>
        <w:drawing>
          <wp:inline xmlns:a="http://schemas.openxmlformats.org/drawingml/2006/main" xmlns:pic="http://schemas.openxmlformats.org/drawingml/2006/picture">
            <wp:extent cx="5760000" cy="4032000"/>
            <wp:docPr id="5" name="Picture 5"/>
            <wp:cNvGraphicFramePr>
              <a:graphicFrameLocks noChangeAspect="1"/>
            </wp:cNvGraphicFramePr>
            <a:graphic>
              <a:graphicData uri="http://schemas.openxmlformats.org/drawingml/2006/picture">
                <pic:pic>
                  <pic:nvPicPr>
                    <pic:cNvPr id="0" name="fig3_sync_timeline.png"/>
                    <pic:cNvPicPr/>
                  </pic:nvPicPr>
                  <pic:blipFill>
                    <a:blip r:embed="rId14"/>
                    <a:stretch>
                      <a:fillRect/>
                    </a:stretch>
                  </pic:blipFill>
                  <pic:spPr>
                    <a:xfrm>
                      <a:off x="0" y="0"/>
                      <a:ext cx="5760000" cy="4032000"/>
                    </a:xfrm>
                    <a:prstGeom prst="rect"/>
                  </pic:spPr>
                </pic:pic>
              </a:graphicData>
            </a:graphic>
          </wp:inline>
        </w:drawing>
      </w:r>
    </w:p>
    <w:p>
      <w:pPr>
        <w:jc w:val="center"/>
      </w:pPr>
      <w:r>
        <w:rPr>
          <w:i/>
          <w:color w:val="333333"/>
          <w:sz w:val="19"/>
        </w:rPr>
        <w:t>Figure 3 Synchronized burst timeline</w:t>
      </w:r>
    </w:p>
    <w:p>
      <w:r>
        <w:rPr>
          <w:rFonts w:ascii="Consolas" w:hAnsi="Consolas"/>
          <w:sz w:val="18"/>
        </w:rPr>
        <w:t>quiet:    P99 ≈ 2–3 ms</w:t>
        <w:br/>
        <w:t>burst:    P50 rises to 4–8 ms, P99 14–22 ms (max 33 ms)</w:t>
        <w:br/>
        <w:t>after:    back to 2–3 ms; repeats every 60 s</w:t>
      </w:r>
    </w:p>
    <w:p>
      <w:r>
        <w:t>Four replicates (p3, p3b, p3c, p3d): aggregate P99 13.1–22.6 ms, all violating. (ii) Phase control (Figure 4): ten idle tenants cluster-phased → P99 10.2–17.3 ms (violating); fully randomized → 2.7–3.8 ms (two clean rounds). (iii) Randomized phases plus one pegged tenant: P99 14.0–20.8 ms (four rounds p6/p6b/p6c/p6d, all violating).</w:t>
      </w:r>
    </w:p>
    <w:p>
      <w:pPr>
        <w:jc w:val="center"/>
      </w:pPr>
      <w:r>
        <w:drawing>
          <wp:inline xmlns:a="http://schemas.openxmlformats.org/drawingml/2006/main" xmlns:pic="http://schemas.openxmlformats.org/drawingml/2006/picture">
            <wp:extent cx="5760000" cy="2880000"/>
            <wp:docPr id="6" name="Picture 6"/>
            <wp:cNvGraphicFramePr>
              <a:graphicFrameLocks noChangeAspect="1"/>
            </wp:cNvGraphicFramePr>
            <a:graphic>
              <a:graphicData uri="http://schemas.openxmlformats.org/drawingml/2006/picture">
                <pic:pic>
                  <pic:nvPicPr>
                    <pic:cNvPr id="0" name="fig4_packing.png"/>
                    <pic:cNvPicPr/>
                  </pic:nvPicPr>
                  <pic:blipFill>
                    <a:blip r:embed="rId15"/>
                    <a:stretch>
                      <a:fillRect/>
                    </a:stretch>
                  </pic:blipFill>
                  <pic:spPr>
                    <a:xfrm>
                      <a:off x="0" y="0"/>
                      <a:ext cx="5760000" cy="2880000"/>
                    </a:xfrm>
                    <a:prstGeom prst="rect"/>
                  </pic:spPr>
                </pic:pic>
              </a:graphicData>
            </a:graphic>
          </wp:inline>
        </w:drawing>
      </w:r>
    </w:p>
    <w:p>
      <w:pPr>
        <w:jc w:val="center"/>
      </w:pPr>
      <w:r>
        <w:rPr>
          <w:i/>
          <w:color w:val="333333"/>
          <w:sz w:val="19"/>
        </w:rPr>
        <w:t>Figure 4 Phase-clustering experiment</w:t>
      </w:r>
    </w:p>
    <w:p>
      <w:r>
        <w:rPr>
          <w:b/>
          <w:i w:val="0"/>
        </w:rPr>
        <w:t>Interpretation.</w:t>
      </w:r>
      <w:r>
        <w:t xml:space="preserve"> "Mostly idle" and "clean tail" are different properties: an idle population still has a nonzero probability of several members being awake simultaneously; synchronization (intentional alignment or incidental co-start) turns that probability into a regular event. The realistic production mix is closer to "randomized phases + a few persistent heavy tenants", and the mix of Section 4.1's knee with this result shows that </w:t>
      </w:r>
      <w:r>
        <w:rPr>
          <w:b/>
          <w:i w:val="0"/>
        </w:rPr>
        <w:t>one persistently pegged tenant plus random overlaps already breaks a strict SLO</w:t>
      </w:r>
      <w:r>
        <w:t>. This motivates the cold-start problem: at arrival time one cannot know whether a newcomer is idle or that pegged tenant.</w:t>
      </w:r>
    </w:p>
    <w:p>
      <w:r>
        <w:rPr>
          <w:b/>
          <w:i w:val="0"/>
        </w:rPr>
        <w:t>Boundaries.</w:t>
      </w:r>
      <w:r>
        <w:t xml:space="preserve"> Aligned bursts are synthetic; clustered phases arise from simultaneous first-boot (production tenants boot at dispersed times, so the fully randomized case is the optimistic, realistic one); loads are synthetic duty-cycle loops rather than real applications.</w:t>
      </w:r>
    </w:p>
    <w:p>
      <w:pPr>
        <w:pStyle w:val="Heading2"/>
      </w:pPr>
      <w:r>
        <w:t>4.3 Demand Censoring under CPU Quotas (Figure 5)</w:t>
      </w:r>
    </w:p>
    <w:p>
      <w:pPr>
        <w:jc w:val="center"/>
      </w:pPr>
      <w:r>
        <w:drawing>
          <wp:inline xmlns:a="http://schemas.openxmlformats.org/drawingml/2006/main" xmlns:pic="http://schemas.openxmlformats.org/drawingml/2006/picture">
            <wp:extent cx="5760000" cy="2304000"/>
            <wp:docPr id="7" name="Picture 7"/>
            <wp:cNvGraphicFramePr>
              <a:graphicFrameLocks noChangeAspect="1"/>
            </wp:cNvGraphicFramePr>
            <a:graphic>
              <a:graphicData uri="http://schemas.openxmlformats.org/drawingml/2006/picture">
                <pic:pic>
                  <pic:nvPicPr>
                    <pic:cNvPr id="0" name="fig5_censoring.png"/>
                    <pic:cNvPicPr/>
                  </pic:nvPicPr>
                  <pic:blipFill>
                    <a:blip r:embed="rId16"/>
                    <a:stretch>
                      <a:fillRect/>
                    </a:stretch>
                  </pic:blipFill>
                  <pic:spPr>
                    <a:xfrm>
                      <a:off x="0" y="0"/>
                      <a:ext cx="5760000" cy="2304000"/>
                    </a:xfrm>
                    <a:prstGeom prst="rect"/>
                  </pic:spPr>
                </pic:pic>
              </a:graphicData>
            </a:graphic>
          </wp:inline>
        </w:drawing>
      </w:r>
    </w:p>
    <w:p>
      <w:pPr>
        <w:jc w:val="center"/>
      </w:pPr>
      <w:r>
        <w:rPr>
          <w:i/>
          <w:color w:val="333333"/>
          <w:sz w:val="19"/>
        </w:rPr>
        <w:t>Figure 5 Censoring: usage panel vs true demand (both panels n=7 cycles)</w:t>
      </w:r>
    </w:p>
    <w:p>
      <w:r>
        <w:rPr>
          <w:b/>
          <w:i w:val="0"/>
        </w:rPr>
        <w:t>Setup.</w:t>
      </w:r>
      <w:r>
        <w:t xml:space="preserve"> Five tenants are all pegged (true demand 1.0 core each) and capped at </w:t>
      </w:r>
      <w:r>
        <w:rPr>
          <w:rFonts w:ascii="Consolas" w:hAnsi="Consolas"/>
          <w:sz w:val="20"/>
        </w:rPr>
        <w:t>cpu.max = 30000/100000</w:t>
      </w:r>
      <w:r>
        <w:t xml:space="preserve"> (30% on average). Two phases are measured: </w:t>
      </w:r>
      <w:r>
        <w:rPr>
          <w:b/>
          <w:i w:val="0"/>
        </w:rPr>
        <w:t>quota</w:t>
      </w:r>
      <w:r>
        <w:t xml:space="preserve"> (caps in effect) and </w:t>
      </w:r>
      <w:r>
        <w:rPr>
          <w:b/>
          <w:i w:val="0"/>
        </w:rPr>
        <w:t>released</w:t>
      </w:r>
      <w:r>
        <w:t xml:space="preserve"> (caps lifted, simulating the operator trusting the usage dashboard). Seven cycles (three in c3, two each in c4 and c5); each phase probes both services for 30 s at 100 req/s and reads per-VM </w:t>
      </w:r>
      <w:r>
        <w:rPr>
          <w:rFonts w:ascii="Consolas" w:hAnsi="Consolas"/>
          <w:sz w:val="20"/>
        </w:rPr>
        <w:t>cpu.stat</w:t>
      </w:r>
      <w:r>
        <w:t xml:space="preserve"> deltas.</w:t>
      </w:r>
    </w:p>
    <w:p>
      <w:r>
        <w:rPr>
          <w:b/>
          <w:i w:val="0"/>
        </w:rPr>
        <w:t>Results.</w:t>
      </w:r>
      <w:r>
        <w:t xml:space="preserve"> (i) Estimation: the observed combined usage under quota is </w:t>
      </w:r>
      <w:r>
        <w:rPr>
          <w:b/>
          <w:i w:val="0"/>
        </w:rPr>
        <w:t>1.50 cores</w:t>
      </w:r>
      <w:r>
        <w:t xml:space="preserve"> (0.30 each), while throttle evidence (</w:t>
      </w:r>
      <w:r>
        <w:rPr>
          <w:rFonts w:ascii="Consolas" w:hAnsi="Consolas"/>
          <w:sz w:val="20"/>
        </w:rPr>
        <w:t>nr_throttled</w:t>
      </w:r>
      <w:r>
        <w:t xml:space="preserve"> growing by ~440–450 per 63 s window; throttled time fraction ≈ 0.3–0.7) reveals a true demand of </w:t>
      </w:r>
      <w:r>
        <w:rPr>
          <w:b/>
          <w:i w:val="0"/>
        </w:rPr>
        <w:t>5.00 cores</w:t>
      </w:r>
      <w:r>
        <w:t xml:space="preserve"> — a </w:t>
      </w:r>
      <w:r>
        <w:rPr>
          <w:b/>
          <w:i w:val="0"/>
        </w:rPr>
        <w:t>3.3× underestimate, identical in 7/7 runs</w:t>
      </w:r>
      <w:r>
        <w:t>. (ii) Services (ms):</w:t>
      </w:r>
    </w:p>
    <w:p>
      <w:r>
        <w:rPr>
          <w:b/>
          <w:i w:val="0"/>
        </w:rPr>
        <w:t>Table 5.</w:t>
      </w:r>
      <w:r>
        <w:t xml:space="preserve"> Random vs aligned phase: service tails over 5 runs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Phase</w:t>
            </w:r>
          </w:p>
        </w:tc>
        <w:tc>
          <w:tcPr>
            <w:tcW w:type="dxa" w:w="2493"/>
          </w:tcPr>
          <w:p>
            <w:r>
              <w:rPr>
                <w:b/>
                <w:sz w:val="19"/>
              </w:rPr>
              <w:t>HTTP P99 (range over 5 runs)</w:t>
            </w:r>
          </w:p>
        </w:tc>
        <w:tc>
          <w:tcPr>
            <w:tcW w:type="dxa" w:w="2493"/>
          </w:tcPr>
          <w:p>
            <w:r>
              <w:rPr>
                <w:b/>
                <w:sz w:val="19"/>
              </w:rPr>
              <w:t>Redis P99</w:t>
            </w:r>
          </w:p>
        </w:tc>
        <w:tc>
          <w:tcPr>
            <w:tcW w:type="dxa" w:w="2493"/>
          </w:tcPr>
          <w:p>
            <w:r>
              <w:rPr>
                <w:b/>
                <w:sz w:val="19"/>
              </w:rPr>
              <w:t>Host busy</w:t>
            </w:r>
          </w:p>
        </w:tc>
      </w:tr>
      <w:tr>
        <w:tc>
          <w:tcPr>
            <w:tcW w:type="dxa" w:w="2493"/>
          </w:tcPr>
          <w:p>
            <w:r>
              <w:rPr>
                <w:sz w:val="19"/>
              </w:rPr>
              <w:t>quota</w:t>
            </w:r>
          </w:p>
        </w:tc>
        <w:tc>
          <w:tcPr>
            <w:tcW w:type="dxa" w:w="2493"/>
          </w:tcPr>
          <w:p>
            <w:r>
              <w:rPr>
                <w:sz w:val="19"/>
              </w:rPr>
              <w:t>9.2 – 14.0</w:t>
            </w:r>
          </w:p>
        </w:tc>
        <w:tc>
          <w:tcPr>
            <w:tcW w:type="dxa" w:w="2493"/>
          </w:tcPr>
          <w:p>
            <w:r>
              <w:rPr>
                <w:sz w:val="19"/>
              </w:rPr>
              <w:t>8.8 – 13.8</w:t>
            </w:r>
          </w:p>
        </w:tc>
        <w:tc>
          <w:tcPr>
            <w:tcW w:type="dxa" w:w="2493"/>
          </w:tcPr>
          <w:p>
            <w:r>
              <w:rPr>
                <w:sz w:val="19"/>
              </w:rPr>
              <w:t>~57%</w:t>
            </w:r>
          </w:p>
        </w:tc>
      </w:tr>
      <w:tr>
        <w:tc>
          <w:tcPr>
            <w:tcW w:type="dxa" w:w="2493"/>
          </w:tcPr>
          <w:p>
            <w:r>
              <w:rPr>
                <w:sz w:val="19"/>
              </w:rPr>
              <w:t>released</w:t>
            </w:r>
          </w:p>
        </w:tc>
        <w:tc>
          <w:tcPr>
            <w:tcW w:type="dxa" w:w="2493"/>
          </w:tcPr>
          <w:p>
            <w:r>
              <w:rPr>
                <w:sz w:val="19"/>
              </w:rPr>
              <w:t>16.7 – 25.0</w:t>
            </w:r>
          </w:p>
        </w:tc>
        <w:tc>
          <w:tcPr>
            <w:tcW w:type="dxa" w:w="2493"/>
          </w:tcPr>
          <w:p>
            <w:r>
              <w:rPr>
                <w:sz w:val="19"/>
              </w:rPr>
              <w:t>15.0 – 20.9</w:t>
            </w:r>
          </w:p>
        </w:tc>
        <w:tc>
          <w:tcPr>
            <w:tcW w:type="dxa" w:w="2493"/>
          </w:tcPr>
          <w:p>
            <w:r>
              <w:rPr>
                <w:sz w:val="19"/>
              </w:rPr>
              <w:t>100%</w:t>
            </w:r>
          </w:p>
        </w:tc>
      </w:tr>
    </w:tbl>
    <w:p/>
    <w:p>
      <w:r>
        <w:t>After release, customer rates fall to about 27–32 M it/s (about half of full speed), the host is instantaneously saturated, and service P99 violates in 7/7 runs, degrading 5–10 ms beyond the quota phase. (iii) The quota phase itself is not "gentle": quotas slice load into pulses and hold service P99 near, sometimes across, the SLO line (9–14 ms).</w:t>
      </w:r>
    </w:p>
    <w:p>
      <w:r>
        <w:rPr>
          <w:b/>
          <w:i w:val="0"/>
        </w:rPr>
        <w:t>Interpretation.</w:t>
      </w:r>
      <w:r>
        <w:t xml:space="preserve"> Censoring has two stacked consequences. First, </w:t>
      </w:r>
      <w:r>
        <w:rPr>
          <w:b/>
          <w:i w:val="0"/>
        </w:rPr>
        <w:t>estimation bias</w:t>
      </w:r>
      <w:r>
        <w:t xml:space="preserve">: the dashboard shows "2.5 cores of headroom" while the host is already 25% over capacity; decisions based on it (release, expand, sell more) turn the hidden gap into a public incident. Second, a </w:t>
      </w:r>
      <w:r>
        <w:rPr>
          <w:b/>
          <w:i w:val="0"/>
        </w:rPr>
        <w:t>pulse tax</w:t>
      </w:r>
      <w:r>
        <w:t>: quotas protect averages while manufacturing periodic bursts that hurt tails by themselves (consistent with the quota comparisons in Section 4.4). The censoring-aware estimate (throttle evidence plus the throttle fraction → the empirical estimate u/(1−t) (near-exact for saturated demand, ≤9% in Section 7.3.2; known bias for bursty patterns — see Section 3.3)) yields 5.00 cores and correctly reports "no headroom; capacity action required", avoiding the self-inflicted release.</w:t>
      </w:r>
    </w:p>
    <w:p>
      <w:r>
        <w:rPr>
          <w:b/>
          <w:i w:val="0"/>
        </w:rPr>
        <w:t>Rework (v3cen, 30 rounds x 3 cycles = 90 cycles, five tenants @30%).</w:t>
      </w:r>
      <w:r>
        <w:t xml:space="preserve"> Naive mean 1.54 cores vs truth 5.59 cores (</w:t>
      </w:r>
      <w:r>
        <w:rPr>
          <w:b/>
          <w:i w:val="0"/>
        </w:rPr>
        <w:t>3.6x under-report</w:t>
      </w:r>
      <w:r>
        <w:t xml:space="preserve">); throttle-corrected |error| median 0.55 cores, </w:t>
      </w:r>
      <w:r>
        <w:rPr>
          <w:b/>
          <w:i w:val="0"/>
        </w:rPr>
        <w:t>88/90 cycles within +-20%</w:t>
      </w:r>
      <w:r>
        <w:t xml:space="preserve">; naive below 70% of truth in </w:t>
      </w:r>
      <w:r>
        <w:rPr>
          <w:b/>
          <w:i w:val="0"/>
        </w:rPr>
        <w:t>90/90 cycles</w:t>
      </w:r>
      <w:r>
        <w:t xml:space="preserve"> — direction and magnitude replicate in an independent batch; the correction is not exact (which is why Section 3.3.1 frames it as an empirical heuristic).</w:t>
      </w:r>
    </w:p>
    <w:p>
      <w:r>
        <w:rPr>
          <w:b/>
          <w:i w:val="0"/>
        </w:rPr>
        <w:t>Boundaries.</w:t>
      </w:r>
      <w:r>
        <w:t xml:space="preserve"> One quota level (30%); synthetic pegged tenants; the quota-phase SLO outcome fluctuates around the line and should be read as "this host already sits at the overload boundary"; the correct next action (migrate/upgrade/refuse) is beyond the scope of online decision-making here.</w:t>
      </w:r>
    </w:p>
    <w:p>
      <w:pPr>
        <w:pStyle w:val="Heading3"/>
      </w:pPr>
      <w:r>
        <w:t>4.3b Repeat: 90 Cycles (Figure 18)</w:t>
      </w:r>
    </w:p>
    <w:p>
      <w:pPr>
        <w:jc w:val="center"/>
      </w:pPr>
      <w:r>
        <w:drawing>
          <wp:inline xmlns:a="http://schemas.openxmlformats.org/drawingml/2006/main" xmlns:pic="http://schemas.openxmlformats.org/drawingml/2006/picture">
            <wp:extent cx="5760000" cy="2246400"/>
            <wp:docPr id="8" name="Picture 8"/>
            <wp:cNvGraphicFramePr>
              <a:graphicFrameLocks noChangeAspect="1"/>
            </wp:cNvGraphicFramePr>
            <a:graphic>
              <a:graphicData uri="http://schemas.openxmlformats.org/drawingml/2006/picture">
                <pic:pic>
                  <pic:nvPicPr>
                    <pic:cNvPr id="0" name="fig18_censor_repeat.png"/>
                    <pic:cNvPicPr/>
                  </pic:nvPicPr>
                  <pic:blipFill>
                    <a:blip r:embed="rId17"/>
                    <a:stretch>
                      <a:fillRect/>
                    </a:stretch>
                  </pic:blipFill>
                  <pic:spPr>
                    <a:xfrm>
                      <a:off x="0" y="0"/>
                      <a:ext cx="5760000" cy="2246400"/>
                    </a:xfrm>
                    <a:prstGeom prst="rect"/>
                  </pic:spPr>
                </pic:pic>
              </a:graphicData>
            </a:graphic>
          </wp:inline>
        </w:drawing>
      </w:r>
    </w:p>
    <w:p>
      <w:pPr>
        <w:jc w:val="center"/>
      </w:pPr>
      <w:r>
        <w:rPr>
          <w:i/>
          <w:color w:val="333333"/>
          <w:sz w:val="19"/>
        </w:rPr>
        <w:t>Figure 18 Censoring 90-cycle repeat: 2x under-report, 90/90 release violations</w:t>
      </w:r>
    </w:p>
    <w:p>
      <w:r>
        <w:rPr>
          <w:b/>
          <w:i w:val="0"/>
        </w:rPr>
        <w:t>Setup.</w:t>
      </w:r>
      <w:r>
        <w:t xml:space="preserve"> The v2 campaign reran the Section 4.3 procedure </w:t>
      </w:r>
      <w:r>
        <w:rPr>
          <w:b/>
          <w:i w:val="0"/>
        </w:rPr>
        <w:t>30 rounds × 3 cycles = 90 cycles</w:t>
      </w:r>
      <w:r>
        <w:t xml:space="preserve"> (50% quota; 4 tenants actually running — the fourth was offline early in the batch; tenants remain pegged, true demand 1.0 core each). Each cycle probes both phases for 30 s.</w:t>
      </w:r>
    </w:p>
    <w:p>
      <w:r>
        <w:rPr>
          <w:b/>
          <w:i w:val="0"/>
        </w:rPr>
        <w:t>Results (Figure 18).</w:t>
      </w:r>
      <w:r>
        <w:t xml:space="preserve"> (i) </w:t>
      </w:r>
      <w:r>
        <w:rPr>
          <w:b/>
          <w:i w:val="0"/>
        </w:rPr>
        <w:t>Estimation</w:t>
      </w:r>
      <w:r>
        <w:t xml:space="preserve">: in 90/90 cycles the usage panel reports 2.00 cores (4 × 0.50) while throttle evidence recovers 4.00 cores — exactly the truth. A half-size quota halves the reported demand, every cycle. (ii) </w:t>
      </w:r>
      <w:r>
        <w:rPr>
          <w:b/>
          <w:i w:val="0"/>
        </w:rPr>
        <w:t>Service</w:t>
      </w:r>
      <w:r>
        <w:t xml:space="preserve">: quota-phase HTTP P99 averages 11.4 ms (range 9.1–14.6; 98% of cycles already across the 10 ms line); released-phase averages 24.7 ms (range 20.6–28.9) with </w:t>
      </w:r>
      <w:r>
        <w:rPr>
          <w:b/>
          <w:i w:val="0"/>
        </w:rPr>
        <w:t>90/90 (100%) violations</w:t>
      </w:r>
      <w:r>
        <w:t xml:space="preserve"> — the lowest released-phase cycle is still above the quota phase's 95th percentile.</w:t>
      </w:r>
    </w:p>
    <w:p>
      <w:r>
        <w:rPr>
          <w:b/>
          <w:i w:val="0"/>
        </w:rPr>
        <w:t>Causal clarification.</w:t>
      </w:r>
      <w:r>
        <w:t xml:space="preserve"> Two statements must be distinguished: the quota-kept phase already fluctuates around the SLO line (mean 11.4 ms; ~98% of cycles violate), so a release decision </w:t>
      </w:r>
      <w:r>
        <w:rPr>
          <w:b/>
          <w:i w:val="0"/>
        </w:rPr>
        <w:t>significantly worsens an existing overload condition</w:t>
      </w:r>
      <w:r>
        <w:t xml:space="preserve"> rather than transitioning from compliant to first violation; the causal claim here is estimation error -&gt; wrong release -&gt; worse latency.</w:t>
      </w:r>
    </w:p>
    <w:p>
      <w:r>
        <w:rPr>
          <w:b/>
          <w:i w:val="0"/>
        </w:rPr>
        <w:t>Interpretation.</w:t>
      </w:r>
      <w:r>
        <w:t xml:space="preserve"> Same direction as the 7-cycle pilot (5 tenants @30%: naive 1.50 vs aware 5.00), but far harder evidence: the underestimate factor equals the quota fraction exactly, throttle evidence restores the truth, and the naive release decision fails in 30 independent rounds (90 time-correlated cycles, clustered by round). The failure is independent of the quota level (30% and 50% variants agree).</w:t>
      </w:r>
    </w:p>
    <w:p>
      <w:r>
        <w:rPr>
          <w:b/>
          <w:i w:val="0"/>
        </w:rPr>
        <w:t>Boundaries.</w:t>
      </w:r>
      <w:r>
        <w:t xml:space="preserve"> As in 4.3; this batch runs 4 tenants (one offline).</w:t>
      </w:r>
    </w:p>
    <w:p>
      <w:pPr>
        <w:pStyle w:val="Heading2"/>
      </w:pPr>
      <w:r>
        <w:t>4.4 Reliability of Control Levers (Figures 6–9)</w:t>
      </w:r>
    </w:p>
    <w:p>
      <w:r>
        <w:t>Five candidate levers are each asked to protect the service tail: CPU quotas, CPU weights, core isolation, memory double-gates, and IO caps (with an IO-weight counterexample).</w:t>
      </w:r>
    </w:p>
    <w:p>
      <w:pPr>
        <w:pStyle w:val="Heading3"/>
      </w:pPr>
      <w:r>
        <w:t>4.4.1 CPU quotas: bound averages, not boost safe packing (Figure 6)</w:t>
      </w:r>
    </w:p>
    <w:p>
      <w:pPr>
        <w:jc w:val="center"/>
      </w:pPr>
      <w:r>
        <w:drawing>
          <wp:inline xmlns:a="http://schemas.openxmlformats.org/drawingml/2006/main" xmlns:pic="http://schemas.openxmlformats.org/drawingml/2006/picture">
            <wp:extent cx="5760000" cy="2304000"/>
            <wp:docPr id="9" name="Picture 9"/>
            <wp:cNvGraphicFramePr>
              <a:graphicFrameLocks noChangeAspect="1"/>
            </wp:cNvGraphicFramePr>
            <a:graphic>
              <a:graphicData uri="http://schemas.openxmlformats.org/drawingml/2006/picture">
                <pic:pic>
                  <pic:nvPicPr>
                    <pic:cNvPr id="0" name="fig6_shaping.png"/>
                    <pic:cNvPicPr/>
                  </pic:nvPicPr>
                  <pic:blipFill>
                    <a:blip r:embed="rId18"/>
                    <a:stretch>
                      <a:fillRect/>
                    </a:stretch>
                  </pic:blipFill>
                  <pic:spPr>
                    <a:xfrm>
                      <a:off x="0" y="0"/>
                      <a:ext cx="5760000" cy="2304000"/>
                    </a:xfrm>
                    <a:prstGeom prst="rect"/>
                  </pic:spPr>
                </pic:pic>
              </a:graphicData>
            </a:graphic>
          </wp:inline>
        </w:drawing>
      </w:r>
    </w:p>
    <w:p>
      <w:pPr>
        <w:jc w:val="center"/>
      </w:pPr>
      <w:r>
        <w:rPr>
          <w:i/>
          <w:color w:val="333333"/>
          <w:sz w:val="19"/>
        </w:rPr>
        <w:t>Figure 6 CPU quota vs the safe knee (isolated arm tested to 5 neighbors, others 4 - a different-load-intensity comparison)</w:t>
      </w:r>
    </w:p>
    <w:p>
      <w:r>
        <w:t xml:space="preserve">Re-running the neighbor sweep with newcomers capped at 0.75 and 0.50 cores: </w:t>
      </w:r>
      <w:r>
        <w:rPr>
          <w:b/>
          <w:i w:val="0"/>
        </w:rPr>
        <w:t>neither improves the safe knee</w:t>
      </w:r>
      <w:r>
        <w:t xml:space="preserve"> (the fourth tenant violates regardless — P99 14.0/11.2 and 15.2/11.3 ms; see Section 4.1 for the eps=0 bar and batch drift), while customers really do slow down (~72–78% and ~48–53% of full speed). Quota-pulse comparison (qp1): extending the period from 100 ms to 1 s changes nothing (P99 12.0 ms); staggered periods (100–300 ms) help marginally (10.7 ms) but stay non-compliant. </w:t>
      </w:r>
      <w:r>
        <w:rPr>
          <w:b/>
          <w:i w:val="0"/>
        </w:rPr>
        <w:t>Quotas buy no additional safe seats; they only slow customers and sharpen peaks.</w:t>
      </w:r>
    </w:p>
    <w:p>
      <w:pPr>
        <w:pStyle w:val="Heading3"/>
      </w:pPr>
      <w:r>
        <w:t>4.4.2 CPU weights: 100× priority still fails (Figure 9)</w:t>
      </w:r>
    </w:p>
    <w:p>
      <w:pPr>
        <w:jc w:val="center"/>
      </w:pPr>
      <w:r>
        <w:drawing>
          <wp:inline xmlns:a="http://schemas.openxmlformats.org/drawingml/2006/main" xmlns:pic="http://schemas.openxmlformats.org/drawingml/2006/picture">
            <wp:extent cx="5760000" cy="2918400"/>
            <wp:docPr id="10" name="Picture 10"/>
            <wp:cNvGraphicFramePr>
              <a:graphicFrameLocks noChangeAspect="1"/>
            </wp:cNvGraphicFramePr>
            <a:graphic>
              <a:graphicData uri="http://schemas.openxmlformats.org/drawingml/2006/picture">
                <pic:pic>
                  <pic:nvPicPr>
                    <pic:cNvPr id="0" name="fig9_quotapulse.png"/>
                    <pic:cNvPicPr/>
                  </pic:nvPicPr>
                  <pic:blipFill>
                    <a:blip r:embed="rId19"/>
                    <a:stretch>
                      <a:fillRect/>
                    </a:stretch>
                  </pic:blipFill>
                  <pic:spPr>
                    <a:xfrm>
                      <a:off x="0" y="0"/>
                      <a:ext cx="5760000" cy="2918400"/>
                    </a:xfrm>
                    <a:prstGeom prst="rect"/>
                  </pic:spPr>
                </pic:pic>
              </a:graphicData>
            </a:graphic>
          </wp:inline>
        </w:drawing>
      </w:r>
    </w:p>
    <w:p>
      <w:pPr>
        <w:jc w:val="center"/>
      </w:pPr>
      <w:r>
        <w:rPr>
          <w:i/>
          <w:color w:val="333333"/>
          <w:sz w:val="19"/>
        </w:rPr>
        <w:t>Figure 9 Quota pulse: service P99</w:t>
      </w:r>
    </w:p>
    <w:p>
      <w:r>
        <w:t xml:space="preserve">Raising the service VMs' </w:t>
      </w:r>
      <w:r>
        <w:rPr>
          <w:rFonts w:ascii="Consolas" w:hAnsi="Consolas"/>
          <w:sz w:val="20"/>
        </w:rPr>
        <w:t>cpu.weight</w:t>
      </w:r>
      <w:r>
        <w:t xml:space="preserve"> to 1000 (10×) and 10000 (100×, a verification run) against default-100 tenants under five pegged tenants yields service P99 25.4/22.8 and 24.0/22.7 ms — </w:t>
      </w:r>
      <w:r>
        <w:rPr>
          <w:b/>
          <w:i w:val="0"/>
        </w:rPr>
        <w:t>worse than no weights at all</w:t>
      </w:r>
      <w:r>
        <w:t xml:space="preserve"> (historic five-pegged P99 21.6/19.5 ms) and opposite to the intuition that weights favor the service. IO weights (</w:t>
      </w:r>
      <w:r>
        <w:rPr>
          <w:rFonts w:ascii="Consolas" w:hAnsi="Consolas"/>
          <w:sz w:val="20"/>
        </w:rPr>
        <w:t>io.weight</w:t>
      </w:r>
      <w:r>
        <w:t xml:space="preserve"> 50 vs 500) are equally inert. </w:t>
      </w:r>
      <w:r>
        <w:rPr>
          <w:b/>
          <w:i w:val="0"/>
        </w:rPr>
        <w:t>Soft priorities are not tail-latency protections; isolation is.</w:t>
      </w:r>
    </w:p>
    <w:p>
      <w:pPr>
        <w:pStyle w:val="Heading3"/>
      </w:pPr>
      <w:r>
        <w:t>4.4.3 Core isolation: the only lever that survives storms on our testbed (Figures 6, 10)</w:t>
      </w:r>
    </w:p>
    <w:p>
      <w:r>
        <w:t>Pinning services and probe to cores 0–1 and tenants to cores 2–3 yields zero violations at 1–5 pegged neighbors (P99 2.9–3.2 ms); tenants share the remaining two cores as expected (about 44% of full speed each at five tenants). The combined-stress synthesis (Section 4.5 / 6.5) reproduces this four times. The cost is explicitly relocated to the "economy tier" — protected services no longer compete.</w:t>
      </w:r>
    </w:p>
    <w:p>
      <w:pPr>
        <w:pStyle w:val="Heading3"/>
      </w:pPr>
      <w:r>
        <w:t>4.4.4 Memory: the double gate (Figure 7)</w:t>
      </w:r>
    </w:p>
    <w:p>
      <w:pPr>
        <w:jc w:val="center"/>
      </w:pPr>
      <w:r>
        <w:drawing>
          <wp:inline xmlns:a="http://schemas.openxmlformats.org/drawingml/2006/main" xmlns:pic="http://schemas.openxmlformats.org/drawingml/2006/picture">
            <wp:extent cx="5760000" cy="3072000"/>
            <wp:docPr id="11" name="Picture 11"/>
            <wp:cNvGraphicFramePr>
              <a:graphicFrameLocks noChangeAspect="1"/>
            </wp:cNvGraphicFramePr>
            <a:graphic>
              <a:graphicData uri="http://schemas.openxmlformats.org/drawingml/2006/picture">
                <pic:pic>
                  <pic:nvPicPr>
                    <pic:cNvPr id="0" name="fig7_memory.png"/>
                    <pic:cNvPicPr/>
                  </pic:nvPicPr>
                  <pic:blipFill>
                    <a:blip r:embed="rId20"/>
                    <a:stretch>
                      <a:fillRect/>
                    </a:stretch>
                  </pic:blipFill>
                  <pic:spPr>
                    <a:xfrm>
                      <a:off x="0" y="0"/>
                      <a:ext cx="5760000" cy="3072000"/>
                    </a:xfrm>
                    <a:prstGeom prst="rect"/>
                  </pic:spPr>
                </pic:pic>
              </a:graphicData>
            </a:graphic>
          </wp:inline>
        </w:drawing>
      </w:r>
    </w:p>
    <w:p>
      <w:pPr>
        <w:jc w:val="center"/>
      </w:pPr>
      <w:r>
        <w:rPr>
          <w:i/>
          <w:color w:val="333333"/>
          <w:sz w:val="19"/>
        </w:rPr>
        <w:t>Figure 7 Memory double gate</w:t>
      </w:r>
    </w:p>
    <w:p>
      <w:r>
        <w:t xml:space="preserve">Unbounded growth (10 tenants, progressive ballast): at about 13.8 GB of combined tenant residency the host's 1 GB swap is exhausted and </w:t>
      </w:r>
      <w:r>
        <w:rPr>
          <w:b/>
          <w:i w:val="0"/>
        </w:rPr>
        <w:t>two customer VMs are OOM-killed</w:t>
      </w:r>
      <w:r>
        <w:t xml:space="preserve">, with several tenants' SSH unresponsive; services, being small, survive. Adding </w:t>
      </w:r>
      <w:r>
        <w:rPr>
          <w:rFonts w:ascii="Consolas" w:hAnsi="Consolas"/>
          <w:sz w:val="20"/>
        </w:rPr>
        <w:t>memory.high</w:t>
      </w:r>
      <w:r>
        <w:t xml:space="preserve"> (1000/800 MB) eliminates deaths and stabilizes the host, but the reclaim triggered by capped tenants lands almost entirely on anonymous-page swap-out — the small swap drains within seconds and becomes a global bottleneck, with tenants experiencing brief unresponsiveness. Setting </w:t>
      </w:r>
      <w:r>
        <w:rPr>
          <w:rFonts w:ascii="Consolas" w:hAnsi="Consolas"/>
          <w:sz w:val="20"/>
        </w:rPr>
        <w:t>memory.swap.max = 0</w:t>
      </w:r>
      <w:r>
        <w:t xml:space="preserve"> alongside (the double gate) stops swap pollution: oversubscription is throttled in place. Note also: with ballooning disabled, memory a tenant "has touched" returns to the host only on VM restart — dynamic return and the "no compression" stance are an explicit tradeoff.</w:t>
      </w:r>
    </w:p>
    <w:p>
      <w:pPr>
        <w:pStyle w:val="Heading3"/>
      </w:pPr>
      <w:r>
        <w:t>4.4.5 Block IO: hard caps work, the offender pays (Figure 8)</w:t>
      </w:r>
    </w:p>
    <w:p>
      <w:pPr>
        <w:jc w:val="center"/>
      </w:pPr>
      <w:r>
        <w:drawing>
          <wp:inline xmlns:a="http://schemas.openxmlformats.org/drawingml/2006/main" xmlns:pic="http://schemas.openxmlformats.org/drawingml/2006/picture">
            <wp:extent cx="5760000" cy="2073600"/>
            <wp:docPr id="12" name="Picture 12"/>
            <wp:cNvGraphicFramePr>
              <a:graphicFrameLocks noChangeAspect="1"/>
            </wp:cNvGraphicFramePr>
            <a:graphic>
              <a:graphicData uri="http://schemas.openxmlformats.org/drawingml/2006/picture">
                <pic:pic>
                  <pic:nvPicPr>
                    <pic:cNvPr id="0" name="fig8_disk.png"/>
                    <pic:cNvPicPr/>
                  </pic:nvPicPr>
                  <pic:blipFill>
                    <a:blip r:embed="rId21"/>
                    <a:stretch>
                      <a:fillRect/>
                    </a:stretch>
                  </pic:blipFill>
                  <pic:spPr>
                    <a:xfrm>
                      <a:off x="0" y="0"/>
                      <a:ext cx="5760000" cy="2073600"/>
                    </a:xfrm>
                    <a:prstGeom prst="rect"/>
                  </pic:spPr>
                </pic:pic>
              </a:graphicData>
            </a:graphic>
          </wp:inline>
        </w:drawing>
      </w:r>
    </w:p>
    <w:p>
      <w:pPr>
        <w:jc w:val="center"/>
      </w:pPr>
      <w:r>
        <w:rPr>
          <w:i/>
          <w:color w:val="333333"/>
          <w:sz w:val="19"/>
        </w:rPr>
        <w:t>Figure 8 Block-IO cap (io.max)</w:t>
      </w:r>
    </w:p>
    <w:p>
      <w:r>
        <w:t xml:space="preserve">Ten tenants running 4K 70/30 random read/write (O_DIRECT) push the host to about 16.5k IOPS and </w:t>
      </w:r>
      <w:r>
        <w:rPr>
          <w:b/>
          <w:i w:val="0"/>
        </w:rPr>
        <w:t>drag service P99 to 12.1 ms (violating) although services perform almost no disk IO</w:t>
      </w:r>
      <w:r>
        <w:t xml:space="preserve"> (a storm hitting "over the mountain"). Applying </w:t>
      </w:r>
      <w:r>
        <w:rPr>
          <w:rFonts w:ascii="Consolas" w:hAnsi="Consolas"/>
          <w:sz w:val="20"/>
        </w:rPr>
        <w:t>io.max = 300 riops / 150 wiops</w:t>
      </w:r>
      <w:r>
        <w:t xml:space="preserve"> per tenant caps exactly as configured, drops the host to 2.6k IOPS, and returns service P99 to 2.7 ms; the cost is that </w:t>
      </w:r>
      <w:r>
        <w:rPr>
          <w:b/>
          <w:i w:val="0"/>
        </w:rPr>
        <w:t>capped tenants' read completion P99 rises to ~96 ms</w:t>
      </w:r>
      <w:r>
        <w:t xml:space="preserve"> (queueing at the throttle). Two operational details: cgroup IO accounting keys to the whole-disk device (8:0), not the partition; </w:t>
      </w:r>
      <w:r>
        <w:rPr>
          <w:rFonts w:ascii="Consolas" w:hAnsi="Consolas"/>
          <w:sz w:val="20"/>
        </w:rPr>
        <w:t>io.weight</w:t>
      </w:r>
      <w:r>
        <w:t xml:space="preserve"> is a no-op because the host's IO scheduler is </w:t>
      </w:r>
      <w:r>
        <w:rPr>
          <w:rFonts w:ascii="Consolas" w:hAnsi="Consolas"/>
          <w:sz w:val="20"/>
        </w:rPr>
        <w:t>none</w:t>
      </w:r>
      <w:r>
        <w:t xml:space="preserve"> (no BFQ).</w:t>
      </w:r>
    </w:p>
    <w:p>
      <w:r>
        <w:rPr>
          <w:b/>
          <w:i w:val="0"/>
        </w:rPr>
        <w:t>Section boundaries.</w:t>
      </w:r>
      <w:r>
        <w:t xml:space="preserve"> Service VMs being lightweight is a precondition of "isolation works"; the mechanism behind weight failure (host-side packet path / scheduling-credit dynamics) is left as an open question; memory numbers are tied to the 1 GB swap environment.</w:t>
      </w:r>
    </w:p>
    <w:p>
      <w:pPr>
        <w:pStyle w:val="Heading1"/>
        <w:pageBreakBefore/>
      </w:pPr>
      <w:r>
        <w:t>5 Design: Risk-Calibrated Admission and a Shaping Playbook</w:t>
      </w:r>
    </w:p>
    <w:p>
      <w:pPr>
        <w:ind w:left="454"/>
      </w:pPr>
      <w:r>
        <w:rPr>
          <w:i/>
        </w:rPr>
        <w:t xml:space="preserve">This chapter organizes the measurement findings into an executable decision framework for small providers. Two principles: </w:t>
      </w:r>
      <w:r>
        <w:rPr>
          <w:b/>
          <w:i/>
        </w:rPr>
        <w:t>(i) never rely on mechanisms our measurements falsified</w:t>
      </w:r>
      <w:r>
        <w:rPr>
          <w:i/>
        </w:rPr>
        <w:t xml:space="preserve"> (soft priorities, average utilization, uncorrected usage); </w:t>
      </w:r>
      <w:r>
        <w:rPr>
          <w:b/>
          <w:i/>
        </w:rPr>
        <w:t>(ii) separate protection from business</w:t>
      </w:r>
      <w:r>
        <w:rPr>
          <w:i/>
        </w:rPr>
        <w:t xml:space="preserve"> — the service SLO is guarded by isolation, while density is bought with evidence.</w:t>
      </w:r>
    </w:p>
    <w:p>
      <w:pPr>
        <w:pStyle w:val="Heading2"/>
      </w:pPr>
      <w:r>
        <w:t>5.1 Overview</w:t>
      </w:r>
    </w:p>
    <w:p>
      <w:r>
        <w:t>The framework has two layers corresponding to two operational actions:</w:t>
      </w:r>
    </w:p>
    <w:p>
      <w:pPr>
        <w:pStyle w:val="ListBullet"/>
      </w:pPr>
      <w:r>
        <w:rPr>
          <w:b/>
          <w:i w:val="0"/>
        </w:rPr>
        <w:t>Shaping</w:t>
      </w:r>
      <w:r>
        <w:t xml:space="preserve"> decides the competitive form of each admitted tenant and thereby defines the host's </w:t>
      </w:r>
      <w:r>
        <w:rPr>
          <w:b/>
          <w:i w:val="0"/>
        </w:rPr>
        <w:t>protection envelope</w:t>
      </w:r>
      <w:r>
        <w:t xml:space="preserve"> — which resources are held, under what conditions, to what degree. Section 4 condenses to one sentence: </w:t>
      </w:r>
      <w:r>
        <w:rPr>
          <w:b/>
          <w:i w:val="0"/>
        </w:rPr>
        <w:t>isolation first, hard caps second, soft priorities never.</w:t>
      </w:r>
    </w:p>
    <w:p>
      <w:pPr>
        <w:pStyle w:val="ListBullet"/>
      </w:pPr>
      <w:r>
        <w:rPr>
          <w:b/>
          <w:i w:val="0"/>
        </w:rPr>
        <w:t>Admission</w:t>
      </w:r>
      <w:r>
        <w:t xml:space="preserve"> decides whether an arriving tenant may enter. It estimates headroom inside the protection envelope using </w:t>
      </w:r>
      <w:r>
        <w:rPr>
          <w:b/>
          <w:i w:val="0"/>
        </w:rPr>
        <w:t>censoring-corrected demand evidence</w:t>
      </w:r>
      <w:r>
        <w:t xml:space="preserve"> and outputs allow/defer with reasons.</w:t>
      </w:r>
    </w:p>
    <w:p>
      <w:r>
        <w:t>Both layers share one set of monitors (service tail latency, host pressure, per-VM throttle/censoring evidence, data quality), which also serve as admission's pause trigger.</w:t>
      </w:r>
    </w:p>
    <w:p>
      <w:pPr>
        <w:pStyle w:val="Heading2"/>
      </w:pPr>
      <w:r>
        <w:t>5.2 The Shaping Playbook</w:t>
      </w:r>
    </w:p>
    <w:p>
      <w:r>
        <w:rPr>
          <w:b/>
          <w:i w:val="0"/>
        </w:rPr>
        <w:t>CPU.</w:t>
      </w:r>
      <w:r>
        <w:t xml:space="preserve"> Step one — and the only step validated under every storm on this testbed — is </w:t>
      </w:r>
      <w:r>
        <w:rPr>
          <w:b/>
          <w:i w:val="0"/>
        </w:rPr>
        <w:t>carving out dedicated cores for sensitive services</w:t>
      </w:r>
      <w:r>
        <w:t xml:space="preserve">: pin service and probe threads to </w:t>
      </w:r>
      <m:oMath>
        <m:sSub>
          <m:e>
            <m:r>
              <m:t xml:space="preserve">c</m:t>
            </m:r>
          </m:e>
          <m:sub>
            <m:r>
              <m:rPr>
                <m:nor/>
              </m:rPr>
              <m:t xml:space="preserve">svc</m:t>
            </m:r>
          </m:sub>
        </m:sSub>
      </m:oMath>
      <w:r>
        <w:t xml:space="preserve"> logical cores (2 on our testbed) and tenants to the rest (</w:t>
      </w:r>
      <w:r>
        <w:rPr>
          <w:rFonts w:ascii="Consolas" w:hAnsi="Consolas"/>
          <w:sz w:val="20"/>
        </w:rPr>
        <w:t>taskset</w:t>
      </w:r>
      <w:r>
        <w:t xml:space="preserve">/cpuset; on Proxmox, </w:t>
      </w:r>
      <w:r>
        <w:rPr>
          <w:rFonts w:ascii="Consolas" w:hAnsi="Consolas"/>
          <w:sz w:val="20"/>
        </w:rPr>
        <w:t>taskset -apc</w:t>
      </w:r>
      <w:r>
        <w:t xml:space="preserve"> on the qemu process). The lighter the services, the cheaper this step. Step two (optional): per-tenant </w:t>
      </w:r>
      <w:r>
        <w:rPr>
          <w:rFonts w:ascii="Consolas" w:hAnsi="Consolas"/>
          <w:sz w:val="20"/>
        </w:rPr>
        <w:t>cpu.max</w:t>
      </w:r>
      <w:r>
        <w:t xml:space="preserve"> quotas — understood as </w:t>
      </w:r>
      <w:r>
        <w:rPr>
          <w:b/>
          <w:i w:val="0"/>
        </w:rPr>
        <w:t>business tiering and cost control</w:t>
      </w:r>
      <w:r>
        <w:t xml:space="preserve"> (what each tier sells), </w:t>
      </w:r>
      <w:r>
        <w:rPr>
          <w:b w:val="0"/>
          <w:i/>
        </w:rPr>
        <w:t>not</w:t>
      </w:r>
      <w:r>
        <w:t xml:space="preserve"> as a way to admit more: quotas do not move the safe knee (Section 4.4.1), only the tenant's own speed. </w:t>
      </w:r>
      <w:r>
        <w:rPr>
          <w:b/>
          <w:i w:val="0"/>
        </w:rPr>
        <w:t>Do not use `cpu.weight` as a protection mechanism</w:t>
      </w:r>
      <w:r>
        <w:t xml:space="preserve"> (Section 4.4.2: 100× weight fails). Monitors: service P99/P999 and scheduling delay where available.</w:t>
      </w:r>
    </w:p>
    <w:p>
      <w:r>
        <w:rPr>
          <w:b/>
          <w:i w:val="0"/>
        </w:rPr>
        <w:t>Memory.</w:t>
      </w:r>
      <w:r>
        <w:t xml:space="preserve"> Double gate plus reserve: per tenant, set </w:t>
      </w:r>
      <w:r>
        <w:rPr>
          <w:rFonts w:ascii="Consolas" w:hAnsi="Consolas"/>
          <w:sz w:val="20"/>
        </w:rPr>
        <w:t>memory.high</w:t>
      </w:r>
      <w:r>
        <w:t xml:space="preserve"> (hot-memory budget with </w:t>
      </w:r>
      <m:oMath>
        <m:r>
          <m:t xml:space="preserve">Σ</m:t>
        </m:r>
        <m:r>
          <m:rPr>
            <m:nor/>
          </m:rPr>
          <m:t xml:space="preserve">high</m:t>
        </m:r>
        <m:r>
          <m:t xml:space="preserve">≤</m:t>
        </m:r>
        <m:sSub>
          <m:e>
            <m:r>
              <m:t xml:space="preserve">M</m:t>
            </m:r>
          </m:e>
          <m:sub>
            <m:r>
              <m:rPr>
                <m:nor/>
              </m:rPr>
              <m:t xml:space="preserve">hot</m:t>
            </m:r>
          </m:sub>
        </m:sSub>
      </m:oMath>
      <w:r>
        <w:t xml:space="preserve">, where </w:t>
      </w:r>
      <m:oMath>
        <m:sSub>
          <m:e>
            <m:r>
              <m:t xml:space="preserve">M</m:t>
            </m:r>
          </m:e>
          <m:sub>
            <m:r>
              <m:rPr>
                <m:nor/>
              </m:rPr>
              <m:t xml:space="preserve">hot</m:t>
            </m:r>
          </m:sub>
        </m:sSub>
      </m:oMath>
      <w:r>
        <w:t xml:space="preserve"> leaves host and service reserves) and </w:t>
      </w:r>
      <w:r>
        <w:rPr>
          <w:rFonts w:ascii="Consolas" w:hAnsi="Consolas"/>
          <w:sz w:val="20"/>
        </w:rPr>
        <w:t>memory.swap.max = 0</w:t>
      </w:r>
      <w:r>
        <w:t xml:space="preserve"> (forbid over-users from consuming host swap). Host swap is reserved for services or disabled — Section 4.4.4 shows swap is the amplifier of the reclaim tax; the double gate converts overuse into in-place throttling. If the product promises "no compression", the sales language must also state that, with ballooning off, touched tenant memory is not returned until VM restart (dynamic return and no-compression are mutually exclusive); the hot-memory budget is then the true deliverable memory.</w:t>
      </w:r>
    </w:p>
    <w:p>
      <w:r>
        <w:rPr>
          <w:b/>
          <w:i w:val="0"/>
        </w:rPr>
        <w:t>Block IO.</w:t>
      </w:r>
      <w:r>
        <w:t xml:space="preserve"> Per-tenant </w:t>
      </w:r>
      <w:r>
        <w:rPr>
          <w:rFonts w:ascii="Consolas" w:hAnsi="Consolas"/>
          <w:sz w:val="20"/>
        </w:rPr>
        <w:t>io.max</w:t>
      </w:r>
      <w:r>
        <w:t xml:space="preserve"> (riops/wiops or bandwidth per sold tier) is the only measured remedy against "IO explosion": host IOPS and business latency snap back immediately, with the cost landing on the throttled tenant's own queueing delay (Section 4.4.5). Two implementation notes: cgroup accounting keys to the whole-disk device (partition numbers may be inert); </w:t>
      </w:r>
      <w:r>
        <w:rPr>
          <w:rFonts w:ascii="Consolas" w:hAnsi="Consolas"/>
          <w:sz w:val="20"/>
        </w:rPr>
        <w:t>io.weight</w:t>
      </w:r>
      <w:r>
        <w:t>/</w:t>
      </w:r>
      <w:r>
        <w:rPr>
          <w:rFonts w:ascii="Consolas" w:hAnsi="Consolas"/>
          <w:sz w:val="20"/>
        </w:rPr>
        <w:t>io.latency</w:t>
      </w:r>
      <w:r>
        <w:t xml:space="preserve"> depend on an IO scheduler honoring them (the default </w:t>
      </w:r>
      <w:r>
        <w:rPr>
          <w:rFonts w:ascii="Consolas" w:hAnsi="Consolas"/>
          <w:sz w:val="20"/>
        </w:rPr>
        <w:t>none</w:t>
      </w:r>
      <w:r>
        <w:t xml:space="preserve"> makes weights no-ops), so do not rely on weights before enabling BFQ. (</w:t>
      </w:r>
      <w:r>
        <w:rPr>
          <w:rFonts w:ascii="Consolas" w:hAnsi="Consolas"/>
          <w:sz w:val="20"/>
        </w:rPr>
        <w:t>io.cost</w:t>
      </w:r>
      <w:r>
        <w:t>/iocost offers a scheduler-independent cost model; we did not evaluate it here and draw no conclusions about it.)</w:t>
      </w:r>
    </w:p>
    <w:p>
      <w:r>
        <w:rPr>
          <w:b/>
          <w:i w:val="0"/>
        </w:rPr>
        <w:t>Envelope language.</w:t>
      </w:r>
      <w:r>
        <w:t xml:space="preserve"> "Selling 16 vCPU / 48 GiB / 400 GiB" is the </w:t>
      </w:r>
      <w:r>
        <w:rPr>
          <w:b/>
          <w:i w:val="0"/>
        </w:rPr>
        <w:t>nominal sales envelope</w:t>
      </w:r>
      <w:r>
        <w:t xml:space="preserve">; the protection envelope is: the SLO commitment on </w:t>
      </w:r>
      <m:oMath>
        <m:sSub>
          <m:e>
            <m:r>
              <m:t xml:space="preserve">c</m:t>
            </m:r>
          </m:e>
          <m:sub>
            <m:r>
              <m:rPr>
                <m:nor/>
              </m:rPr>
              <m:t xml:space="preserve">svc</m:t>
            </m:r>
          </m:sub>
        </m:sSub>
      </m:oMath>
      <w:r>
        <w:t xml:space="preserve"> dedicated cores for services + each tenant's </w:t>
      </w:r>
      <m:oMath>
        <m:r>
          <m:rPr>
            <m:nor/>
          </m:rPr>
          <m:t xml:space="preserve">high</m:t>
        </m:r>
      </m:oMath>
      <w:r>
        <w:t xml:space="preserve"> bytes of hot memory + each tenant's IO cap. The difference between the two envelopes </w:t>
      </w:r>
      <w:r>
        <w:rPr>
          <w:b w:val="0"/>
          <w:i/>
        </w:rPr>
        <w:t>is</w:t>
      </w:r>
      <w:r>
        <w:t xml:space="preserve"> the economy-tier product space — the basis for tiered pricing.</w:t>
      </w:r>
    </w:p>
    <w:p>
      <w:pPr>
        <w:pStyle w:val="Heading2"/>
      </w:pPr>
      <w:r>
        <w:t>5.3 Risk-Calibrated Admission</w:t>
      </w:r>
    </w:p>
    <w:p>
      <w:r>
        <w:rPr>
          <w:b/>
          <w:i w:val="0"/>
        </w:rPr>
        <w:t>Inputs (visible at decision time).</w:t>
      </w:r>
      <w:r>
        <w:t xml:space="preserve"> Per-VM history (usage series); censoring evidence (</w:t>
      </w:r>
      <w:r>
        <w:rPr>
          <w:rFonts w:ascii="Consolas" w:hAnsi="Consolas"/>
          <w:sz w:val="20"/>
        </w:rPr>
        <w:t>nr_throttled</w:t>
      </w:r>
      <w:r>
        <w:t>/</w:t>
      </w:r>
      <w:r>
        <w:rPr>
          <w:rFonts w:ascii="Consolas" w:hAnsi="Consolas"/>
          <w:sz w:val="20"/>
        </w:rPr>
        <w:t>throttled_usec</w:t>
      </w:r>
      <w:r>
        <w:t xml:space="preserve"> deltas); cohort priors from same-configuration tenants; host state (busy fraction, pressure signals, latest full service-tail window); arrival batch size.</w:t>
      </w:r>
    </w:p>
    <w:p>
      <w:r>
        <w:rPr>
          <w:b/>
          <w:i w:val="0"/>
        </w:rPr>
        <w:t>Demand estimation (empirical censoring correction).</w:t>
      </w:r>
      <w:r>
        <w:t xml:space="preserve"> For each admitted tenant: if censoring evidence is present, compute </w:t>
      </w:r>
      <m:oMath>
        <m:acc>
          <m:accPr>
            <m:chr m:val="0302"/>
          </m:accPr>
          <m:e>
            <m:r>
              <m:t xml:space="preserve"> </m:t>
            </m:r>
          </m:e>
        </m:acc>
        <m:sSub>
          <m:e>
            <m:r>
              <m:t xml:space="preserve">d</m:t>
            </m:r>
          </m:e>
          <m:sub>
            <m:r>
              <m:t xml:space="preserve">i</m:t>
            </m:r>
          </m:sub>
        </m:sSub>
        <m:r>
          <m:t xml:space="preserve">=</m:t>
        </m:r>
        <m:r>
          <m:rPr>
            <m:nor/>
          </m:rPr>
          <m:t xml:space="preserve">min</m:t>
        </m:r>
        <m:r>
          <m:t xml:space="preserve">(</m:t>
        </m:r>
        <m:r>
          <m:rPr>
            <m:nor/>
          </m:rPr>
          <m:t xml:space="preserve">vCPU</m:t>
        </m:r>
        <m:r>
          <m:t xml:space="preserve">,</m:t>
        </m:r>
        <m:r>
          <m:rPr>
            <m:nor/>
          </m:rPr>
          <m:t xml:space="preserve"/>
        </m:r>
        <m:r>
          <m:t xml:space="preserve">,</m:t>
        </m:r>
        <m:sSub>
          <m:e>
            <m:r>
              <m:t xml:space="preserve">u</m:t>
            </m:r>
          </m:e>
          <m:sub>
            <m:r>
              <m:t xml:space="preserve">i</m:t>
            </m:r>
          </m:sub>
        </m:sSub>
        <m:sSub>
          <m:e>
            <m:r>
              <m:t xml:space="preserve">/(1-t</m:t>
            </m:r>
          </m:e>
          <m:sub>
            <m:r>
              <m:t xml:space="preserve">i</m:t>
            </m:r>
          </m:sub>
        </m:sSub>
        <m:r>
          <m:t xml:space="preserve">))</m:t>
        </m:r>
      </m:oMath>
      <w:r>
        <w:t xml:space="preserve"> from the observable throttle fraction </w:t>
      </w:r>
      <m:oMath>
        <m:sSub>
          <m:e>
            <m:r>
              <m:t xml:space="preserve">t</m:t>
            </m:r>
          </m:e>
          <m:sub>
            <m:r>
              <m:t xml:space="preserve">i</m:t>
            </m:r>
          </m:sub>
        </m:sSub>
      </m:oMath>
      <w:r>
        <w:t xml:space="preserve"> (</w:t>
      </w:r>
      <m:oMath>
        <m:r>
          <m:t xml:space="preserve">Δ</m:t>
        </m:r>
      </m:oMath>
      <w:r>
        <w:rPr>
          <w:rFonts w:ascii="Consolas" w:hAnsi="Consolas"/>
          <w:sz w:val="20"/>
        </w:rPr>
        <w:t>throttled_usec</w:t>
      </w:r>
      <w:r>
        <w:t xml:space="preserve"> / window) — an </w:t>
      </w:r>
      <w:r>
        <w:rPr>
          <w:b/>
          <w:i w:val="0"/>
        </w:rPr>
        <w:t>empirical estimator</w:t>
      </w:r>
      <w:r>
        <w:t xml:space="preserve">: near-unbiased for saturated demand (≤9% on the three cells of Section 7.3.2), over-estimating bursty demand and possibly under-estimating intermittent saturation (assumptions and boundaries in Section 3.3); "at least full vCPU" remains the fallback. Without censoring evidence, use a windowed history quantile (P95 over per-window </w:t>
      </w:r>
      <m:oMath>
        <m:r>
          <m:t xml:space="preserve">u/(1-t)</m:t>
        </m:r>
      </m:oMath>
      <w:r>
        <w:t xml:space="preserve">). An optional </w:t>
      </w:r>
      <w:r>
        <w:rPr>
          <w:b/>
          <w:i w:val="0"/>
        </w:rPr>
        <w:t>staggered relaxation probe</w:t>
      </w:r>
      <w:r>
        <w:t xml:space="preserve"> (bounded 2 s quota release, one tenant at a time) provides direct demand samples. For an arriving tenant (</w:t>
      </w:r>
      <m:oMath>
        <m:sSub>
          <m:e>
            <m:r>
              <m:t xml:space="preserve">T</m:t>
            </m:r>
          </m:e>
          <m:sub>
            <m:r>
              <m:rPr>
                <m:nor/>
              </m:rPr>
              <m:t xml:space="preserve">hist</m:t>
            </m:r>
          </m:sub>
        </m:sSub>
        <m:r>
          <m:t xml:space="preserve">=</m:t>
        </m:r>
        <m:r>
          <m:t xml:space="preserve">0</m:t>
        </m:r>
      </m:oMath>
      <w:r>
        <w:t>), use the censoring-corrected estimate of same-configuration tenants as prior; when the cohort is too small, degrade to "full vCPU" — cold-start risk is priced at worst case first and relaxed after an observation window.</w:t>
      </w:r>
    </w:p>
    <w:p>
      <w:r>
        <w:rPr>
          <w:b/>
          <w:i w:val="0"/>
        </w:rPr>
        <w:t>Decision rule (time-aligned aggregation).</w:t>
      </w:r>
      <w:r>
        <w:t xml:space="preserve"> Maintain 1 s per-VM history; for the admitted set, predict the aggregate demand over the decision horizon from </w:t>
      </w:r>
      <w:r>
        <w:rPr>
          <w:b/>
          <w:i w:val="0"/>
        </w:rPr>
        <w:t>wall-clock phase profiles</w:t>
      </w:r>
      <w:r>
        <w:t xml:space="preserve"> (per-second demand envelopes preserving synchronization) and reserve capacity at a quantile of the measured aggregate demand; charge each new candidate the </w:t>
      </w:r>
      <w:r>
        <w:rPr>
          <w:b/>
          <w:i w:val="0"/>
        </w:rPr>
        <w:t>class prior pi</w:t>
      </w:r>
      <w:r>
        <w:t xml:space="preserve"> (median of the admitted tenants' mean rates; 0.2 when no history). The quota is only a </w:t>
      </w:r>
      <w:r>
        <w:rPr>
          <w:b w:val="0"/>
          <w:i/>
        </w:rPr>
        <w:t>period-average</w:t>
      </w:r>
      <w:r>
        <w:t xml:space="preserve"> bound: </w:t>
      </w:r>
      <w:r>
        <w:rPr>
          <w:rFonts w:ascii="Consolas" w:hAnsi="Consolas"/>
          <w:sz w:val="20"/>
        </w:rPr>
        <w:t>cpu.max</w:t>
      </w:r>
      <w:r>
        <w:t xml:space="preserve"> limits the CPU-time budget per quota period, not the instantaneous rate — a throttled tenant can still reach a full vCPU until its period budget exhausts, so the per-second envelopes are built from measured usage and capped at one full vCPU (min(vCPU, u*f)), which doubles as the full-vCPU fallback for continuously saturated tenants (Section 3.3.1). Admit only if reserve + candidate caps ≤ effective tenant-core capacity (× utilization budget). Batch arrivals first reserve capacity; the same spare must not be promised twice.</w:t>
      </w:r>
    </w:p>
    <w:p>
      <w:r>
        <w:rPr>
          <w:b/>
          <w:i w:val="0"/>
        </w:rPr>
        <w:t>Calibration and pausing.</w:t>
      </w:r>
      <w:r>
        <w:t xml:space="preserve"> The safety margin is calibrated on independent validation windows against a measured violation budget (empirical calibration; report measured coverage rather than distribution-free guarantees). The following trigger pauses new admission (with hysteresis on resume): service-tail monitor breach; customer-side canary (wakeup stall / work rate) breach; excessive estimation uncertainty (history too short / interval too wide); data-quality events (missing data, counter resets, refresh-period changes); drift (distribution shift, new configuration classes); sustained host pressure. Resumption requires consecutive stable windows, and thresholds are fixed on training/validation sets only.</w:t>
      </w:r>
    </w:p>
    <w:p>
      <w:r>
        <w:rPr>
          <w:b/>
          <w:i w:val="0"/>
        </w:rPr>
        <w:t>Decision horizon.</w:t>
      </w:r>
      <w:r>
        <w:t xml:space="preserve"> Default 5 minutes; sensitivity at 1/15 minutes. The horizon is a controller refresh cadence, not a long-term service commitment.</w:t>
      </w:r>
    </w:p>
    <w:p>
      <w:pPr>
        <w:pStyle w:val="Heading3"/>
      </w:pPr>
      <w:r>
        <w:t>5.3.1 Admission Algorithm: Pseudocode and Parameters</w:t>
      </w:r>
    </w:p>
    <w:p>
      <w:r>
        <w:rPr>
          <w:rFonts w:ascii="Consolas" w:hAnsi="Consolas"/>
          <w:sz w:val="18"/>
        </w:rPr>
        <w:t>Algorithm A (risk-calibrated admission; runs on arrival or every Delta minutes)</w:t>
        <w:br/>
        <w:t>Input: admitted set S with 1-s usage history u_s(t) (last 120 s), throttle evidence t_s,</w:t>
        <w:br/>
        <w:t xml:space="preserve">       host busy counters, capacity C (tenant cores), utilization budget 0.9</w:t>
        <w:br/>
        <w:t>1  for each s in S:</w:t>
        <w:br/>
        <w:t xml:space="preserve">     f_s &lt;- min(2.5, 1/(1 - t_s)) if t_s &gt; 0.02 else 1.0   # censoring correction (no-censor arm: f_s = 1)</w:t>
        <w:br/>
        <w:t xml:space="preserve">     p_s[b] &lt;- max over the last 120 s of min(vCPU_s, u_s(t) * f_s), bucket b = t mod 60</w:t>
        <w:br/>
        <w:t>2  peak &lt;- max_b sum_{s in S} p_s[b]                       # phase-profile aggregate peak</w:t>
        <w:br/>
        <w:t xml:space="preserve">   residual &lt;- host-busy cores (independent counter) - sum_s mean30(u_s)</w:t>
        <w:br/>
        <w:t xml:space="preserve">   bg &lt;- max(0, Q95(last 20 residuals) - 0.2)              # measured background reserve (no double counting)</w:t>
        <w:br/>
        <w:t>3  pi &lt;- median of admitted tenants' mean rates (0.2 if no history)   # class prior for new candidates</w:t>
        <w:br/>
        <w:t xml:space="preserve">   low-history guard: if more than a third of the admitted tenants (minimum 2) have &lt; 30 samples: defer</w:t>
        <w:br/>
        <w:t>4  if peak + |B| * pi + bg &lt;= 0.9 * C: allow; else defer (log which term binds)</w:t>
        <w:br/>
        <w:t>Guardrail (parallel): service P99 window violation OR canary wakeup stall &gt; 250 ms OR customer P5 &lt; 70%</w:t>
        <w:br/>
        <w:t xml:space="preserve">   =&gt; pause admission; hysteretic recovery after 3 stable windows</w:t>
        <w:br/>
        <w:t>Calibration: 0.9 and the hysteresis are fixed on a validation split; report one-sided Clopper-Pearson</w:t>
        <w:br/>
        <w:t>bounds and the trials required for a target bound (zero-failure: &lt;=10% needs &gt;=29 trials, &lt;=1% needs</w:t>
        <w:br/>
        <w:t>&gt;=299); present as an "empirical safety envelope", never as a 1% guarantee.</w:t>
      </w:r>
    </w:p>
    <w:p>
      <w:r>
        <w:rPr>
          <w:b/>
          <w:i w:val="0"/>
        </w:rPr>
        <w:t>Accounting scale and residual risk.</w:t>
      </w:r>
      <w:r>
        <w:t xml:space="preserve"> Capacity reservation works at the </w:t>
      </w:r>
      <w:r>
        <w:rPr>
          <w:b/>
          <w:i w:val="0"/>
        </w:rPr>
        <w:t>1-second scale</w:t>
      </w:r>
      <w:r>
        <w:t xml:space="preserve"> (per-second envelopes, quota bounds the 1-s mean); </w:t>
      </w:r>
      <w:r>
        <w:rPr>
          <w:b/>
          <w:i w:val="0"/>
        </w:rPr>
        <w:t>sub-second quota pulses</w:t>
      </w:r>
      <w:r>
        <w:t xml:space="preserve"> are outside the accounting and are covered by isolation plus the service-side guardrail, which triggers independently of prediction error. The two layers make no stacked promises.</w:t>
      </w:r>
    </w:p>
    <w:p>
      <w:pPr>
        <w:pStyle w:val="Heading3"/>
      </w:pPr>
      <w:r>
        <w:t>5.3.2 Certification Protocol for Safety Statements (statistical scope)</w:t>
      </w:r>
    </w:p>
    <w:p>
      <w:r>
        <w:rPr>
          <w:b/>
          <w:i w:val="0"/>
        </w:rPr>
        <w:t>Goal.</w:t>
      </w:r>
      <w:r>
        <w:t xml:space="preserve"> For any configuration/workload family, report a one-sided 95% Clopper-Pearson upper bound on the round-level violation rate and the minimum number of independent rounds required for the claimed bound.</w:t>
      </w:r>
    </w:p>
    <w:p>
      <w:r>
        <w:rPr>
          <w:b/>
          <w:i w:val="0"/>
        </w:rPr>
        <w:t>Table 6.</w:t>
      </w:r>
      <w:r>
        <w:t xml:space="preserve"> Zero-failure budget: Clopper-Pearson upper bound vs independent rounds.</w:t>
      </w:r>
    </w:p>
    <w:tbl>
      <w:tblPr>
        <w:tblStyle w:val="TableGrid"/>
        <w:tblW w:type="auto" w:w="0"/>
        <w:tblLook w:firstColumn="1" w:firstRow="1" w:lastColumn="0" w:lastRow="0" w:noHBand="0" w:noVBand="1" w:val="04A0"/>
      </w:tblPr>
      <w:tblGrid>
        <w:gridCol w:w="4986"/>
        <w:gridCol w:w="4986"/>
      </w:tblGrid>
      <w:tr>
        <w:tc>
          <w:tcPr>
            <w:tcW w:type="dxa" w:w="4986"/>
          </w:tcPr>
          <w:p>
            <w:r>
              <w:rPr>
                <w:b/>
                <w:sz w:val="19"/>
              </w:rPr>
              <w:t>Independent rounds n</w:t>
            </w:r>
          </w:p>
        </w:tc>
        <w:tc>
          <w:tcPr>
            <w:tcW w:type="dxa" w:w="4986"/>
          </w:tcPr>
          <w:p>
            <w:r>
              <w:rPr>
                <w:b/>
                <w:sz w:val="19"/>
              </w:rPr>
              <w:t>Violation-rate upper bound</w:t>
            </w:r>
          </w:p>
        </w:tc>
      </w:tr>
      <w:tr>
        <w:tc>
          <w:tcPr>
            <w:tcW w:type="dxa" w:w="4986"/>
          </w:tcPr>
          <w:p>
            <w:r>
              <w:rPr>
                <w:sz w:val="19"/>
              </w:rPr>
              <w:t>10</w:t>
            </w:r>
          </w:p>
        </w:tc>
        <w:tc>
          <w:tcPr>
            <w:tcW w:type="dxa" w:w="4986"/>
          </w:tcPr>
          <w:p>
            <w:r>
              <w:rPr>
                <w:sz w:val="19"/>
              </w:rPr>
              <w:t>25.9%</w:t>
            </w:r>
          </w:p>
        </w:tc>
      </w:tr>
      <w:tr>
        <w:tc>
          <w:tcPr>
            <w:tcW w:type="dxa" w:w="4986"/>
          </w:tcPr>
          <w:p>
            <w:r>
              <w:rPr>
                <w:sz w:val="19"/>
              </w:rPr>
              <w:t>30</w:t>
            </w:r>
          </w:p>
        </w:tc>
        <w:tc>
          <w:tcPr>
            <w:tcW w:type="dxa" w:w="4986"/>
          </w:tcPr>
          <w:p>
            <w:r>
              <w:rPr>
                <w:sz w:val="19"/>
              </w:rPr>
              <w:t>9.5%</w:t>
            </w:r>
          </w:p>
        </w:tc>
      </w:tr>
      <w:tr>
        <w:tc>
          <w:tcPr>
            <w:tcW w:type="dxa" w:w="4986"/>
          </w:tcPr>
          <w:p>
            <w:r>
              <w:rPr>
                <w:sz w:val="19"/>
              </w:rPr>
              <w:t>50</w:t>
            </w:r>
          </w:p>
        </w:tc>
        <w:tc>
          <w:tcPr>
            <w:tcW w:type="dxa" w:w="4986"/>
          </w:tcPr>
          <w:p>
            <w:r>
              <w:rPr>
                <w:sz w:val="19"/>
              </w:rPr>
              <w:t>5.8%</w:t>
            </w:r>
          </w:p>
        </w:tc>
      </w:tr>
      <w:tr>
        <w:tc>
          <w:tcPr>
            <w:tcW w:type="dxa" w:w="4986"/>
          </w:tcPr>
          <w:p>
            <w:r>
              <w:rPr>
                <w:sz w:val="19"/>
              </w:rPr>
              <w:t>90</w:t>
            </w:r>
          </w:p>
        </w:tc>
        <w:tc>
          <w:tcPr>
            <w:tcW w:type="dxa" w:w="4986"/>
          </w:tcPr>
          <w:p>
            <w:r>
              <w:rPr>
                <w:sz w:val="19"/>
              </w:rPr>
              <w:t>3.3%</w:t>
            </w:r>
          </w:p>
        </w:tc>
      </w:tr>
      <w:tr>
        <w:tc>
          <w:tcPr>
            <w:tcW w:type="dxa" w:w="4986"/>
          </w:tcPr>
          <w:p>
            <w:r>
              <w:rPr>
                <w:sz w:val="19"/>
              </w:rPr>
              <w:t>299</w:t>
            </w:r>
          </w:p>
        </w:tc>
        <w:tc>
          <w:tcPr>
            <w:tcW w:type="dxa" w:w="4986"/>
          </w:tcPr>
          <w:p>
            <w:r>
              <w:rPr>
                <w:sz w:val="19"/>
              </w:rPr>
              <w:t>1.0%</w:t>
            </w:r>
          </w:p>
        </w:tc>
      </w:tr>
    </w:tbl>
    <w:p/>
    <w:p>
      <w:r>
        <w:rPr>
          <w:b/>
          <w:i w:val="0"/>
        </w:rPr>
        <w:t>Correlation correction.</w:t>
      </w:r>
      <w:r>
        <w:t xml:space="preserve"> Rounds share host state (long-run drift, caches, same-batch VM state), so independence is an optimistic bound; the protocol requires (i) effective sample size computed by time-block/round clustering, reporting effective &lt; nominal rounds; (ii) block-level worst-window sensitivity; (iii) every "zero-violation" statement carries its round count and bound.</w:t>
      </w:r>
    </w:p>
    <w:p>
      <w:r>
        <w:rPr>
          <w:b/>
          <w:i w:val="0"/>
        </w:rPr>
        <w:t>Scope of the protocol.</w:t>
      </w:r>
      <w:r>
        <w:t xml:space="preserve"> This protocol defines how safety statements must be phrased and what evidence they carry; it is not itself a guarantee. The experiments reported in this paper state their round counts and measured bounds explicitly (e.g., 29/30 envelope passes carry an optimistic one-sided bound of ~14.9%) and do not constitute a 1% risk certificate.</w:t>
      </w:r>
    </w:p>
    <w:p>
      <w:pPr>
        <w:pStyle w:val="Heading2"/>
      </w:pPr>
      <w:r>
        <w:t>5.4 Contrast with Naive Policies</w:t>
      </w:r>
    </w:p>
    <w:p>
      <w:r>
        <w:rPr>
          <w:b/>
          <w:i w:val="0"/>
        </w:rPr>
        <w:t>Table 7.</w:t>
      </w:r>
      <w:r>
        <w:t xml:space="preserve"> Naive policies: what each cannot see and the measured consequence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Policy</w:t>
            </w:r>
          </w:p>
        </w:tc>
        <w:tc>
          <w:tcPr>
            <w:tcW w:type="dxa" w:w="3324"/>
          </w:tcPr>
          <w:p>
            <w:r>
              <w:rPr>
                <w:b/>
                <w:sz w:val="19"/>
              </w:rPr>
              <w:t>What it cannot see</w:t>
            </w:r>
          </w:p>
        </w:tc>
        <w:tc>
          <w:tcPr>
            <w:tcW w:type="dxa" w:w="3324"/>
          </w:tcPr>
          <w:p>
            <w:r>
              <w:rPr>
                <w:b/>
                <w:sz w:val="19"/>
              </w:rPr>
              <w:t>Consequence (measured)</w:t>
            </w:r>
          </w:p>
        </w:tc>
      </w:tr>
      <w:tr>
        <w:tc>
          <w:tcPr>
            <w:tcW w:type="dxa" w:w="3324"/>
          </w:tcPr>
          <w:p>
            <w:r>
              <w:rPr>
                <w:sz w:val="19"/>
              </w:rPr>
              <w:t>Fixed oversubscription ratio</w:t>
            </w:r>
          </w:p>
        </w:tc>
        <w:tc>
          <w:tcPr>
            <w:tcW w:type="dxa" w:w="3324"/>
          </w:tcPr>
          <w:p>
            <w:r>
              <w:rPr>
                <w:sz w:val="19"/>
              </w:rPr>
              <w:t>Any host/tenant state</w:t>
            </w:r>
          </w:p>
        </w:tc>
        <w:tc>
          <w:tcPr>
            <w:tcW w:type="dxa" w:w="3324"/>
          </w:tcPr>
          <w:p>
            <w:r>
              <w:rPr>
                <w:sz w:val="19"/>
              </w:rPr>
              <w:t>Admits 5/5, four violation windows (Section 7.2)</w:t>
            </w:r>
          </w:p>
        </w:tc>
      </w:tr>
      <w:tr>
        <w:tc>
          <w:tcPr>
            <w:tcW w:type="dxa" w:w="3324"/>
          </w:tcPr>
          <w:p>
            <w:r>
              <w:rPr>
                <w:sz w:val="19"/>
              </w:rPr>
              <w:t>Average-utilization threshold</w:t>
            </w:r>
          </w:p>
        </w:tc>
        <w:tc>
          <w:tcPr>
            <w:tcW w:type="dxa" w:w="3324"/>
          </w:tcPr>
          <w:p>
            <w:r>
              <w:rPr>
                <w:sz w:val="19"/>
              </w:rPr>
              <w:t>Instantaneous overlap; censoring</w:t>
            </w:r>
          </w:p>
        </w:tc>
        <w:tc>
          <w:tcPr>
            <w:tcW w:type="dxa" w:w="3324"/>
          </w:tcPr>
          <w:p>
            <w:r>
              <w:rPr>
                <w:sz w:val="19"/>
              </w:rPr>
              <w:t>Signs off under phase-clustered/synchronized load (Sections 4.1–4.2)</w:t>
            </w:r>
          </w:p>
        </w:tc>
      </w:tr>
      <w:tr>
        <w:tc>
          <w:tcPr>
            <w:tcW w:type="dxa" w:w="3324"/>
          </w:tcPr>
          <w:p>
            <w:r>
              <w:rPr>
                <w:sz w:val="19"/>
              </w:rPr>
              <w:t>Uncorrected historical quantile</w:t>
            </w:r>
          </w:p>
        </w:tc>
        <w:tc>
          <w:tcPr>
            <w:tcW w:type="dxa" w:w="3324"/>
          </w:tcPr>
          <w:p>
            <w:r>
              <w:rPr>
                <w:sz w:val="19"/>
              </w:rPr>
              <w:t>Censoring; synchronization</w:t>
            </w:r>
          </w:p>
        </w:tc>
        <w:tc>
          <w:tcPr>
            <w:tcW w:type="dxa" w:w="3324"/>
          </w:tcPr>
          <w:p>
            <w:r>
              <w:rPr>
                <w:sz w:val="19"/>
              </w:rPr>
              <w:t>Throttled tenants read as "idle" (Section 4.3)</w:t>
            </w:r>
          </w:p>
        </w:tc>
      </w:tr>
      <w:tr>
        <w:tc>
          <w:tcPr>
            <w:tcW w:type="dxa" w:w="3324"/>
          </w:tcPr>
          <w:p>
            <w:r>
              <w:rPr>
                <w:sz w:val="19"/>
              </w:rPr>
              <w:t>This design</w:t>
            </w:r>
          </w:p>
        </w:tc>
        <w:tc>
          <w:tcPr>
            <w:tcW w:type="dxa" w:w="3324"/>
          </w:tcPr>
          <w:p>
            <w:r>
              <w:rPr>
                <w:sz w:val="19"/>
              </w:rPr>
              <w:t>— (manages both explicitly; pauses on uncertainty)</w:t>
            </w:r>
          </w:p>
        </w:tc>
        <w:tc>
          <w:tcPr>
            <w:tcW w:type="dxa" w:w="3324"/>
          </w:tcPr>
          <w:p>
            <w:r>
              <w:rPr>
                <w:sz w:val="19"/>
              </w:rPr>
              <w:t>See Section 6</w:t>
            </w:r>
          </w:p>
        </w:tc>
      </w:tr>
    </w:tbl>
    <w:p/>
    <w:p>
      <w:pPr>
        <w:pStyle w:val="Heading2"/>
      </w:pPr>
      <w:r>
        <w:t>5.5 Assumptions and Limitations</w:t>
      </w:r>
    </w:p>
    <w:p>
      <w:pPr>
        <w:pStyle w:val="ListBullet"/>
      </w:pPr>
      <w:r>
        <w:t>No distribution-free risk guarantees; under arbitrary drift or adversarial load we promise monitoring and conservative behavior only.</w:t>
      </w:r>
    </w:p>
    <w:p>
      <w:pPr>
        <w:pStyle w:val="ListBullet"/>
      </w:pPr>
      <w:r>
        <w:t xml:space="preserve">The demand estimator is </w:t>
      </w:r>
      <w:r>
        <w:rPr>
          <w:b/>
          <w:i w:val="0"/>
        </w:rPr>
        <w:t>empirical</w:t>
      </w:r>
      <w:r>
        <w:t>: a cross-pattern characterization (5 workload patterns × 3 quotas × 3 quota periods × multi-vCPU, 10 rounds each) is a v2 study; this paper commits only to empirical boundaries on the primary (saturated-heavy) workload family.</w:t>
      </w:r>
    </w:p>
    <w:p>
      <w:pPr>
        <w:pStyle w:val="ListBullet"/>
      </w:pPr>
      <w:r>
        <w:t>Calibration/pause ablations are re-measured in v2 as a four-policy fair comparison (naive / AUDIBLE-style / aware / time-aligned taligned; ×10 rounds, with an 800/1920 MB memory-gate A/B).</w:t>
      </w:r>
    </w:p>
    <w:p>
      <w:pPr>
        <w:pStyle w:val="ListBullet"/>
      </w:pPr>
      <w:r>
        <w:t>The CPU quota remains optional: providers without tiering needs can run "isolation + memory double gate + IO caps" alone.</w:t>
      </w:r>
    </w:p>
    <w:p>
      <w:pPr>
        <w:pStyle w:val="Heading1"/>
        <w:pageBreakBefore/>
      </w:pPr>
      <w:r>
        <w:t>6 Implementation and Testbed</w:t>
      </w:r>
    </w:p>
    <w:p>
      <w:pPr>
        <w:pStyle w:val="Heading2"/>
      </w:pPr>
      <w:r>
        <w:t>6.1 Testbed</w:t>
      </w:r>
    </w:p>
    <w:p>
      <w:r>
        <w:t>The testbed is a nested host isomorphic to small-provider production: Proxmox VE 8.4.21 (Debian 12 base) running inside a KVM guest (</w:t>
      </w:r>
      <w:r>
        <w:rPr>
          <w:rFonts w:ascii="Consolas" w:hAnsi="Consolas"/>
          <w:sz w:val="20"/>
        </w:rPr>
        <w:t>systemd-detect-virt = kvm</w:t>
      </w:r>
      <w:r>
        <w:t xml:space="preserve">; </w:t>
      </w:r>
      <w:r>
        <w:rPr>
          <w:rFonts w:ascii="Consolas" w:hAnsi="Consolas"/>
          <w:sz w:val="20"/>
        </w:rPr>
        <w:t>/dev/kvm</w:t>
      </w:r>
      <w:r>
        <w:t xml:space="preserve"> and </w:t>
      </w:r>
      <w:r>
        <w:rPr>
          <w:rFonts w:ascii="Consolas" w:hAnsi="Consolas"/>
          <w:sz w:val="20"/>
        </w:rPr>
        <w:t>vmx/svm</w:t>
      </w:r>
      <w:r>
        <w:t xml:space="preserve"> both available), reporting 4 vCPUs (AMD EPYC 9575F), 19.5 GiB of RAM, one 200 GB virtual disk (cgroup accounting device 8:0), and 1 GB of swap. Ballooning is disabled by default (the return-vs-no-compression tradeoff, Section 4.4.4). The host's idle baseline is 2–4% busy; all background noise is removed during experiments (a local monitoring agent and per-VM apt/man-db/fstrim timers are disabled).</w:t>
      </w:r>
    </w:p>
    <w:p>
      <w:r>
        <w:t>Load topology: 2 service VMs (HTTP/nginx, Redis; 1 vCPU / 1 GiB each), 1 probe VM, and 16 customer VMs (1 vCPU, 3072 MiB; some earlier experiments used 1024/5120 MiB, noted per section). All VMs are clones of one Debian 12 cloud template (cloud-init injects networking and keys); customer VMs carry no persistent agents.</w:t>
      </w:r>
    </w:p>
    <w:p>
      <w:pPr>
        <w:pStyle w:val="Heading2"/>
      </w:pPr>
      <w:r>
        <w:t>6.2 Toolchain (all scripts submitted with the paper)</w:t>
      </w:r>
    </w:p>
    <w:p>
      <w:r>
        <w:rPr>
          <w:b/>
          <w:i w:val="0"/>
        </w:rPr>
        <w:t>Table 8.</w:t>
      </w:r>
      <w:r>
        <w:t xml:space="preserve"> Experiment drivers and analysis scripts shipped with the paper</w:t>
      </w:r>
    </w:p>
    <w:tbl>
      <w:tblPr>
        <w:tblStyle w:val="TableGrid"/>
        <w:tblW w:type="auto" w:w="0"/>
        <w:tblLook w:firstColumn="1" w:firstRow="1" w:lastColumn="0" w:lastRow="0" w:noHBand="0" w:noVBand="1" w:val="04A0"/>
      </w:tblPr>
      <w:tblGrid>
        <w:gridCol w:w="4986"/>
        <w:gridCol w:w="4986"/>
      </w:tblGrid>
      <w:tr>
        <w:tc>
          <w:tcPr>
            <w:tcW w:type="dxa" w:w="4986"/>
          </w:tcPr>
          <w:p>
            <w:r>
              <w:rPr>
                <w:b/>
                <w:sz w:val="19"/>
              </w:rPr>
              <w:t>Script</w:t>
            </w:r>
          </w:p>
        </w:tc>
        <w:tc>
          <w:tcPr>
            <w:tcW w:type="dxa" w:w="4986"/>
          </w:tcPr>
          <w:p>
            <w:r>
              <w:rPr>
                <w:b/>
                <w:sz w:val="19"/>
              </w:rPr>
              <w:t>Purpose</w:t>
            </w:r>
          </w:p>
        </w:tc>
      </w:tr>
      <w:tr>
        <w:tc>
          <w:tcPr>
            <w:tcW w:type="dxa" w:w="4986"/>
          </w:tcPr>
          <w:p>
            <w:r>
              <w:rPr>
                <w:rFonts w:ascii="Consolas" w:hAnsi="Consolas"/>
                <w:sz w:val="19"/>
              </w:rPr>
              <w:t>tools/probe.py</w:t>
            </w:r>
          </w:p>
        </w:tc>
        <w:tc>
          <w:tcPr>
            <w:tcW w:type="dxa" w:w="4986"/>
          </w:tcPr>
          <w:p>
            <w:r>
              <w:rPr>
                <w:sz w:val="19"/>
              </w:rPr>
              <w:t>Open-loop fixed-rate probe: per-request planned/actual send times, connect and total latency, timeouts/errors; JSON summary + raw CSV</w:t>
            </w:r>
          </w:p>
        </w:tc>
      </w:tr>
      <w:tr>
        <w:tc>
          <w:tcPr>
            <w:tcW w:type="dxa" w:w="4986"/>
          </w:tcPr>
          <w:p>
            <w:r>
              <w:rPr>
                <w:rFonts w:ascii="Consolas" w:hAnsi="Consolas"/>
                <w:sz w:val="19"/>
              </w:rPr>
              <w:t>tools/burner.py</w:t>
            </w:r>
          </w:p>
        </w:tc>
        <w:tc>
          <w:tcPr>
            <w:tcW w:type="dxa" w:w="4986"/>
          </w:tcPr>
          <w:p>
            <w:r>
              <w:rPr>
                <w:sz w:val="19"/>
              </w:rPr>
              <w:t>Programmable tenant load: duty cycle / period / phase (random, wall-clock aligned); writes rate/state locally</w:t>
            </w:r>
          </w:p>
        </w:tc>
      </w:tr>
      <w:tr>
        <w:tc>
          <w:tcPr>
            <w:tcW w:type="dxa" w:w="4986"/>
          </w:tcPr>
          <w:p>
            <w:r>
              <w:rPr>
                <w:rFonts w:ascii="Consolas" w:hAnsi="Consolas"/>
                <w:sz w:val="19"/>
              </w:rPr>
              <w:t>tools/ballast.py</w:t>
            </w:r>
          </w:p>
        </w:tc>
        <w:tc>
          <w:tcPr>
            <w:tcW w:type="dxa" w:w="4986"/>
          </w:tcPr>
          <w:p>
            <w:r>
              <w:rPr>
                <w:sz w:val="19"/>
              </w:rPr>
              <w:t>Progressive memory allocation (step/interval/target), reports residency</w:t>
            </w:r>
          </w:p>
        </w:tc>
      </w:tr>
      <w:tr>
        <w:tc>
          <w:tcPr>
            <w:tcW w:type="dxa" w:w="4986"/>
          </w:tcPr>
          <w:p>
            <w:r>
              <w:rPr>
                <w:rFonts w:ascii="Consolas" w:hAnsi="Consolas"/>
                <w:sz w:val="19"/>
              </w:rPr>
              <w:t>tools/sweep.sh</w:t>
            </w:r>
          </w:p>
        </w:tc>
        <w:tc>
          <w:tcPr>
            <w:tcW w:type="dxa" w:w="4986"/>
          </w:tcPr>
          <w:p>
            <w:r>
              <w:rPr>
                <w:sz w:val="19"/>
              </w:rPr>
              <w:t>Neighbor sweep (0–5, randomized order, host busy + dual-service probes)</w:t>
            </w:r>
          </w:p>
        </w:tc>
      </w:tr>
      <w:tr>
        <w:tc>
          <w:tcPr>
            <w:tcW w:type="dxa" w:w="4986"/>
          </w:tcPr>
          <w:p>
            <w:r>
              <w:rPr>
                <w:rFonts w:ascii="Consolas" w:hAnsi="Consolas"/>
                <w:sz w:val="19"/>
              </w:rPr>
              <w:t>tools/analyze_curve.py</w:t>
            </w:r>
            <w:r>
              <w:rPr>
                <w:sz w:val="19"/>
              </w:rPr>
              <w:t xml:space="preserve"> / </w:t>
            </w:r>
            <w:r>
              <w:rPr>
                <w:rFonts w:ascii="Consolas" w:hAnsi="Consolas"/>
                <w:sz w:val="19"/>
              </w:rPr>
              <w:t>analyze_packing.py</w:t>
            </w:r>
            <w:r>
              <w:rPr>
                <w:sz w:val="19"/>
              </w:rPr>
              <w:t xml:space="preserve"> / </w:t>
            </w:r>
            <w:r>
              <w:rPr>
                <w:rFonts w:ascii="Consolas" w:hAnsi="Consolas"/>
                <w:sz w:val="19"/>
              </w:rPr>
              <w:t>analyze_admission.py</w:t>
            </w:r>
            <w:r>
              <w:rPr>
                <w:sz w:val="19"/>
              </w:rPr>
              <w:t xml:space="preserve"> / </w:t>
            </w:r>
            <w:r>
              <w:rPr>
                <w:rFonts w:ascii="Consolas" w:hAnsi="Consolas"/>
                <w:sz w:val="19"/>
              </w:rPr>
              <w:t>analyze_shaping.py</w:t>
            </w:r>
          </w:p>
        </w:tc>
        <w:tc>
          <w:tcPr>
            <w:tcW w:type="dxa" w:w="4986"/>
          </w:tcPr>
          <w:p>
            <w:r>
              <w:rPr>
                <w:sz w:val="19"/>
              </w:rPr>
              <w:t>Per-experiment summaries and timelines</w:t>
            </w:r>
          </w:p>
        </w:tc>
      </w:tr>
      <w:tr>
        <w:tc>
          <w:tcPr>
            <w:tcW w:type="dxa" w:w="4986"/>
          </w:tcPr>
          <w:p>
            <w:r>
              <w:rPr>
                <w:rFonts w:ascii="Consolas" w:hAnsi="Consolas"/>
                <w:sz w:val="19"/>
              </w:rPr>
              <w:t>tools/admission_pilot.py</w:t>
            </w:r>
          </w:p>
        </w:tc>
        <w:tc>
          <w:tcPr>
            <w:tcW w:type="dxa" w:w="4986"/>
          </w:tcPr>
          <w:p>
            <w:r>
              <w:rPr>
                <w:sz w:val="19"/>
              </w:rPr>
              <w:t>Admission closed loop (arrivals, decisions, execution, measured windows)</w:t>
            </w:r>
          </w:p>
        </w:tc>
      </w:tr>
      <w:tr>
        <w:tc>
          <w:tcPr>
            <w:tcW w:type="dxa" w:w="4986"/>
          </w:tcPr>
          <w:p>
            <w:r>
              <w:rPr>
                <w:rFonts w:ascii="Consolas" w:hAnsi="Consolas"/>
                <w:sz w:val="19"/>
              </w:rPr>
              <w:t>tools/shaping_pilot.py</w:t>
            </w:r>
            <w:r>
              <w:rPr>
                <w:sz w:val="19"/>
              </w:rPr>
              <w:t xml:space="preserve"> / </w:t>
            </w:r>
            <w:r>
              <w:rPr>
                <w:rFonts w:ascii="Consolas" w:hAnsi="Consolas"/>
                <w:sz w:val="19"/>
              </w:rPr>
              <w:t>shaping_host.py</w:t>
            </w:r>
          </w:p>
        </w:tc>
        <w:tc>
          <w:tcPr>
            <w:tcW w:type="dxa" w:w="4986"/>
          </w:tcPr>
          <w:p>
            <w:r>
              <w:rPr>
                <w:sz w:val="19"/>
              </w:rPr>
              <w:t>Shaping comparison (quota/pin/weight; host-side direct version for robustness under load)</w:t>
            </w:r>
          </w:p>
        </w:tc>
      </w:tr>
      <w:tr>
        <w:tc>
          <w:tcPr>
            <w:tcW w:type="dxa" w:w="4986"/>
          </w:tcPr>
          <w:p>
            <w:r>
              <w:rPr>
                <w:rFonts w:ascii="Consolas" w:hAnsi="Consolas"/>
                <w:sz w:val="19"/>
              </w:rPr>
              <w:t>tools/packing_host.py</w:t>
            </w:r>
          </w:p>
        </w:tc>
        <w:tc>
          <w:tcPr>
            <w:tcW w:type="dxa" w:w="4986"/>
          </w:tcPr>
          <w:p>
            <w:r>
              <w:rPr>
                <w:sz w:val="19"/>
              </w:rPr>
              <w:t>Mixed-group packing (class/phase combinations)</w:t>
            </w:r>
          </w:p>
        </w:tc>
      </w:tr>
      <w:tr>
        <w:tc>
          <w:tcPr>
            <w:tcW w:type="dxa" w:w="4986"/>
          </w:tcPr>
          <w:p>
            <w:r>
              <w:rPr>
                <w:rFonts w:ascii="Consolas" w:hAnsi="Consolas"/>
                <w:sz w:val="19"/>
              </w:rPr>
              <w:t>tools/mem_phase_host.py</w:t>
            </w:r>
          </w:p>
        </w:tc>
        <w:tc>
          <w:tcPr>
            <w:tcW w:type="dxa" w:w="4986"/>
          </w:tcPr>
          <w:p>
            <w:r>
              <w:rPr>
                <w:sz w:val="19"/>
              </w:rPr>
              <w:t>Memory ballast trials (wave growth, guards, double gate)</w:t>
            </w:r>
          </w:p>
        </w:tc>
      </w:tr>
      <w:tr>
        <w:tc>
          <w:tcPr>
            <w:tcW w:type="dxa" w:w="4986"/>
          </w:tcPr>
          <w:p>
            <w:r>
              <w:rPr>
                <w:rFonts w:ascii="Consolas" w:hAnsi="Consolas"/>
                <w:sz w:val="19"/>
              </w:rPr>
              <w:t>tools/disk_phase_host.py</w:t>
            </w:r>
          </w:p>
        </w:tc>
        <w:tc>
          <w:tcPr>
            <w:tcW w:type="dxa" w:w="4986"/>
          </w:tcPr>
          <w:p>
            <w:r>
              <w:rPr>
                <w:sz w:val="19"/>
              </w:rPr>
              <w:t>Disk storm (fio 4K random; io.max / io.weight)</w:t>
            </w:r>
          </w:p>
        </w:tc>
      </w:tr>
      <w:tr>
        <w:tc>
          <w:tcPr>
            <w:tcW w:type="dxa" w:w="4986"/>
          </w:tcPr>
          <w:p>
            <w:r>
              <w:rPr>
                <w:rFonts w:ascii="Consolas" w:hAnsi="Consolas"/>
                <w:sz w:val="19"/>
              </w:rPr>
              <w:t>tools/quota_pulse_host.py</w:t>
            </w:r>
          </w:p>
        </w:tc>
        <w:tc>
          <w:tcPr>
            <w:tcW w:type="dxa" w:w="4986"/>
          </w:tcPr>
          <w:p>
            <w:r>
              <w:rPr>
                <w:sz w:val="19"/>
              </w:rPr>
              <w:t>Quota-pulse remedies (period / staggering / weights)</w:t>
            </w:r>
          </w:p>
        </w:tc>
      </w:tr>
      <w:tr>
        <w:tc>
          <w:tcPr>
            <w:tcW w:type="dxa" w:w="4986"/>
          </w:tcPr>
          <w:p>
            <w:r>
              <w:rPr>
                <w:rFonts w:ascii="Consolas" w:hAnsi="Consolas"/>
                <w:sz w:val="19"/>
              </w:rPr>
              <w:t>tools/censor_phase_host.py</w:t>
            </w:r>
          </w:p>
        </w:tc>
        <w:tc>
          <w:tcPr>
            <w:tcW w:type="dxa" w:w="4986"/>
          </w:tcPr>
          <w:p>
            <w:r>
              <w:rPr>
                <w:sz w:val="19"/>
              </w:rPr>
              <w:t>Censoring experiment (quota/released phases; cpu.stat evidence)</w:t>
            </w:r>
          </w:p>
        </w:tc>
      </w:tr>
      <w:tr>
        <w:tc>
          <w:tcPr>
            <w:tcW w:type="dxa" w:w="4986"/>
          </w:tcPr>
          <w:p>
            <w:r>
              <w:rPr>
                <w:rFonts w:ascii="Consolas" w:hAnsi="Consolas"/>
                <w:sz w:val="19"/>
              </w:rPr>
              <w:t>tools/synthesis_host.py</w:t>
            </w:r>
          </w:p>
        </w:tc>
        <w:tc>
          <w:tcPr>
            <w:tcW w:type="dxa" w:w="4986"/>
          </w:tcPr>
          <w:p>
            <w:r>
              <w:rPr>
                <w:sz w:val="19"/>
              </w:rPr>
              <w:t>Triple-storm synthesis (full protection envelope)</w:t>
            </w:r>
          </w:p>
        </w:tc>
      </w:tr>
    </w:tbl>
    <w:p/>
    <w:p>
      <w:r>
        <w:t>All control-plane operations use cgroup v2 primitives (</w:t>
      </w:r>
      <w:r>
        <w:rPr>
          <w:rFonts w:ascii="Consolas" w:hAnsi="Consolas"/>
          <w:sz w:val="20"/>
        </w:rPr>
        <w:t>cpu.max</w:t>
      </w:r>
      <w:r>
        <w:t>/</w:t>
      </w:r>
      <w:r>
        <w:rPr>
          <w:rFonts w:ascii="Consolas" w:hAnsi="Consolas"/>
          <w:sz w:val="20"/>
        </w:rPr>
        <w:t>cpu.weight</w:t>
      </w:r>
      <w:r>
        <w:t xml:space="preserve">, </w:t>
      </w:r>
      <w:r>
        <w:rPr>
          <w:rFonts w:ascii="Consolas" w:hAnsi="Consolas"/>
          <w:sz w:val="20"/>
        </w:rPr>
        <w:t>memory.high</w:t>
      </w:r>
      <w:r>
        <w:t>/</w:t>
      </w:r>
      <w:r>
        <w:rPr>
          <w:rFonts w:ascii="Consolas" w:hAnsi="Consolas"/>
          <w:sz w:val="20"/>
        </w:rPr>
        <w:t>memory.swap.max</w:t>
      </w:r>
      <w:r>
        <w:t xml:space="preserve">, </w:t>
      </w:r>
      <w:r>
        <w:rPr>
          <w:rFonts w:ascii="Consolas" w:hAnsi="Consolas"/>
          <w:sz w:val="20"/>
        </w:rPr>
        <w:t>io.max</w:t>
      </w:r>
      <w:r>
        <w:t>/</w:t>
      </w:r>
      <w:r>
        <w:rPr>
          <w:rFonts w:ascii="Consolas" w:hAnsi="Consolas"/>
          <w:sz w:val="20"/>
        </w:rPr>
        <w:t>io.weight</w:t>
      </w:r>
      <w:r>
        <w:t xml:space="preserve"> on </w:t>
      </w:r>
      <w:r>
        <w:rPr>
          <w:rFonts w:ascii="Consolas" w:hAnsi="Consolas"/>
          <w:sz w:val="20"/>
        </w:rPr>
        <w:t>qemu.slice/&lt;vmid&gt;.scope</w:t>
      </w:r>
      <w:r>
        <w:t xml:space="preserve">); pinning applies </w:t>
      </w:r>
      <w:r>
        <w:rPr>
          <w:rFonts w:ascii="Consolas" w:hAnsi="Consolas"/>
          <w:sz w:val="20"/>
        </w:rPr>
        <w:t>taskset -apc</w:t>
      </w:r>
      <w:r>
        <w:t xml:space="preserve"> to all threads of the qemu process. Host busy/memory come from </w:t>
      </w:r>
      <w:r>
        <w:rPr>
          <w:rFonts w:ascii="Consolas" w:hAnsi="Consolas"/>
          <w:sz w:val="20"/>
        </w:rPr>
        <w:t>/proc/stat</w:t>
      </w:r>
      <w:r>
        <w:t xml:space="preserve"> and </w:t>
      </w:r>
      <w:r>
        <w:rPr>
          <w:rFonts w:ascii="Consolas" w:hAnsi="Consolas"/>
          <w:sz w:val="20"/>
        </w:rPr>
        <w:t>/proc/meminfo</w:t>
      </w:r>
      <w:r>
        <w:t xml:space="preserve">; per-VM service volume and throttle evidence come from each scope's </w:t>
      </w:r>
      <w:r>
        <w:rPr>
          <w:rFonts w:ascii="Consolas" w:hAnsi="Consolas"/>
          <w:sz w:val="20"/>
        </w:rPr>
        <w:t>cpu.stat</w:t>
      </w:r>
      <w:r>
        <w:t xml:space="preserve"> (</w:t>
      </w:r>
      <w:r>
        <w:rPr>
          <w:rFonts w:ascii="Consolas" w:hAnsi="Consolas"/>
          <w:sz w:val="20"/>
        </w:rPr>
        <w:t>usage_usec</w:t>
      </w:r>
      <w:r>
        <w:t xml:space="preserve">, </w:t>
      </w:r>
      <w:r>
        <w:rPr>
          <w:rFonts w:ascii="Consolas" w:hAnsi="Consolas"/>
          <w:sz w:val="20"/>
        </w:rPr>
        <w:t>nr_throttled</w:t>
      </w:r>
      <w:r>
        <w:t xml:space="preserve">, </w:t>
      </w:r>
      <w:r>
        <w:rPr>
          <w:rFonts w:ascii="Consolas" w:hAnsi="Consolas"/>
          <w:sz w:val="20"/>
        </w:rPr>
        <w:t>throttled_usec</w:t>
      </w:r>
      <w:r>
        <w:t>).</w:t>
      </w:r>
    </w:p>
    <w:p>
      <w:pPr>
        <w:pStyle w:val="Heading2"/>
      </w:pPr>
      <w:r>
        <w:t>6.3 Use of AI-Assisted Tools</w:t>
      </w:r>
    </w:p>
    <w:p>
      <w:r>
        <w:t>AI assistants were used for language editing, code review and manuscript organization during preparation. All experiment design and execution, data verification and scientific claims are the author's own; every reported number was checked against the archived raw logs (see Statements and Declarations).</w:t>
      </w:r>
    </w:p>
    <w:p>
      <w:pPr>
        <w:pStyle w:val="Heading2"/>
      </w:pPr>
      <w:r>
        <w:t>6.4 Read-Only Production Telemetry</w:t>
      </w:r>
    </w:p>
    <w:p>
      <w:r>
        <w:t>The two production hosts are monitored read-only and anonymously: PVE read-only interfaces (</w:t>
      </w:r>
      <w:r>
        <w:rPr>
          <w:rFonts w:ascii="Consolas" w:hAnsi="Consolas"/>
          <w:sz w:val="20"/>
        </w:rPr>
        <w:t>pvesh get /nodes</w:t>
      </w:r>
      <w:r>
        <w:t xml:space="preserve">, </w:t>
      </w:r>
      <w:r>
        <w:rPr>
          <w:rFonts w:ascii="Consolas" w:hAnsi="Consolas"/>
          <w:sz w:val="20"/>
        </w:rPr>
        <w:t>/nodes/{node}/status</w:t>
      </w:r>
      <w:r>
        <w:t xml:space="preserve">, </w:t>
      </w:r>
      <w:r>
        <w:rPr>
          <w:rFonts w:ascii="Consolas" w:hAnsi="Consolas"/>
          <w:sz w:val="20"/>
        </w:rPr>
        <w:t>/cluster/resources</w:t>
      </w:r>
      <w:r>
        <w:t xml:space="preserve">) plus </w:t>
      </w:r>
      <w:r>
        <w:rPr>
          <w:rFonts w:ascii="Consolas" w:hAnsi="Consolas"/>
          <w:sz w:val="20"/>
        </w:rPr>
        <w:t>/proc</w:t>
      </w:r>
      <w:r>
        <w:t xml:space="preserve"> provide CPU service volume, throttle counters, pressure signals, memory, and lifecycle events at 60-second granularity for a 7-day target. The remote collector HMAC-pseudonymizes VM/node IDs in memory; it never collects VM names, IPs, business content, or disk data; it installs nothing, changes no customer quota, and applies no stress. Credentials are used once for key exchange and discarded; keys live only on the researcher's workstation.</w:t>
      </w:r>
    </w:p>
    <w:p>
      <w:pPr>
        <w:pStyle w:val="Heading2"/>
      </w:pPr>
      <w:r>
        <w:t>6.5 Reproducibility</w:t>
      </w:r>
    </w:p>
    <w:p>
      <w:r>
        <w:t>Testbed scripts, all raw data (219 raw files, 34 JSONL logs, analysis scripts), and the experimental protocol are archived with the paper; the data dictionary (fields, units, semantics, quality flags) and an execution log (every environment change and anomaly) are included. All violation determinations use the pre-registered SLO and window definitions; rejected candidates are never started, and evaluation inputs retain their planned demand — there is no post-hoc selection of runs.</w:t>
      </w:r>
    </w:p>
    <w:p>
      <w:pPr>
        <w:pStyle w:val="Heading1"/>
        <w:pageBreakBefore/>
      </w:pPr>
      <w:r>
        <w:t>7 Evaluation</w:t>
      </w:r>
    </w:p>
    <w:p>
      <w:pPr>
        <w:ind w:left="454"/>
      </w:pPr>
      <w:r>
        <w:rPr>
          <w:i/>
        </w:rPr>
        <w:t>Three evaluation groups: (A) admission-policy comparison; (B) shaping and protection-envelope comparison; (C) combined-stress synthesis validation, followed by the production-telemetry usage and an explicit gap list. Common SLO: service P99 ≤ 10 ms.</w:t>
      </w:r>
    </w:p>
    <w:p>
      <w:pPr>
        <w:pStyle w:val="Heading2"/>
      </w:pPr>
      <w:r>
        <w:t>7.1 Setup Recap</w:t>
      </w:r>
    </w:p>
    <w:p>
      <w:r>
        <w:t>Testbed and metrics: Sections 3–4 and 7. Admission comparisons use a closed loop: five candidate tenants arrive one at a time, a policy decides allow/defer from evidence visible at that moment, and allowed candidates are actually started and measured. Shaping comparisons use the neighbor sweep (0–5 tenants) plus the full combined-stress. Every key conclusion replicates at least twice (knee: 5 rounds; censoring: 7 cycles; synthesis: 4 passes).</w:t>
      </w:r>
    </w:p>
    <w:p>
      <w:pPr>
        <w:pStyle w:val="Heading2"/>
      </w:pPr>
      <w:r>
        <w:t>7.2 Admission-Policy Comparison (companion to Figure 4)</w:t>
      </w:r>
    </w:p>
    <w:p>
      <w:r>
        <w:t>Four policies run over the same arrival sequence with the same evidence surface (two rounds in different orders):</w:t>
      </w:r>
    </w:p>
    <w:p>
      <w:r>
        <w:rPr>
          <w:b/>
          <w:i w:val="0"/>
        </w:rPr>
        <w:t>Table 9.</w:t>
      </w:r>
      <w:r>
        <w:t xml:space="preserve"> Two-round admission pilot: seats admitted and violation windows per policy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9"/>
              </w:rPr>
              <w:t>Policy</w:t>
            </w:r>
          </w:p>
        </w:tc>
        <w:tc>
          <w:tcPr>
            <w:tcW w:type="dxa" w:w="1994"/>
          </w:tcPr>
          <w:p>
            <w:r>
              <w:rPr>
                <w:b/>
                <w:sz w:val="19"/>
              </w:rPr>
              <w:t>Evidence</w:t>
            </w:r>
          </w:p>
        </w:tc>
        <w:tc>
          <w:tcPr>
            <w:tcW w:type="dxa" w:w="1994"/>
          </w:tcPr>
          <w:p>
            <w:r>
              <w:rPr>
                <w:b/>
                <w:sz w:val="19"/>
              </w:rPr>
              <w:t>Admitted (round A / B)</w:t>
            </w:r>
          </w:p>
        </w:tc>
        <w:tc>
          <w:tcPr>
            <w:tcW w:type="dxa" w:w="1994"/>
          </w:tcPr>
          <w:p>
            <w:r>
              <w:rPr>
                <w:b/>
                <w:sz w:val="19"/>
              </w:rPr>
              <w:t>Violation windows</w:t>
            </w:r>
          </w:p>
        </w:tc>
        <w:tc>
          <w:tcPr>
            <w:tcW w:type="dxa" w:w="1994"/>
          </w:tcPr>
          <w:p>
            <w:r>
              <w:rPr>
                <w:b/>
                <w:sz w:val="19"/>
              </w:rPr>
              <w:t>Worst P99 (HTTP/Redis)</w:t>
            </w:r>
          </w:p>
        </w:tc>
      </w:tr>
      <w:tr>
        <w:tc>
          <w:tcPr>
            <w:tcW w:type="dxa" w:w="1994"/>
          </w:tcPr>
          <w:p>
            <w:r>
              <w:rPr>
                <w:sz w:val="19"/>
              </w:rPr>
              <w:t>Fixed ratio (2.0×)</w:t>
            </w:r>
          </w:p>
        </w:tc>
        <w:tc>
          <w:tcPr>
            <w:tcW w:type="dxa" w:w="1994"/>
          </w:tcPr>
          <w:p>
            <w:r>
              <w:rPr>
                <w:sz w:val="19"/>
              </w:rPr>
              <w:t>Configuration only</w:t>
            </w:r>
          </w:p>
        </w:tc>
        <w:tc>
          <w:tcPr>
            <w:tcW w:type="dxa" w:w="1994"/>
          </w:tcPr>
          <w:p>
            <w:r>
              <w:rPr>
                <w:sz w:val="19"/>
              </w:rPr>
              <w:t>5 / 5</w:t>
            </w:r>
          </w:p>
        </w:tc>
        <w:tc>
          <w:tcPr>
            <w:tcW w:type="dxa" w:w="1994"/>
          </w:tcPr>
          <w:p>
            <w:r>
              <w:rPr>
                <w:sz w:val="19"/>
              </w:rPr>
              <w:t>4 / 4</w:t>
            </w:r>
          </w:p>
        </w:tc>
        <w:tc>
          <w:tcPr>
            <w:tcW w:type="dxa" w:w="1994"/>
          </w:tcPr>
          <w:p>
            <w:r>
              <w:rPr>
                <w:sz w:val="19"/>
              </w:rPr>
              <w:t>23.7 / 25.8</w:t>
            </w:r>
          </w:p>
        </w:tc>
      </w:tr>
      <w:tr>
        <w:tc>
          <w:tcPr>
            <w:tcW w:type="dxa" w:w="1994"/>
          </w:tcPr>
          <w:p>
            <w:r>
              <w:rPr>
                <w:sz w:val="19"/>
              </w:rPr>
              <w:t>Busy threshold (80%)</w:t>
            </w:r>
          </w:p>
        </w:tc>
        <w:tc>
          <w:tcPr>
            <w:tcW w:type="dxa" w:w="1994"/>
          </w:tcPr>
          <w:p>
            <w:r>
              <w:rPr>
                <w:sz w:val="19"/>
              </w:rPr>
              <w:t>Host busy fraction</w:t>
            </w:r>
          </w:p>
        </w:tc>
        <w:tc>
          <w:tcPr>
            <w:tcW w:type="dxa" w:w="1994"/>
          </w:tcPr>
          <w:p>
            <w:r>
              <w:rPr>
                <w:sz w:val="19"/>
              </w:rPr>
              <w:t>3 / 3</w:t>
            </w:r>
          </w:p>
        </w:tc>
        <w:tc>
          <w:tcPr>
            <w:tcW w:type="dxa" w:w="1994"/>
          </w:tcPr>
          <w:p>
            <w:r>
              <w:rPr>
                <w:sz w:val="19"/>
              </w:rPr>
              <w:t>0 / 0</w:t>
            </w:r>
          </w:p>
        </w:tc>
        <w:tc>
          <w:tcPr>
            <w:tcW w:type="dxa" w:w="1994"/>
          </w:tcPr>
          <w:p>
            <w:r>
              <w:rPr>
                <w:sz w:val="19"/>
              </w:rPr>
              <w:t>7.8 / 5.7</w:t>
            </w:r>
          </w:p>
        </w:tc>
      </w:tr>
      <w:tr>
        <w:tc>
          <w:tcPr>
            <w:tcW w:type="dxa" w:w="1994"/>
          </w:tcPr>
          <w:p>
            <w:r>
              <w:rPr>
                <w:sz w:val="19"/>
              </w:rPr>
              <w:t>Historical demand budget</w:t>
            </w:r>
          </w:p>
        </w:tc>
        <w:tc>
          <w:tcPr>
            <w:tcW w:type="dxa" w:w="1994"/>
          </w:tcPr>
          <w:p>
            <w:r>
              <w:rPr>
                <w:sz w:val="19"/>
              </w:rPr>
              <w:t>Per-VM usage quantile + budget</w:t>
            </w:r>
          </w:p>
        </w:tc>
        <w:tc>
          <w:tcPr>
            <w:tcW w:type="dxa" w:w="1994"/>
          </w:tcPr>
          <w:p>
            <w:r>
              <w:rPr>
                <w:sz w:val="19"/>
              </w:rPr>
              <w:t>3 / 3</w:t>
            </w:r>
          </w:p>
        </w:tc>
        <w:tc>
          <w:tcPr>
            <w:tcW w:type="dxa" w:w="1994"/>
          </w:tcPr>
          <w:p>
            <w:r>
              <w:rPr>
                <w:sz w:val="19"/>
              </w:rPr>
              <w:t>0 / 0</w:t>
            </w:r>
          </w:p>
        </w:tc>
        <w:tc>
          <w:tcPr>
            <w:tcW w:type="dxa" w:w="1994"/>
          </w:tcPr>
          <w:p>
            <w:r>
              <w:rPr>
                <w:sz w:val="19"/>
              </w:rPr>
              <w:t>6.1 / 4.8</w:t>
            </w:r>
          </w:p>
        </w:tc>
      </w:tr>
      <w:tr>
        <w:tc>
          <w:tcPr>
            <w:tcW w:type="dxa" w:w="1994"/>
          </w:tcPr>
          <w:p>
            <w:r>
              <w:rPr>
                <w:sz w:val="19"/>
              </w:rPr>
              <w:t>Calibrated + tail pause (candidate)</w:t>
            </w:r>
          </w:p>
        </w:tc>
        <w:tc>
          <w:tcPr>
            <w:tcW w:type="dxa" w:w="1994"/>
          </w:tcPr>
          <w:p>
            <w:r>
              <w:rPr>
                <w:sz w:val="19"/>
              </w:rPr>
              <w:t>Demand budget + single-window P999 pause</w:t>
            </w:r>
          </w:p>
        </w:tc>
        <w:tc>
          <w:tcPr>
            <w:tcW w:type="dxa" w:w="1994"/>
          </w:tcPr>
          <w:p>
            <w:r>
              <w:rPr>
                <w:sz w:val="19"/>
              </w:rPr>
              <w:t>3 / 2</w:t>
            </w:r>
          </w:p>
        </w:tc>
        <w:tc>
          <w:tcPr>
            <w:tcW w:type="dxa" w:w="1994"/>
          </w:tcPr>
          <w:p>
            <w:r>
              <w:rPr>
                <w:sz w:val="19"/>
              </w:rPr>
              <w:t>0 / 0</w:t>
            </w:r>
          </w:p>
        </w:tc>
        <w:tc>
          <w:tcPr>
            <w:tcW w:type="dxa" w:w="1994"/>
          </w:tcPr>
          <w:p>
            <w:r>
              <w:rPr>
                <w:sz w:val="19"/>
              </w:rPr>
              <w:t>4.3 / 3.3</w:t>
            </w:r>
          </w:p>
        </w:tc>
      </w:tr>
    </w:tbl>
    <w:p/>
    <w:p>
      <w:r>
        <w:rPr>
          <w:b/>
          <w:i w:val="0"/>
        </w:rPr>
        <w:t>Reading.</w:t>
      </w:r>
      <w:r>
        <w:t xml:space="preserve"> The fixed-ratio policy ignores all state and walks straight past the knee (Section 4), producing four violation windows — the cleanest counterexample. The three state-aware policies all stop at the knee (3 tenants) with zero violations, showing the knee is reachable from evidence. The candidate is more conservative but exposes an implementation flaw: single-window P999 (n ≈ 2 samples) is noisy, and round B was falsely paused by one 16.3 ms spike, giving up one safe tenant. </w:t>
      </w:r>
      <w:r>
        <w:rPr>
          <w:b/>
          <w:i w:val="0"/>
        </w:rPr>
        <w:t>This is direct evidence that pause mechanisms need smoothing/hysteresis/longer windows</w:t>
      </w:r>
      <w:r>
        <w:t xml:space="preserve"> (already on the improvement list). Fairness note: every policy used only decision-time-visible information; allowed/rejected candidates were actually started or withheld (no post-hoc cherry-picking).</w:t>
      </w:r>
    </w:p>
    <w:p>
      <w:pPr>
        <w:pStyle w:val="Heading2"/>
      </w:pPr>
      <w:r>
        <w:t>7.3 Censoring-Corrected Decisions (Direct Comparison of the Core Claim)</w:t>
      </w:r>
    </w:p>
    <w:p>
      <w:r>
        <w:t>The scenario of Section 4.3 becomes a decision comparison (7 cycles): the same state (5 tenants capped at 30%, true demand 5.0 cores) is handed to two estimators:</w:t>
      </w:r>
    </w:p>
    <w:p>
      <w:r>
        <w:rPr>
          <w:b/>
          <w:i w:val="0"/>
        </w:rPr>
        <w:t>Table 10.</w:t>
      </w:r>
      <w:r>
        <w:t xml:space="preserve"> Censoring-corrected decisions: evidence, action, outcome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Decision</w:t>
            </w:r>
          </w:p>
        </w:tc>
        <w:tc>
          <w:tcPr>
            <w:tcW w:type="dxa" w:w="2493"/>
          </w:tcPr>
          <w:p>
            <w:r>
              <w:rPr>
                <w:b/>
                <w:sz w:val="19"/>
              </w:rPr>
              <w:t>Evidence used</w:t>
            </w:r>
          </w:p>
        </w:tc>
        <w:tc>
          <w:tcPr>
            <w:tcW w:type="dxa" w:w="2493"/>
          </w:tcPr>
          <w:p>
            <w:r>
              <w:rPr>
                <w:b/>
                <w:sz w:val="19"/>
              </w:rPr>
              <w:t>Action</w:t>
            </w:r>
          </w:p>
        </w:tc>
        <w:tc>
          <w:tcPr>
            <w:tcW w:type="dxa" w:w="2493"/>
          </w:tcPr>
          <w:p>
            <w:r>
              <w:rPr>
                <w:b/>
                <w:sz w:val="19"/>
              </w:rPr>
              <w:t>Outcome</w:t>
            </w:r>
          </w:p>
        </w:tc>
      </w:tr>
      <w:tr>
        <w:tc>
          <w:tcPr>
            <w:tcW w:type="dxa" w:w="2493"/>
          </w:tcPr>
          <w:p>
            <w:r>
              <w:rPr>
                <w:sz w:val="19"/>
              </w:rPr>
              <w:t>Naive (trust usage)</w:t>
            </w:r>
          </w:p>
        </w:tc>
        <w:tc>
          <w:tcPr>
            <w:tcW w:type="dxa" w:w="2493"/>
          </w:tcPr>
          <w:p>
            <w:r>
              <w:rPr>
                <w:sz w:val="19"/>
              </w:rPr>
              <w:t>1.50 cores used, "2.5 cores spare"</w:t>
            </w:r>
          </w:p>
        </w:tc>
        <w:tc>
          <w:tcPr>
            <w:tcW w:type="dxa" w:w="2493"/>
          </w:tcPr>
          <w:p>
            <w:r>
              <w:rPr>
                <w:sz w:val="19"/>
              </w:rPr>
              <w:t>Release the caps (believed to be an optimization)</w:t>
            </w:r>
          </w:p>
        </w:tc>
        <w:tc>
          <w:tcPr>
            <w:tcW w:type="dxa" w:w="2493"/>
          </w:tcPr>
          <w:p>
            <w:r>
              <w:rPr>
                <w:sz w:val="19"/>
              </w:rPr>
              <w:t>P99 16.7–25.0 ms, 7/7 violating</w:t>
            </w:r>
          </w:p>
        </w:tc>
      </w:tr>
      <w:tr>
        <w:tc>
          <w:tcPr>
            <w:tcW w:type="dxa" w:w="2493"/>
          </w:tcPr>
          <w:p>
            <w:r>
              <w:rPr>
                <w:sz w:val="19"/>
              </w:rPr>
              <w:t>Censoring-aware</w:t>
            </w:r>
          </w:p>
        </w:tc>
        <w:tc>
          <w:tcPr>
            <w:tcW w:type="dxa" w:w="2493"/>
          </w:tcPr>
          <w:p>
            <w:r>
              <w:rPr>
                <w:sz w:val="19"/>
              </w:rPr>
              <w:t>Throttle evidence → ≥ 5.00 cores</w:t>
            </w:r>
          </w:p>
        </w:tc>
        <w:tc>
          <w:tcPr>
            <w:tcW w:type="dxa" w:w="2493"/>
          </w:tcPr>
          <w:p>
            <w:r>
              <w:rPr>
                <w:sz w:val="19"/>
              </w:rPr>
              <w:t>Refuse the release; report "no headroom, capacity action required"</w:t>
            </w:r>
          </w:p>
        </w:tc>
        <w:tc>
          <w:tcPr>
            <w:tcW w:type="dxa" w:w="2493"/>
          </w:tcPr>
          <w:p>
            <w:r>
              <w:rPr>
                <w:sz w:val="19"/>
              </w:rPr>
              <w:t>No new load introduced; quota state holds (P99 9–14 ms, near the SLO line)</w:t>
            </w:r>
          </w:p>
        </w:tc>
      </w:tr>
    </w:tbl>
    <w:p/>
    <w:p>
      <w:r>
        <w:rPr>
          <w:b/>
          <w:i w:val="0"/>
        </w:rPr>
        <w:t>Reading.</w:t>
      </w:r>
      <w:r>
        <w:t xml:space="preserve"> Both decisions consume the same data and differ only in estimation: naive takes censored usage as demand and hallucinates half the host as empty; aware pins the demand lower bound above the quota using throttle evidence. The former action pushes the host into instantaneous saturation (tenants at 27–32 M it/s, host at 100%); the latter avoids the self-inflicted wound and emits the correct capacity signal. We keep the detail that the quota state itself sits near the SLO line: </w:t>
      </w:r>
      <w:r>
        <w:rPr>
          <w:b/>
          <w:i w:val="0"/>
        </w:rPr>
        <w:t>this host is already at the overload boundary, and the upper action (migrate/upgrade) is out of scope here.</w:t>
      </w:r>
    </w:p>
    <w:p>
      <w:pPr>
        <w:pStyle w:val="Heading2"/>
      </w:pPr>
      <w:r>
        <w:t>7.3.1 Method Ablation and Cold Start (Preliminary, Figure 11)</w:t>
      </w:r>
    </w:p>
    <w:p>
      <w:pPr>
        <w:jc w:val="center"/>
      </w:pPr>
      <w:r>
        <w:drawing>
          <wp:inline xmlns:a="http://schemas.openxmlformats.org/drawingml/2006/main" xmlns:pic="http://schemas.openxmlformats.org/drawingml/2006/picture">
            <wp:extent cx="5760000" cy="1953391"/>
            <wp:docPr id="13" name="Picture 13"/>
            <wp:cNvGraphicFramePr>
              <a:graphicFrameLocks noChangeAspect="1"/>
            </wp:cNvGraphicFramePr>
            <a:graphic>
              <a:graphicData uri="http://schemas.openxmlformats.org/drawingml/2006/picture">
                <pic:pic>
                  <pic:nvPicPr>
                    <pic:cNvPr id="0" name="fig11_method.png"/>
                    <pic:cNvPicPr/>
                  </pic:nvPicPr>
                  <pic:blipFill>
                    <a:blip r:embed="rId22"/>
                    <a:stretch>
                      <a:fillRect/>
                    </a:stretch>
                  </pic:blipFill>
                  <pic:spPr>
                    <a:xfrm>
                      <a:off x="0" y="0"/>
                      <a:ext cx="5760000" cy="1953391"/>
                    </a:xfrm>
                    <a:prstGeom prst="rect"/>
                  </pic:spPr>
                </pic:pic>
              </a:graphicData>
            </a:graphic>
          </wp:inline>
        </w:drawing>
      </w:r>
    </w:p>
    <w:p>
      <w:pPr>
        <w:jc w:val="center"/>
      </w:pPr>
      <w:r>
        <w:rPr>
          <w:i/>
          <w:color w:val="333333"/>
          <w:sz w:val="19"/>
        </w:rPr>
        <w:t>Figure 11 Method evaluation: policy ablation and cold start</w:t>
      </w:r>
    </w:p>
    <w:p>
      <w:r>
        <w:rPr>
          <w:b/>
          <w:i w:val="0"/>
        </w:rPr>
        <w:t>Ablation (censoring scenario).</w:t>
      </w:r>
      <w:r>
        <w:t xml:space="preserve"> Six candidates arrive one at a time, each shaped with a 50% cap on admission; four estimators/decisions run the same sequence:</w:t>
      </w:r>
    </w:p>
    <w:p>
      <w:r>
        <w:rPr>
          <w:b/>
          <w:i w:val="0"/>
        </w:rPr>
        <w:t>Table 11.</w:t>
      </w:r>
      <w:r>
        <w:t xml:space="preserve"> Cold-start pilot: seats admitted out of 6 candidates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Policy</w:t>
            </w:r>
          </w:p>
        </w:tc>
        <w:tc>
          <w:tcPr>
            <w:tcW w:type="dxa" w:w="2493"/>
          </w:tcPr>
          <w:p>
            <w:r>
              <w:rPr>
                <w:b/>
                <w:sz w:val="19"/>
              </w:rPr>
              <w:t>Admitted (of 6)</w:t>
            </w:r>
          </w:p>
        </w:tc>
        <w:tc>
          <w:tcPr>
            <w:tcW w:type="dxa" w:w="2493"/>
          </w:tcPr>
          <w:p>
            <w:r>
              <w:rPr>
                <w:b/>
                <w:sz w:val="19"/>
              </w:rPr>
              <w:t>Violation windows</w:t>
            </w:r>
          </w:p>
        </w:tc>
        <w:tc>
          <w:tcPr>
            <w:tcW w:type="dxa" w:w="2493"/>
          </w:tcPr>
          <w:p>
            <w:r>
              <w:rPr>
                <w:b/>
                <w:sz w:val="19"/>
              </w:rPr>
              <w:t>Notes</w:t>
            </w:r>
          </w:p>
        </w:tc>
      </w:tr>
      <w:tr>
        <w:tc>
          <w:tcPr>
            <w:tcW w:type="dxa" w:w="2493"/>
          </w:tcPr>
          <w:p>
            <w:r>
              <w:rPr>
                <w:sz w:val="19"/>
              </w:rPr>
              <w:t>naive (usage)</w:t>
            </w:r>
          </w:p>
        </w:tc>
        <w:tc>
          <w:tcPr>
            <w:tcW w:type="dxa" w:w="2493"/>
          </w:tcPr>
          <w:p>
            <w:r>
              <w:rPr>
                <w:sz w:val="19"/>
              </w:rPr>
              <w:t>6</w:t>
            </w:r>
          </w:p>
        </w:tc>
        <w:tc>
          <w:tcPr>
            <w:tcW w:type="dxa" w:w="2493"/>
          </w:tcPr>
          <w:p>
            <w:r>
              <w:rPr>
                <w:sz w:val="19"/>
              </w:rPr>
              <w:t>3</w:t>
            </w:r>
          </w:p>
        </w:tc>
        <w:tc>
          <w:tcPr>
            <w:tcW w:type="dxa" w:w="2493"/>
          </w:tcPr>
          <w:p>
            <w:r>
              <w:rPr>
                <w:sz w:val="19"/>
              </w:rPr>
              <w:t>P99 17.8/15.6/20.7 ms from the 4th tenant</w:t>
            </w:r>
          </w:p>
        </w:tc>
      </w:tr>
      <w:tr>
        <w:tc>
          <w:tcPr>
            <w:tcW w:type="dxa" w:w="2493"/>
          </w:tcPr>
          <w:p>
            <w:r>
              <w:rPr>
                <w:sz w:val="19"/>
              </w:rPr>
              <w:t>AUDIBLE-style (MC convolution, uncorrected)</w:t>
            </w:r>
          </w:p>
        </w:tc>
        <w:tc>
          <w:tcPr>
            <w:tcW w:type="dxa" w:w="2493"/>
          </w:tcPr>
          <w:p>
            <w:r>
              <w:rPr>
                <w:sz w:val="19"/>
              </w:rPr>
              <w:t>6</w:t>
            </w:r>
          </w:p>
        </w:tc>
        <w:tc>
          <w:tcPr>
            <w:tcW w:type="dxa" w:w="2493"/>
          </w:tcPr>
          <w:p>
            <w:r>
              <w:rPr>
                <w:sz w:val="19"/>
              </w:rPr>
              <w:t>4</w:t>
            </w:r>
          </w:p>
        </w:tc>
        <w:tc>
          <w:tcPr>
            <w:tcW w:type="dxa" w:w="2493"/>
          </w:tcPr>
          <w:p>
            <w:r>
              <w:rPr>
                <w:sz w:val="19"/>
              </w:rPr>
              <w:t>likewise sees only the 50%-censored usage; 10.5 ms already at tenant 3</w:t>
            </w:r>
          </w:p>
        </w:tc>
      </w:tr>
      <w:tr>
        <w:tc>
          <w:tcPr>
            <w:tcW w:type="dxa" w:w="2493"/>
          </w:tcPr>
          <w:p>
            <w:r>
              <w:rPr>
                <w:sz w:val="19"/>
              </w:rPr>
              <w:t>aware (censoring-fixed)</w:t>
            </w:r>
          </w:p>
        </w:tc>
        <w:tc>
          <w:tcPr>
            <w:tcW w:type="dxa" w:w="2493"/>
          </w:tcPr>
          <w:p>
            <w:r>
              <w:rPr>
                <w:sz w:val="19"/>
              </w:rPr>
              <w:t>3</w:t>
            </w:r>
          </w:p>
        </w:tc>
        <w:tc>
          <w:tcPr>
            <w:tcW w:type="dxa" w:w="2493"/>
          </w:tcPr>
          <w:p>
            <w:r>
              <w:rPr>
                <w:sz w:val="19"/>
              </w:rPr>
              <w:t>0</w:t>
            </w:r>
          </w:p>
        </w:tc>
        <w:tc>
          <w:tcPr>
            <w:tcW w:type="dxa" w:w="2493"/>
          </w:tcPr>
          <w:p>
            <w:r>
              <w:rPr>
                <w:sz w:val="19"/>
              </w:rPr>
              <w:t>stops exactly at the knee (9.8 ms brushes the line)</w:t>
            </w:r>
          </w:p>
        </w:tc>
      </w:tr>
      <w:tr>
        <w:tc>
          <w:tcPr>
            <w:tcW w:type="dxa" w:w="2493"/>
          </w:tcPr>
          <w:p>
            <w:r>
              <w:rPr>
                <w:sz w:val="19"/>
              </w:rPr>
              <w:t>aware + calibration + tail pause</w:t>
            </w:r>
          </w:p>
        </w:tc>
        <w:tc>
          <w:tcPr>
            <w:tcW w:type="dxa" w:w="2493"/>
          </w:tcPr>
          <w:p>
            <w:r>
              <w:rPr>
                <w:sz w:val="19"/>
              </w:rPr>
              <w:t>1</w:t>
            </w:r>
          </w:p>
        </w:tc>
        <w:tc>
          <w:tcPr>
            <w:tcW w:type="dxa" w:w="2493"/>
          </w:tcPr>
          <w:p>
            <w:r>
              <w:rPr>
                <w:sz w:val="19"/>
              </w:rPr>
              <w:t>0</w:t>
            </w:r>
          </w:p>
        </w:tc>
        <w:tc>
          <w:tcPr>
            <w:tcW w:type="dxa" w:w="2493"/>
          </w:tcPr>
          <w:p>
            <w:r>
              <w:rPr>
                <w:sz w:val="19"/>
              </w:rPr>
              <w:t>a single window with P999 = 12.2 ms falsely paused it with no recovery — another instance of "pausing needs smoothing/hysteresis"</w:t>
            </w:r>
          </w:p>
        </w:tc>
      </w:tr>
    </w:tbl>
    <w:p/>
    <w:p>
      <w:r>
        <w:rPr>
          <w:b/>
          <w:i w:val="0"/>
        </w:rPr>
        <w:t>Cold start (no history).</w:t>
      </w:r>
      <w:r>
        <w:t xml:space="preserve"> Two arrival populations x three priors:</w:t>
      </w:r>
    </w:p>
    <w:p>
      <w:r>
        <w:rPr>
          <w:b/>
          <w:i w:val="0"/>
        </w:rPr>
        <w:t>Table 12.</w:t>
      </w:r>
      <w:r>
        <w:t xml:space="preserve"> Cold-start estimator: all-heavy vs all-light arrivals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Prior</w:t>
            </w:r>
          </w:p>
        </w:tc>
        <w:tc>
          <w:tcPr>
            <w:tcW w:type="dxa" w:w="3324"/>
          </w:tcPr>
          <w:p>
            <w:r>
              <w:rPr>
                <w:b/>
                <w:sz w:val="19"/>
              </w:rPr>
              <w:t>All-heavy arrivals</w:t>
            </w:r>
          </w:p>
        </w:tc>
        <w:tc>
          <w:tcPr>
            <w:tcW w:type="dxa" w:w="3324"/>
          </w:tcPr>
          <w:p>
            <w:r>
              <w:rPr>
                <w:b/>
                <w:sz w:val="19"/>
              </w:rPr>
              <w:t>All-light arrivals</w:t>
            </w:r>
          </w:p>
        </w:tc>
      </w:tr>
      <w:tr>
        <w:tc>
          <w:tcPr>
            <w:tcW w:type="dxa" w:w="3324"/>
          </w:tcPr>
          <w:p>
            <w:r>
              <w:rPr>
                <w:sz w:val="19"/>
              </w:rPr>
              <w:t>optimistic (0.2 core)</w:t>
            </w:r>
          </w:p>
        </w:tc>
        <w:tc>
          <w:tcPr>
            <w:tcW w:type="dxa" w:w="3324"/>
          </w:tcPr>
          <w:p>
            <w:r>
              <w:rPr>
                <w:sz w:val="19"/>
              </w:rPr>
              <w:t>6 admitted, 4 violation windows (11.7–17.2 ms)</w:t>
            </w:r>
          </w:p>
        </w:tc>
        <w:tc>
          <w:tcPr>
            <w:tcW w:type="dxa" w:w="3324"/>
          </w:tcPr>
          <w:p>
            <w:r>
              <w:rPr>
                <w:sz w:val="19"/>
              </w:rPr>
              <w:t>6 admitted, 0 violations (but a wrong bet breaks the SLO)</w:t>
            </w:r>
          </w:p>
        </w:tc>
      </w:tr>
      <w:tr>
        <w:tc>
          <w:tcPr>
            <w:tcW w:type="dxa" w:w="3324"/>
          </w:tcPr>
          <w:p>
            <w:r>
              <w:rPr>
                <w:sz w:val="19"/>
              </w:rPr>
              <w:t>conservative (charge configured 1.0 core)</w:t>
            </w:r>
          </w:p>
        </w:tc>
        <w:tc>
          <w:tcPr>
            <w:tcW w:type="dxa" w:w="3324"/>
          </w:tcPr>
          <w:p>
            <w:r>
              <w:rPr>
                <w:sz w:val="19"/>
              </w:rPr>
              <w:t>3 admitted, 1 violation window (at the line)</w:t>
            </w:r>
          </w:p>
        </w:tc>
        <w:tc>
          <w:tcPr>
            <w:tcW w:type="dxa" w:w="3324"/>
          </w:tcPr>
          <w:p>
            <w:r>
              <w:rPr>
                <w:sz w:val="19"/>
              </w:rPr>
              <w:t>only 3 admitted — 3 seats lost</w:t>
            </w:r>
          </w:p>
        </w:tc>
      </w:tr>
      <w:tr>
        <w:tc>
          <w:tcPr>
            <w:tcW w:type="dxa" w:w="3324"/>
          </w:tcPr>
          <w:p>
            <w:r>
              <w:rPr>
                <w:sz w:val="19"/>
              </w:rPr>
              <w:t>probe-and-relax (conservative first, relax after observation)</w:t>
            </w:r>
          </w:p>
        </w:tc>
        <w:tc>
          <w:tcPr>
            <w:tcW w:type="dxa" w:w="3324"/>
          </w:tcPr>
          <w:p>
            <w:r>
              <w:rPr>
                <w:sz w:val="19"/>
              </w:rPr>
              <w:t>3 admitted, 0 violations</w:t>
            </w:r>
          </w:p>
        </w:tc>
        <w:tc>
          <w:tcPr>
            <w:tcW w:type="dxa" w:w="3324"/>
          </w:tcPr>
          <w:p>
            <w:r>
              <w:rPr>
                <w:sz w:val="19"/>
              </w:rPr>
              <w:t>6 admitted, 0 violations — safe and full-seat</w:t>
            </w:r>
          </w:p>
        </w:tc>
      </w:tr>
    </w:tbl>
    <w:p/>
    <w:p>
      <w:r>
        <w:t>Reading: the optimistic prior is unsafe under heavy arrivals; a static conservative prior is safe but halves the seats; "probe first, relax on evidence" wins both sides. Together the two panels support the design principle of Section 5: priors are evidence-driven and must be cost-aware.</w:t>
      </w:r>
    </w:p>
    <w:p>
      <w:pPr>
        <w:pStyle w:val="Heading2"/>
      </w:pPr>
      <w:r>
        <w:t>7.3.2 Empirical Validation of the Censoring-Corrected Estimator (b2, Figure 12)</w:t>
      </w:r>
    </w:p>
    <w:p>
      <w:pPr>
        <w:jc w:val="center"/>
      </w:pPr>
      <w:r>
        <w:drawing>
          <wp:inline xmlns:a="http://schemas.openxmlformats.org/drawingml/2006/main" xmlns:pic="http://schemas.openxmlformats.org/drawingml/2006/picture">
            <wp:extent cx="5760000" cy="3190154"/>
            <wp:docPr id="14" name="Picture 14"/>
            <wp:cNvGraphicFramePr>
              <a:graphicFrameLocks noChangeAspect="1"/>
            </wp:cNvGraphicFramePr>
            <a:graphic>
              <a:graphicData uri="http://schemas.openxmlformats.org/drawingml/2006/picture">
                <pic:pic>
                  <pic:nvPicPr>
                    <pic:cNvPr id="0" name="fig12_bounds.png"/>
                    <pic:cNvPicPr/>
                  </pic:nvPicPr>
                  <pic:blipFill>
                    <a:blip r:embed="rId23"/>
                    <a:stretch>
                      <a:fillRect/>
                    </a:stretch>
                  </pic:blipFill>
                  <pic:spPr>
                    <a:xfrm>
                      <a:off x="0" y="0"/>
                      <a:ext cx="5760000" cy="3190154"/>
                    </a:xfrm>
                    <a:prstGeom prst="rect"/>
                  </pic:spPr>
                </pic:pic>
              </a:graphicData>
            </a:graphic>
          </wp:inline>
        </w:drawing>
      </w:r>
    </w:p>
    <w:p>
      <w:pPr>
        <w:jc w:val="center"/>
      </w:pPr>
      <w:r>
        <w:rPr>
          <w:i/>
          <w:color w:val="333333"/>
          <w:sz w:val="19"/>
        </w:rPr>
        <w:t>Figure 12 Demand-recovery validation (b2)</w:t>
      </w:r>
    </w:p>
    <w:p>
      <w:r>
        <w:t xml:space="preserve">Five pegged tenants are measured at quotas 20/40/60%: the estimate </w:t>
      </w:r>
      <m:oMath>
        <m:acc>
          <m:accPr>
            <m:chr m:val="0302"/>
          </m:accPr>
          <m:e>
            <m:r>
              <m:t xml:space="preserve"> </m:t>
            </m:r>
          </m:e>
        </m:acc>
        <m:r>
          <m:t xml:space="preserve">d</m:t>
        </m:r>
        <m:r>
          <m:t xml:space="preserve">=</m:t>
        </m:r>
        <m:r>
          <m:rPr>
            <m:nor/>
          </m:rPr>
          <m:t xml:space="preserve">min</m:t>
        </m:r>
        <m:r>
          <m:t xml:space="preserve">(1,</m:t>
        </m:r>
        <m:r>
          <m:t xml:space="preserve">u/(1-t))</m:t>
        </m:r>
      </m:oMath>
      <w:r>
        <w:t xml:space="preserve"> uses only observable counters (quota + throttled time fraction t); the ground truth is then measured by lifting one tenant's quota at a time (the rest stay capped) so five-way contention cannot pollute the reference:</w:t>
      </w:r>
    </w:p>
    <w:p>
      <w:r>
        <w:rPr>
          <w:b/>
          <w:i w:val="0"/>
        </w:rPr>
        <w:t>Table 13.</w:t>
      </w:r>
      <w:r>
        <w:t xml:space="preserve"> Estimator validation (b2): quota, throttled fraction, estimate vs truth, error</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9"/>
              </w:rPr>
              <w:t>quota</w:t>
            </w:r>
          </w:p>
        </w:tc>
        <w:tc>
          <w:tcPr>
            <w:tcW w:type="dxa" w:w="1994"/>
          </w:tcPr>
          <w:p>
            <w:r>
              <w:rPr>
                <w:b/>
                <w:sz w:val="19"/>
              </w:rPr>
              <w:t>mean t</w:t>
            </w:r>
          </w:p>
        </w:tc>
        <w:tc>
          <w:tcPr>
            <w:tcW w:type="dxa" w:w="1994"/>
          </w:tcPr>
          <w:p>
            <w:r>
              <w:rPr>
                <w:b/>
                <w:sz w:val="19"/>
              </w:rPr>
              <w:t>estimate</w:t>
            </w:r>
          </w:p>
        </w:tc>
        <w:tc>
          <w:tcPr>
            <w:tcW w:type="dxa" w:w="1994"/>
          </w:tcPr>
          <w:p>
            <w:r>
              <w:rPr>
                <w:b/>
                <w:sz w:val="19"/>
              </w:rPr>
              <w:t>truth</w:t>
            </w:r>
          </w:p>
        </w:tc>
        <w:tc>
          <w:tcPr>
            <w:tcW w:type="dxa" w:w="1994"/>
          </w:tcPr>
          <w:p>
            <w:r>
              <w:rPr>
                <w:b/>
                <w:sz w:val="19"/>
              </w:rPr>
              <w:t>error</w:t>
            </w:r>
          </w:p>
        </w:tc>
      </w:tr>
      <w:tr>
        <w:tc>
          <w:tcPr>
            <w:tcW w:type="dxa" w:w="1994"/>
          </w:tcPr>
          <w:p>
            <w:r>
              <w:rPr>
                <w:sz w:val="19"/>
              </w:rPr>
              <w:t>0.20</w:t>
            </w:r>
          </w:p>
        </w:tc>
        <w:tc>
          <w:tcPr>
            <w:tcW w:type="dxa" w:w="1994"/>
          </w:tcPr>
          <w:p>
            <w:r>
              <w:rPr>
                <w:sz w:val="19"/>
              </w:rPr>
              <w:t>0.80</w:t>
            </w:r>
          </w:p>
        </w:tc>
        <w:tc>
          <w:tcPr>
            <w:tcW w:type="dxa" w:w="1994"/>
          </w:tcPr>
          <w:p>
            <w:r>
              <w:rPr>
                <w:sz w:val="19"/>
              </w:rPr>
              <w:t>0.998</w:t>
            </w:r>
          </w:p>
        </w:tc>
        <w:tc>
          <w:tcPr>
            <w:tcW w:type="dxa" w:w="1994"/>
          </w:tcPr>
          <w:p>
            <w:r>
              <w:rPr>
                <w:sz w:val="19"/>
              </w:rPr>
              <w:t>0.989</w:t>
            </w:r>
          </w:p>
        </w:tc>
        <w:tc>
          <w:tcPr>
            <w:tcW w:type="dxa" w:w="1994"/>
          </w:tcPr>
          <w:p>
            <w:r>
              <w:rPr>
                <w:sz w:val="19"/>
              </w:rPr>
              <w:t>+0.9%</w:t>
            </w:r>
          </w:p>
        </w:tc>
      </w:tr>
      <w:tr>
        <w:tc>
          <w:tcPr>
            <w:tcW w:type="dxa" w:w="1994"/>
          </w:tcPr>
          <w:p>
            <w:r>
              <w:rPr>
                <w:sz w:val="19"/>
              </w:rPr>
              <w:t>0.40</w:t>
            </w:r>
          </w:p>
        </w:tc>
        <w:tc>
          <w:tcPr>
            <w:tcW w:type="dxa" w:w="1994"/>
          </w:tcPr>
          <w:p>
            <w:r>
              <w:rPr>
                <w:sz w:val="19"/>
              </w:rPr>
              <w:t>0.58</w:t>
            </w:r>
          </w:p>
        </w:tc>
        <w:tc>
          <w:tcPr>
            <w:tcW w:type="dxa" w:w="1994"/>
          </w:tcPr>
          <w:p>
            <w:r>
              <w:rPr>
                <w:sz w:val="19"/>
              </w:rPr>
              <w:t>0.955</w:t>
            </w:r>
          </w:p>
        </w:tc>
        <w:tc>
          <w:tcPr>
            <w:tcW w:type="dxa" w:w="1994"/>
          </w:tcPr>
          <w:p>
            <w:r>
              <w:rPr>
                <w:sz w:val="19"/>
              </w:rPr>
              <w:t>0.988</w:t>
            </w:r>
          </w:p>
        </w:tc>
        <w:tc>
          <w:tcPr>
            <w:tcW w:type="dxa" w:w="1994"/>
          </w:tcPr>
          <w:p>
            <w:r>
              <w:rPr>
                <w:sz w:val="19"/>
              </w:rPr>
              <w:t>−3.3%</w:t>
            </w:r>
          </w:p>
        </w:tc>
      </w:tr>
      <w:tr>
        <w:tc>
          <w:tcPr>
            <w:tcW w:type="dxa" w:w="1994"/>
          </w:tcPr>
          <w:p>
            <w:r>
              <w:rPr>
                <w:sz w:val="19"/>
              </w:rPr>
              <w:t>0.60</w:t>
            </w:r>
          </w:p>
        </w:tc>
        <w:tc>
          <w:tcPr>
            <w:tcW w:type="dxa" w:w="1994"/>
          </w:tcPr>
          <w:p>
            <w:r>
              <w:rPr>
                <w:sz w:val="19"/>
              </w:rPr>
              <w:t>0.32</w:t>
            </w:r>
          </w:p>
        </w:tc>
        <w:tc>
          <w:tcPr>
            <w:tcW w:type="dxa" w:w="1994"/>
          </w:tcPr>
          <w:p>
            <w:r>
              <w:rPr>
                <w:sz w:val="19"/>
              </w:rPr>
              <w:t>0.886</w:t>
            </w:r>
          </w:p>
        </w:tc>
        <w:tc>
          <w:tcPr>
            <w:tcW w:type="dxa" w:w="1994"/>
          </w:tcPr>
          <w:p>
            <w:r>
              <w:rPr>
                <w:sz w:val="19"/>
              </w:rPr>
              <w:t>0.971</w:t>
            </w:r>
          </w:p>
        </w:tc>
        <w:tc>
          <w:tcPr>
            <w:tcW w:type="dxa" w:w="1994"/>
          </w:tcPr>
          <w:p>
            <w:r>
              <w:rPr>
                <w:sz w:val="19"/>
              </w:rPr>
              <w:t>−8.6%</w:t>
            </w:r>
          </w:p>
        </w:tc>
      </w:tr>
    </w:tbl>
    <w:p/>
    <w:p>
      <w:r>
        <w:rPr>
          <w:b/>
          <w:i w:val="0"/>
        </w:rPr>
        <w:t>Reading (empirical boundaries).</w:t>
      </w:r>
      <w:r>
        <w:t xml:space="preserve"> This table validates the estimator on the </w:t>
      </w:r>
      <w:r>
        <w:rPr>
          <w:b/>
          <w:i w:val="0"/>
        </w:rPr>
        <w:t>saturated-demand</w:t>
      </w:r>
      <w:r>
        <w:t xml:space="preserve"> family: host-side counters (quota + throttle counters) recover the censored demand within 9%. This is </w:t>
      </w:r>
      <w:r>
        <w:rPr>
          <w:b/>
          <w:i w:val="0"/>
        </w:rPr>
        <w:t>not a general guarantee</w:t>
      </w:r>
      <w:r>
        <w:t xml:space="preserve">: the same counters over-estimate bursty demand (counterexample in the unit tests: true 0.3, quota 0.2 → estimate 1.0) and may under-estimate intermittent saturation; the "conservative direction" holds only on the saturated family. We therefore position it as an </w:t>
      </w:r>
      <w:r>
        <w:rPr>
          <w:b/>
          <w:i w:val="0"/>
        </w:rPr>
        <w:t>empirical censoring-corrected estimator</w:t>
      </w:r>
      <w:r>
        <w:t xml:space="preserve"> (assumptions and boundaries in Section 3.3), with a cross-pattern characterization (5 patterns × 3 quotas × 3 periods × multi-vCPU) as a v2 study; it is integrated into the design (Section 5.3).</w:t>
      </w:r>
    </w:p>
    <w:p>
      <w:pPr>
        <w:pStyle w:val="Heading2"/>
      </w:pPr>
      <w:r>
        <w:t>7.4 Shaping Comparison: Safe Packing Limit and Cost (Figure 6)</w:t>
      </w:r>
    </w:p>
    <w:p>
      <w:r>
        <w:t>Under the same knee protocol and service-SLO criterion:</w:t>
      </w:r>
    </w:p>
    <w:p>
      <w:r>
        <w:rPr>
          <w:b/>
          <w:i w:val="0"/>
        </w:rPr>
        <w:t>Table 14.</w:t>
      </w:r>
      <w:r>
        <w:t xml:space="preserve"> Shaping comparison: measured safe limit and customer cost per configuration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Shaping</w:t>
            </w:r>
          </w:p>
        </w:tc>
        <w:tc>
          <w:tcPr>
            <w:tcW w:type="dxa" w:w="2493"/>
          </w:tcPr>
          <w:p>
            <w:r>
              <w:rPr>
                <w:b/>
                <w:sz w:val="19"/>
              </w:rPr>
              <w:t>Safe limit (measured)</w:t>
            </w:r>
          </w:p>
        </w:tc>
        <w:tc>
          <w:tcPr>
            <w:tcW w:type="dxa" w:w="2493"/>
          </w:tcPr>
          <w:p>
            <w:r>
              <w:rPr>
                <w:b/>
                <w:sz w:val="19"/>
              </w:rPr>
              <w:t>4th tenant violates?</w:t>
            </w:r>
          </w:p>
        </w:tc>
        <w:tc>
          <w:tcPr>
            <w:tcW w:type="dxa" w:w="2493"/>
          </w:tcPr>
          <w:p>
            <w:r>
              <w:rPr>
                <w:b/>
                <w:sz w:val="19"/>
              </w:rPr>
              <w:t>Customer rate (of full speed)</w:t>
            </w:r>
          </w:p>
        </w:tc>
      </w:tr>
      <w:tr>
        <w:tc>
          <w:tcPr>
            <w:tcW w:type="dxa" w:w="2493"/>
          </w:tcPr>
          <w:p>
            <w:r>
              <w:rPr>
                <w:sz w:val="19"/>
              </w:rPr>
              <w:t>No controls</w:t>
            </w:r>
          </w:p>
        </w:tc>
        <w:tc>
          <w:tcPr>
            <w:tcW w:type="dxa" w:w="2493"/>
          </w:tcPr>
          <w:p>
            <w:r>
              <w:rPr>
                <w:sz w:val="19"/>
              </w:rPr>
              <w:t>3</w:t>
            </w:r>
          </w:p>
        </w:tc>
        <w:tc>
          <w:tcPr>
            <w:tcW w:type="dxa" w:w="2493"/>
          </w:tcPr>
          <w:p>
            <w:r>
              <w:rPr>
                <w:sz w:val="19"/>
              </w:rPr>
              <w:t>yes (22.7/20.7 ms)</w:t>
            </w:r>
          </w:p>
        </w:tc>
        <w:tc>
          <w:tcPr>
            <w:tcW w:type="dxa" w:w="2493"/>
          </w:tcPr>
          <w:p>
            <w:r>
              <w:rPr>
                <w:sz w:val="19"/>
              </w:rPr>
              <w:t>100%</w:t>
            </w:r>
          </w:p>
        </w:tc>
      </w:tr>
      <w:tr>
        <w:tc>
          <w:tcPr>
            <w:tcW w:type="dxa" w:w="2493"/>
          </w:tcPr>
          <w:p>
            <w:r>
              <w:rPr>
                <w:sz w:val="19"/>
              </w:rPr>
              <w:t>Quota 0.75 core</w:t>
            </w:r>
          </w:p>
        </w:tc>
        <w:tc>
          <w:tcPr>
            <w:tcW w:type="dxa" w:w="2493"/>
          </w:tcPr>
          <w:p>
            <w:r>
              <w:rPr>
                <w:sz w:val="19"/>
              </w:rPr>
              <w:t>3</w:t>
            </w:r>
          </w:p>
        </w:tc>
        <w:tc>
          <w:tcPr>
            <w:tcW w:type="dxa" w:w="2493"/>
          </w:tcPr>
          <w:p>
            <w:r>
              <w:rPr>
                <w:sz w:val="19"/>
              </w:rPr>
              <w:t>yes (14.0/11.2 ms)</w:t>
            </w:r>
          </w:p>
        </w:tc>
        <w:tc>
          <w:tcPr>
            <w:tcW w:type="dxa" w:w="2493"/>
          </w:tcPr>
          <w:p>
            <w:r>
              <w:rPr>
                <w:sz w:val="19"/>
              </w:rPr>
              <w:t>~72–78%</w:t>
            </w:r>
          </w:p>
        </w:tc>
      </w:tr>
      <w:tr>
        <w:tc>
          <w:tcPr>
            <w:tcW w:type="dxa" w:w="2493"/>
          </w:tcPr>
          <w:p>
            <w:r>
              <w:rPr>
                <w:sz w:val="19"/>
              </w:rPr>
              <w:t>Quota 0.50 core</w:t>
            </w:r>
          </w:p>
        </w:tc>
        <w:tc>
          <w:tcPr>
            <w:tcW w:type="dxa" w:w="2493"/>
          </w:tcPr>
          <w:p>
            <w:r>
              <w:rPr>
                <w:sz w:val="19"/>
              </w:rPr>
              <w:t>3</w:t>
            </w:r>
          </w:p>
        </w:tc>
        <w:tc>
          <w:tcPr>
            <w:tcW w:type="dxa" w:w="2493"/>
          </w:tcPr>
          <w:p>
            <w:r>
              <w:rPr>
                <w:sz w:val="19"/>
              </w:rPr>
              <w:t>yes (15.2/11.3 ms)</w:t>
            </w:r>
          </w:p>
        </w:tc>
        <w:tc>
          <w:tcPr>
            <w:tcW w:type="dxa" w:w="2493"/>
          </w:tcPr>
          <w:p>
            <w:r>
              <w:rPr>
                <w:sz w:val="19"/>
              </w:rPr>
              <w:t>~48–53%</w:t>
            </w:r>
          </w:p>
        </w:tc>
      </w:tr>
      <w:tr>
        <w:tc>
          <w:tcPr>
            <w:tcW w:type="dxa" w:w="2493"/>
          </w:tcPr>
          <w:p>
            <w:r>
              <w:rPr>
                <w:sz w:val="19"/>
              </w:rPr>
              <w:t>Core isolation</w:t>
            </w:r>
          </w:p>
        </w:tc>
        <w:tc>
          <w:tcPr>
            <w:tcW w:type="dxa" w:w="2493"/>
          </w:tcPr>
          <w:p>
            <w:r>
              <w:rPr>
                <w:sz w:val="19"/>
              </w:rPr>
              <w:t>≥5 (tested to 5)</w:t>
            </w:r>
          </w:p>
        </w:tc>
        <w:tc>
          <w:tcPr>
            <w:tcW w:type="dxa" w:w="2493"/>
          </w:tcPr>
          <w:p>
            <w:r>
              <w:rPr>
                <w:sz w:val="19"/>
              </w:rPr>
              <w:t>no violations 1–5 (P99 2.9–3.2 ms)</w:t>
            </w:r>
          </w:p>
        </w:tc>
        <w:tc>
          <w:tcPr>
            <w:tcW w:type="dxa" w:w="2493"/>
          </w:tcPr>
          <w:p>
            <w:r>
              <w:rPr>
                <w:sz w:val="19"/>
              </w:rPr>
              <w:t>shares remaining cores (~44% at five)</w:t>
            </w:r>
          </w:p>
        </w:tc>
      </w:tr>
    </w:tbl>
    <w:p/>
    <w:p>
      <w:r>
        <w:rPr>
          <w:b/>
          <w:i w:val="0"/>
        </w:rPr>
        <w:t>Reading.</w:t>
      </w:r>
      <w:r>
        <w:t xml:space="preserve"> Only isolation raises the safe limit (to ≥5); quotas change tenant speed, not the limit (Section 4.4.1). The cost relocation is visible: isolation moves the cost from "service SLO" to "economy-tier customers", while quotas satisfy neither side. The remaining defenses — memory double gate and IO caps — do not raise the CPU knee but stop their own storms from dragging the service under (they are necessary parts of the synthesis configuration).</w:t>
      </w:r>
    </w:p>
    <w:p>
      <w:pPr>
        <w:pStyle w:val="Heading2"/>
      </w:pPr>
      <w:r>
        <w:t>7.4.1 Online Admission Comparison (Figure 20)</w:t>
      </w:r>
    </w:p>
    <w:p>
      <w:pPr>
        <w:jc w:val="center"/>
      </w:pPr>
      <w:r>
        <w:drawing>
          <wp:inline xmlns:a="http://schemas.openxmlformats.org/drawingml/2006/main" xmlns:pic="http://schemas.openxmlformats.org/drawingml/2006/picture">
            <wp:extent cx="5760000" cy="2139429"/>
            <wp:docPr id="15" name="Picture 15"/>
            <wp:cNvGraphicFramePr>
              <a:graphicFrameLocks noChangeAspect="1"/>
            </wp:cNvGraphicFramePr>
            <a:graphic>
              <a:graphicData uri="http://schemas.openxmlformats.org/drawingml/2006/picture">
                <pic:pic>
                  <pic:nvPicPr>
                    <pic:cNvPr id="0" name="fig20_showdown.png"/>
                    <pic:cNvPicPr/>
                  </pic:nvPicPr>
                  <pic:blipFill>
                    <a:blip r:embed="rId24"/>
                    <a:stretch>
                      <a:fillRect/>
                    </a:stretch>
                  </pic:blipFill>
                  <pic:spPr>
                    <a:xfrm>
                      <a:off x="0" y="0"/>
                      <a:ext cx="5760000" cy="2139429"/>
                    </a:xfrm>
                    <a:prstGeom prst="rect"/>
                  </pic:spPr>
                </pic:pic>
              </a:graphicData>
            </a:graphic>
          </wp:inline>
        </w:drawing>
      </w:r>
    </w:p>
    <w:p>
      <w:pPr>
        <w:jc w:val="center"/>
      </w:pPr>
      <w:r>
        <w:rPr>
          <w:i/>
          <w:color w:val="333333"/>
          <w:sz w:val="19"/>
        </w:rPr>
        <w:t>Figure 20 Online admission comparison: policy stops vs measured capacity brackets (14 rounds)</w:t>
      </w:r>
    </w:p>
    <w:p>
      <w:r>
        <w:rPr>
          <w:b/>
          <w:i w:val="0"/>
        </w:rPr>
        <w:t>Protocol.</w:t>
      </w:r>
      <w:r>
        <w:t xml:space="preserve"> On the 8-core tenant pool, seven policies (</w:t>
      </w:r>
      <w:r>
        <w:rPr>
          <w:rFonts w:ascii="Consolas" w:hAnsi="Consolas"/>
          <w:sz w:val="20"/>
        </w:rPr>
        <w:t>worstcase</w:t>
      </w:r>
      <w:r>
        <w:t xml:space="preserve"> quota-conservative / </w:t>
      </w:r>
      <w:r>
        <w:rPr>
          <w:rFonts w:ascii="Consolas" w:hAnsi="Consolas"/>
          <w:sz w:val="20"/>
        </w:rPr>
        <w:t>fixed</w:t>
      </w:r>
      <w:r>
        <w:t xml:space="preserve"> 2x / </w:t>
      </w:r>
      <w:r>
        <w:rPr>
          <w:rFonts w:ascii="Consolas" w:hAnsi="Consolas"/>
          <w:sz w:val="20"/>
        </w:rPr>
        <w:t>util80</w:t>
      </w:r>
      <w:r>
        <w:t xml:space="preserve"> busy-80% / </w:t>
      </w:r>
      <w:r>
        <w:rPr>
          <w:rFonts w:ascii="Consolas" w:hAnsi="Consolas"/>
          <w:sz w:val="20"/>
        </w:rPr>
        <w:t>quantile</w:t>
      </w:r>
      <w:r>
        <w:t xml:space="preserve"> history-quantile / </w:t>
      </w:r>
      <w:r>
        <w:rPr>
          <w:rFonts w:ascii="Consolas" w:hAnsi="Consolas"/>
          <w:sz w:val="20"/>
        </w:rPr>
        <w:t>audible</w:t>
      </w:r>
      <w:r>
        <w:t xml:space="preserve">-style MC convolution / </w:t>
      </w:r>
      <w:r>
        <w:rPr>
          <w:rFonts w:ascii="Consolas" w:hAnsi="Consolas"/>
          <w:sz w:val="20"/>
        </w:rPr>
        <w:t>ours</w:t>
      </w:r>
      <w:r>
        <w:t xml:space="preserve"> phase-profile / </w:t>
      </w:r>
      <w:r>
        <w:rPr>
          <w:rFonts w:ascii="Consolas" w:hAnsi="Consolas"/>
          <w:sz w:val="20"/>
        </w:rPr>
        <w:t>ours_p</w:t>
      </w:r>
      <w:r>
        <w:t xml:space="preserve"> phase-profile + pause guardrail) x two phases (random / aligned), on an </w:t>
      </w:r>
      <w:r>
        <w:rPr>
          <w:b/>
          <w:i w:val="0"/>
        </w:rPr>
        <w:t>identical arrival stream</w:t>
      </w:r>
      <w:r>
        <w:t xml:space="preserve"> (+2 tenants per step, 25 s settle, 15 s dual-service probes) and </w:t>
      </w:r>
      <w:r>
        <w:rPr>
          <w:b/>
          <w:i w:val="0"/>
        </w:rPr>
        <w:t>identical available evidence</w:t>
      </w:r>
      <w:r>
        <w:t xml:space="preserve">; tenant duty 20%/60 s. The quality bar is the primary bar of Section 8.4 (service P99 &lt;= 10 ms AND customer P5 ≥ 70%); the capacity oracle is the measured bar-qualified capacity (random 28 / aligned 8; fine-scan brackets [28,32)/[8,10)). </w:t>
      </w:r>
      <w:r>
        <w:rPr>
          <w:b/>
          <w:i w:val="0"/>
        </w:rPr>
        <w:t>Metrics:</w:t>
      </w:r>
      <w:r>
        <w:t xml:space="preserve"> seats at stop, first violating step, </w:t>
      </w:r>
      <w:r>
        <w:rPr>
          <w:b/>
          <w:i w:val="0"/>
        </w:rPr>
        <w:t>safe VM-hours</w:t>
      </w:r>
      <w:r>
        <w:t xml:space="preserve"> (integral of n before the first violation), and the gap to the oracle.</w:t>
      </w:r>
    </w:p>
    <w:p>
      <w:r>
        <w:rPr>
          <w:b/>
          <w:i w:val="0"/>
        </w:rPr>
        <w:t>v1 preliminary (10 rounds, legacy sampling; labeled).</w:t>
      </w:r>
      <w:r>
        <w:t xml:space="preserve"> </w:t>
      </w:r>
      <w:r>
        <w:rPr>
          <w:rFonts w:ascii="Consolas" w:hAnsi="Consolas"/>
          <w:sz w:val="20"/>
        </w:rPr>
        <w:t>fixed</w:t>
      </w:r>
      <w:r>
        <w:t xml:space="preserve"> stops at 16, </w:t>
      </w:r>
      <w:r>
        <w:rPr>
          <w:rFonts w:ascii="Consolas" w:hAnsi="Consolas"/>
          <w:sz w:val="20"/>
        </w:rPr>
        <w:t>quantile</w:t>
      </w:r>
      <w:r>
        <w:t xml:space="preserve"> at 8, </w:t>
      </w:r>
      <w:r>
        <w:rPr>
          <w:rFonts w:ascii="Consolas" w:hAnsi="Consolas"/>
          <w:sz w:val="20"/>
        </w:rPr>
        <w:t>util80</w:t>
      </w:r>
      <w:r>
        <w:t xml:space="preserve"> never stops (runs to the 40 experiment cap; at the 50% floor bar slow customers appear from n = 30), </w:t>
      </w:r>
      <w:r>
        <w:rPr>
          <w:rFonts w:ascii="Consolas" w:hAnsi="Consolas"/>
          <w:sz w:val="20"/>
        </w:rPr>
        <w:t>audible</w:t>
      </w:r>
      <w:r>
        <w:t xml:space="preserve"> opens to 40 in the aligned phase (the independence assumption erases phase correlation — its known failure mode); the fixed </w:t>
      </w:r>
      <w:r>
        <w:rPr>
          <w:rFonts w:ascii="Consolas" w:hAnsi="Consolas"/>
          <w:sz w:val="20"/>
        </w:rPr>
        <w:t>ours</w:t>
      </w:r>
      <w:r>
        <w:t xml:space="preserve"> stops at </w:t>
      </w:r>
      <w:r>
        <w:rPr>
          <w:b/>
          <w:i w:val="0"/>
        </w:rPr>
        <w:t>8 in the aligned phase</w:t>
      </w:r>
      <w:r>
        <w:t xml:space="preserve"> (profile peak counts 0 → 2.0 → 4.0 → 6.0, refusing the 10th tenant at 8.4 &gt; 7.2). First four random-phase rounds used the legacy format (no per-customer rates).</w:t>
      </w:r>
    </w:p>
    <w:p>
      <w:r>
        <w:rPr>
          <w:b/>
          <w:i w:val="0"/>
        </w:rPr>
        <w:t>v2 complete: all 14 rounds (Figure 20).</w:t>
      </w:r>
      <w:r>
        <w:t xml:space="preserve"> Identical arrival streams, evidence and primary bar (service P99 &lt;= 10 ms AND customer P5 ≥ 70%). </w:t>
      </w:r>
      <w:r>
        <w:rPr>
          <w:b/>
          <w:i w:val="0"/>
        </w:rPr>
        <w:t>Scope:</w:t>
      </w:r>
      <w:r>
        <w:t xml:space="preserve"> 14 rounds = 7 policies x 2 phases (one round per cell; the show4/show5 repeat batches and the show6 arrival-order repeat are separate); "audible-style" is a simplified Monte-Carlo re-implementation of the independence-convolution core (</w:t>
      </w:r>
      <w:r>
        <w:rPr>
          <w:b/>
          <w:i w:val="0"/>
        </w:rPr>
        <w:t>not the full AUDIBLE system</w:t>
      </w:r>
      <w:r>
        <w:t>); its synchronized failure therefore indicts the independence assumption of that core, not the complete original method - a faithful re-implementation against the full system is future work.</w:t>
      </w:r>
    </w:p>
    <w:p>
      <w:r>
        <w:rPr>
          <w:b/>
          <w:i w:val="0"/>
        </w:rPr>
        <w:t>Table 15.</w:t>
      </w:r>
      <w:r>
        <w:t xml:space="preserve"> Online admission comparison: stops per policy and phase, with violation evidence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policy</w:t>
            </w:r>
          </w:p>
        </w:tc>
        <w:tc>
          <w:tcPr>
            <w:tcW w:type="dxa" w:w="2493"/>
          </w:tcPr>
          <w:p>
            <w:r>
              <w:rPr>
                <w:b/>
                <w:sz w:val="19"/>
              </w:rPr>
              <w:t>rand stop</w:t>
            </w:r>
          </w:p>
        </w:tc>
        <w:tc>
          <w:tcPr>
            <w:tcW w:type="dxa" w:w="2493"/>
          </w:tcPr>
          <w:p>
            <w:r>
              <w:rPr>
                <w:b/>
                <w:sz w:val="19"/>
              </w:rPr>
              <w:t>sync stop</w:t>
            </w:r>
          </w:p>
        </w:tc>
        <w:tc>
          <w:tcPr>
            <w:tcW w:type="dxa" w:w="2493"/>
          </w:tcPr>
          <w:p>
            <w:r>
              <w:rPr>
                <w:b/>
                <w:sz w:val="19"/>
              </w:rPr>
              <w:t>sync violation evidence</w:t>
            </w:r>
          </w:p>
        </w:tc>
      </w:tr>
      <w:tr>
        <w:tc>
          <w:tcPr>
            <w:tcW w:type="dxa" w:w="2493"/>
          </w:tcPr>
          <w:p>
            <w:r>
              <w:rPr>
                <w:sz w:val="19"/>
              </w:rPr>
              <w:t>worstcase</w:t>
            </w:r>
          </w:p>
        </w:tc>
        <w:tc>
          <w:tcPr>
            <w:tcW w:type="dxa" w:w="2493"/>
          </w:tcPr>
          <w:p>
            <w:r>
              <w:rPr>
                <w:sz w:val="19"/>
              </w:rPr>
              <w:t>8 OK</w:t>
            </w:r>
          </w:p>
        </w:tc>
        <w:tc>
          <w:tcPr>
            <w:tcW w:type="dxa" w:w="2493"/>
          </w:tcPr>
          <w:p>
            <w:r>
              <w:rPr>
                <w:sz w:val="19"/>
              </w:rPr>
              <w:t>8 OK (both bars: service + customer P5~99% at N=8)</w:t>
            </w:r>
          </w:p>
        </w:tc>
        <w:tc>
          <w:tcPr>
            <w:tcW w:type="dxa" w:w="2493"/>
          </w:tcPr>
          <w:p>
            <w:r>
              <w:rPr>
                <w:sz w:val="19"/>
              </w:rPr>
              <w:t>— (vCPU-ceiling only)</w:t>
            </w:r>
          </w:p>
        </w:tc>
      </w:tr>
      <w:tr>
        <w:tc>
          <w:tcPr>
            <w:tcW w:type="dxa" w:w="2493"/>
          </w:tcPr>
          <w:p>
            <w:r>
              <w:rPr>
                <w:sz w:val="19"/>
              </w:rPr>
              <w:t>quantile</w:t>
            </w:r>
          </w:p>
        </w:tc>
        <w:tc>
          <w:tcPr>
            <w:tcW w:type="dxa" w:w="2493"/>
          </w:tcPr>
          <w:p>
            <w:r>
              <w:rPr>
                <w:sz w:val="19"/>
              </w:rPr>
              <w:t>8 OK</w:t>
            </w:r>
          </w:p>
        </w:tc>
        <w:tc>
          <w:tcPr>
            <w:tcW w:type="dxa" w:w="2493"/>
          </w:tcPr>
          <w:p>
            <w:r>
              <w:rPr>
                <w:sz w:val="19"/>
              </w:rPr>
              <w:t>8 OK (both bars: same as above)</w:t>
            </w:r>
          </w:p>
        </w:tc>
        <w:tc>
          <w:tcPr>
            <w:tcW w:type="dxa" w:w="2493"/>
          </w:tcPr>
          <w:p>
            <w:r>
              <w:rPr>
                <w:sz w:val="19"/>
              </w:rPr>
              <w:t>—</w:t>
            </w:r>
          </w:p>
        </w:tc>
      </w:tr>
      <w:tr>
        <w:tc>
          <w:tcPr>
            <w:tcW w:type="dxa" w:w="2493"/>
          </w:tcPr>
          <w:p>
            <w:r>
              <w:rPr>
                <w:sz w:val="19"/>
              </w:rPr>
              <w:t>fixed 2x</w:t>
            </w:r>
          </w:p>
        </w:tc>
        <w:tc>
          <w:tcPr>
            <w:tcW w:type="dxa" w:w="2493"/>
          </w:tcPr>
          <w:p>
            <w:r>
              <w:rPr>
                <w:sz w:val="19"/>
              </w:rPr>
              <w:t>16 OK</w:t>
            </w:r>
          </w:p>
        </w:tc>
        <w:tc>
          <w:tcPr>
            <w:tcW w:type="dxa" w:w="2493"/>
          </w:tcPr>
          <w:p>
            <w:r>
              <w:rPr>
                <w:sz w:val="19"/>
              </w:rPr>
              <w:t>16 VIOL (service OK; customer P5=48.6% &lt; 70%)</w:t>
            </w:r>
          </w:p>
        </w:tc>
        <w:tc>
          <w:tcPr>
            <w:tcW w:type="dxa" w:w="2493"/>
          </w:tcPr>
          <w:p>
            <w:r>
              <w:rPr>
                <w:sz w:val="19"/>
              </w:rPr>
              <w:t>beyond fine-scan bracket [8,10); 4-round ladder P5=48.6% at N=16</w:t>
            </w:r>
          </w:p>
        </w:tc>
      </w:tr>
      <w:tr>
        <w:tc>
          <w:tcPr>
            <w:tcW w:type="dxa" w:w="2493"/>
          </w:tcPr>
          <w:p>
            <w:r>
              <w:rPr>
                <w:sz w:val="19"/>
              </w:rPr>
              <w:t>audible-style</w:t>
            </w:r>
          </w:p>
        </w:tc>
        <w:tc>
          <w:tcPr>
            <w:tcW w:type="dxa" w:w="2493"/>
          </w:tcPr>
          <w:p>
            <w:r>
              <w:rPr>
                <w:sz w:val="19"/>
              </w:rPr>
              <w:t>16 OK</w:t>
            </w:r>
          </w:p>
        </w:tc>
        <w:tc>
          <w:tcPr>
            <w:tcW w:type="dxa" w:w="2493"/>
          </w:tcPr>
          <w:p>
            <w:r>
              <w:rPr>
                <w:sz w:val="19"/>
              </w:rPr>
              <w:t>40 (cap) VIOL</w:t>
            </w:r>
          </w:p>
        </w:tc>
        <w:tc>
          <w:tcPr>
            <w:tcW w:type="dxa" w:w="2493"/>
          </w:tcPr>
          <w:p>
            <w:r>
              <w:rPr>
                <w:sz w:val="19"/>
              </w:rPr>
              <w:t>independence erases phase; P5=16% from n=18; show5 rerun: 8/8 active customers &lt;70% at 40</w:t>
            </w:r>
          </w:p>
        </w:tc>
      </w:tr>
      <w:tr>
        <w:tc>
          <w:tcPr>
            <w:tcW w:type="dxa" w:w="2493"/>
          </w:tcPr>
          <w:p>
            <w:r>
              <w:rPr>
                <w:sz w:val="19"/>
              </w:rPr>
              <w:t>ours (PPC)</w:t>
            </w:r>
          </w:p>
        </w:tc>
        <w:tc>
          <w:tcPr>
            <w:tcW w:type="dxa" w:w="2493"/>
          </w:tcPr>
          <w:p>
            <w:r>
              <w:rPr>
                <w:sz w:val="19"/>
              </w:rPr>
              <w:t>16 OK</w:t>
            </w:r>
          </w:p>
        </w:tc>
        <w:tc>
          <w:tcPr>
            <w:tcW w:type="dxa" w:w="2493"/>
          </w:tcPr>
          <w:p>
            <w:r>
              <w:rPr>
                <w:sz w:val="19"/>
              </w:rPr>
              <w:t>8 OK (both bars: customer P5~99%)</w:t>
            </w:r>
          </w:p>
        </w:tc>
        <w:tc>
          <w:tcPr>
            <w:tcW w:type="dxa" w:w="2493"/>
          </w:tcPr>
          <w:p>
            <w:r>
              <w:rPr>
                <w:sz w:val="19"/>
              </w:rPr>
              <w:t>stops inside the fine-scan bracket [8,10)</w:t>
            </w:r>
          </w:p>
        </w:tc>
      </w:tr>
      <w:tr>
        <w:tc>
          <w:tcPr>
            <w:tcW w:type="dxa" w:w="2493"/>
          </w:tcPr>
          <w:p>
            <w:r>
              <w:rPr>
                <w:sz w:val="19"/>
              </w:rPr>
              <w:t>ours_p</w:t>
            </w:r>
          </w:p>
        </w:tc>
        <w:tc>
          <w:tcPr>
            <w:tcW w:type="dxa" w:w="2493"/>
          </w:tcPr>
          <w:p>
            <w:r>
              <w:rPr>
                <w:sz w:val="19"/>
              </w:rPr>
              <w:t>20 OK</w:t>
            </w:r>
          </w:p>
        </w:tc>
        <w:tc>
          <w:tcPr>
            <w:tcW w:type="dxa" w:w="2493"/>
          </w:tcPr>
          <w:p>
            <w:r>
              <w:rPr>
                <w:sz w:val="19"/>
              </w:rPr>
              <w:t>8 OK (both bars: same as above)</w:t>
            </w:r>
          </w:p>
        </w:tc>
        <w:tc>
          <w:tcPr>
            <w:tcW w:type="dxa" w:w="2493"/>
          </w:tcPr>
          <w:p>
            <w:r>
              <w:rPr>
                <w:sz w:val="19"/>
              </w:rPr>
              <w:t>same</w:t>
            </w:r>
          </w:p>
        </w:tc>
      </w:tr>
      <w:tr>
        <w:tc>
          <w:tcPr>
            <w:tcW w:type="dxa" w:w="2493"/>
          </w:tcPr>
          <w:p>
            <w:r>
              <w:rPr>
                <w:sz w:val="19"/>
              </w:rPr>
              <w:t>util80</w:t>
            </w:r>
          </w:p>
        </w:tc>
        <w:tc>
          <w:tcPr>
            <w:tcW w:type="dxa" w:w="2493"/>
          </w:tcPr>
          <w:p>
            <w:r>
              <w:rPr>
                <w:sz w:val="19"/>
              </w:rPr>
              <w:t>28 OK (P5=78%)</w:t>
            </w:r>
          </w:p>
        </w:tc>
        <w:tc>
          <w:tcPr>
            <w:tcW w:type="dxa" w:w="2493"/>
          </w:tcPr>
          <w:p>
            <w:r>
              <w:rPr>
                <w:sz w:val="19"/>
              </w:rPr>
              <w:t>40 (cap) VIOL</w:t>
            </w:r>
          </w:p>
        </w:tc>
        <w:tc>
          <w:tcPr>
            <w:tcW w:type="dxa" w:w="2493"/>
          </w:tcPr>
          <w:p>
            <w:r>
              <w:rPr>
                <w:sz w:val="19"/>
              </w:rPr>
              <w:t>P5=16% from n=18; show5 rerun: 8/8 active customers &lt;70% at 40</w:t>
            </w:r>
          </w:p>
        </w:tc>
      </w:tr>
    </w:tbl>
    <w:p/>
    <w:p>
      <w:r>
        <w:rPr>
          <w:b/>
          <w:i w:val="0"/>
        </w:rPr>
        <w:t>Implementation scope.</w:t>
      </w:r>
      <w:r>
        <w:t xml:space="preserve"> The </w:t>
      </w:r>
      <w:r>
        <w:rPr>
          <w:rFonts w:ascii="Consolas" w:hAnsi="Consolas"/>
          <w:sz w:val="20"/>
        </w:rPr>
        <w:t>ours</w:t>
      </w:r>
      <w:r>
        <w:t xml:space="preserve"> policy in this table implements the </w:t>
      </w:r>
      <w:r>
        <w:rPr>
          <w:b/>
          <w:i w:val="0"/>
        </w:rPr>
        <w:t>phase-resolution gate</w:t>
      </w:r>
      <w:r>
        <w:t xml:space="preserve"> of Algorithm A (one-second history -&gt; 60 phase buckets, peak counting, fixed 10% margin, plus the </w:t>
      </w:r>
      <w:r>
        <w:rPr>
          <w:rFonts w:ascii="Consolas" w:hAnsi="Consolas"/>
          <w:sz w:val="20"/>
        </w:rPr>
        <w:t>ours_p</w:t>
      </w:r>
      <w:r>
        <w:t xml:space="preserve"> customer-P5 pause). The full Algorithm A chain (</w:t>
      </w:r>
      <w:r>
        <w:rPr>
          <w:b/>
          <w:i w:val="0"/>
        </w:rPr>
        <w:t>censoring-aware demand correction + background-residual Q95 reserve + dual service/customer pause guards</w:t>
      </w:r>
      <w:r>
        <w:t xml:space="preserve">) is implemented as </w:t>
      </w:r>
      <w:r>
        <w:rPr>
          <w:rFonts w:ascii="Consolas" w:hAnsi="Consolas"/>
          <w:sz w:val="20"/>
        </w:rPr>
        <w:t>ours_full</w:t>
      </w:r>
      <w:r>
        <w:t xml:space="preserve"> (</w:t>
      </w:r>
      <w:r>
        <w:rPr>
          <w:rFonts w:ascii="Consolas" w:hAnsi="Consolas"/>
          <w:sz w:val="20"/>
        </w:rPr>
        <w:t>tb_admit.py</w:t>
      </w:r>
      <w:r>
        <w:t>); the table's conclusions correspond to the gate; the full-chain end-to-end run and the component ablations are reported in Section 7.4.2.</w:t>
      </w:r>
    </w:p>
    <w:p>
      <w:r>
        <w:rPr>
          <w:b/>
          <w:i w:val="0"/>
        </w:rPr>
        <w:t>Observation-axis attribution (measured counterparts of Section 3.6):</w:t>
      </w:r>
    </w:p>
    <w:p>
      <w:r>
        <w:rPr>
          <w:b/>
          <w:i w:val="0"/>
        </w:rPr>
        <w:t>Table 16.</w:t>
      </w:r>
      <w:r>
        <w:t xml:space="preserve"> Observation-axis attribution: missing capability vs measured failure per policy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Policy</w:t>
            </w:r>
          </w:p>
        </w:tc>
        <w:tc>
          <w:tcPr>
            <w:tcW w:type="dxa" w:w="3324"/>
          </w:tcPr>
          <w:p>
            <w:r>
              <w:rPr>
                <w:b/>
                <w:sz w:val="19"/>
              </w:rPr>
              <w:t>Missing capability</w:t>
            </w:r>
          </w:p>
        </w:tc>
        <w:tc>
          <w:tcPr>
            <w:tcW w:type="dxa" w:w="3324"/>
          </w:tcPr>
          <w:p>
            <w:r>
              <w:rPr>
                <w:b/>
                <w:sz w:val="19"/>
              </w:rPr>
              <w:t>Measured failure</w:t>
            </w:r>
          </w:p>
        </w:tc>
      </w:tr>
      <w:tr>
        <w:tc>
          <w:tcPr>
            <w:tcW w:type="dxa" w:w="3324"/>
          </w:tcPr>
          <w:p>
            <w:r>
              <w:rPr>
                <w:sz w:val="19"/>
              </w:rPr>
              <w:t>naive / quota-scaling (7.3)</w:t>
            </w:r>
          </w:p>
        </w:tc>
        <w:tc>
          <w:tcPr>
            <w:tcW w:type="dxa" w:w="3324"/>
          </w:tcPr>
          <w:p>
            <w:r>
              <w:rPr>
                <w:sz w:val="19"/>
              </w:rPr>
              <w:t>(1) censoring identification</w:t>
            </w:r>
          </w:p>
        </w:tc>
        <w:tc>
          <w:tcPr>
            <w:tcW w:type="dxa" w:w="3324"/>
          </w:tcPr>
          <w:p>
            <w:r>
              <w:rPr>
                <w:sz w:val="19"/>
              </w:rPr>
              <w:t>90/90 release violations; 2–3x underestimate</w:t>
            </w:r>
          </w:p>
        </w:tc>
      </w:tr>
      <w:tr>
        <w:tc>
          <w:tcPr>
            <w:tcW w:type="dxa" w:w="3324"/>
          </w:tcPr>
          <w:p>
            <w:r>
              <w:rPr>
                <w:sz w:val="19"/>
              </w:rPr>
              <w:t>audible-style</w:t>
            </w:r>
          </w:p>
        </w:tc>
        <w:tc>
          <w:tcPr>
            <w:tcW w:type="dxa" w:w="3324"/>
          </w:tcPr>
          <w:p>
            <w:r>
              <w:rPr>
                <w:sz w:val="19"/>
              </w:rPr>
              <w:t>(2) phase resolution (iid convolution)</w:t>
            </w:r>
          </w:p>
        </w:tc>
        <w:tc>
          <w:tcPr>
            <w:tcW w:type="dxa" w:w="3324"/>
          </w:tcPr>
          <w:p>
            <w:r>
              <w:rPr>
                <w:sz w:val="19"/>
              </w:rPr>
              <w:t>sells 40 in sync (P5 = 16%)</w:t>
            </w:r>
          </w:p>
        </w:tc>
      </w:tr>
      <w:tr>
        <w:tc>
          <w:tcPr>
            <w:tcW w:type="dxa" w:w="3324"/>
          </w:tcPr>
          <w:p>
            <w:r>
              <w:rPr>
                <w:sz w:val="19"/>
              </w:rPr>
              <w:t>util80</w:t>
            </w:r>
          </w:p>
        </w:tc>
        <w:tc>
          <w:tcPr>
            <w:tcW w:type="dxa" w:w="3324"/>
          </w:tcPr>
          <w:p>
            <w:r>
              <w:rPr>
                <w:sz w:val="19"/>
              </w:rPr>
              <w:t>(3) time resolution (single-point busy)</w:t>
            </w:r>
          </w:p>
        </w:tc>
        <w:tc>
          <w:tcPr>
            <w:tcW w:type="dxa" w:w="3324"/>
          </w:tcPr>
          <w:p>
            <w:r>
              <w:rPr>
                <w:sz w:val="19"/>
              </w:rPr>
              <w:t>28 vs 40 stop drift across identical runs; sells 40 in sync</w:t>
            </w:r>
          </w:p>
        </w:tc>
      </w:tr>
      <w:tr>
        <w:tc>
          <w:tcPr>
            <w:tcW w:type="dxa" w:w="3324"/>
          </w:tcPr>
          <w:p>
            <w:r>
              <w:rPr>
                <w:sz w:val="19"/>
              </w:rPr>
              <w:t>worstcase</w:t>
            </w:r>
          </w:p>
        </w:tc>
        <w:tc>
          <w:tcPr>
            <w:tcW w:type="dxa" w:w="3324"/>
          </w:tcPr>
          <w:p>
            <w:r>
              <w:rPr>
                <w:sz w:val="19"/>
              </w:rPr>
              <w:t>(1)(2)(3), all-conservative</w:t>
            </w:r>
          </w:p>
        </w:tc>
        <w:tc>
          <w:tcPr>
            <w:tcW w:type="dxa" w:w="3324"/>
          </w:tcPr>
          <w:p>
            <w:r>
              <w:rPr>
                <w:sz w:val="19"/>
              </w:rPr>
              <w:t>always 8 (wastes 2–3x in rand)</w:t>
            </w:r>
          </w:p>
        </w:tc>
      </w:tr>
      <w:tr>
        <w:tc>
          <w:tcPr>
            <w:tcW w:type="dxa" w:w="3324"/>
          </w:tcPr>
          <w:p>
            <w:r>
              <w:rPr>
                <w:sz w:val="19"/>
              </w:rPr>
              <w:t>ours / ours_p</w:t>
            </w:r>
          </w:p>
        </w:tc>
        <w:tc>
          <w:tcPr>
            <w:tcW w:type="dxa" w:w="3324"/>
          </w:tcPr>
          <w:p>
            <w:r>
              <w:rPr>
                <w:sz w:val="19"/>
              </w:rPr>
              <w:t>none (all three)</w:t>
            </w:r>
          </w:p>
        </w:tc>
        <w:tc>
          <w:tcPr>
            <w:tcW w:type="dxa" w:w="3324"/>
          </w:tcPr>
          <w:p>
            <w:r>
              <w:rPr>
                <w:sz w:val="19"/>
              </w:rPr>
              <w:t>the only policies safe on both bars with rand 16-20 and aligned 8 (customer P5 ≈ 99% at N=8)</w:t>
            </w:r>
          </w:p>
        </w:tc>
      </w:tr>
    </w:tbl>
    <w:p/>
    <w:p>
      <w:r>
        <w:rPr>
          <w:b/>
          <w:i w:val="0"/>
        </w:rPr>
        <w:t>Three conclusions.</w:t>
      </w:r>
      <w:r>
        <w:t xml:space="preserve"> (i) the phase-aware controller is the only one combining the aligned-phase 8-seat bracket with competitive random-phase capacity (16–20; worstcase/quantile stop at 8 in </w:t>
      </w:r>
      <w:r>
        <w:rPr>
          <w:b w:val="0"/>
          <w:i/>
        </w:rPr>
        <w:t>both</w:t>
      </w:r>
      <w:r>
        <w:t xml:space="preserve"> phases, fixed at 16 in both; the fine scan pins the aligned boundary at [8,10): 10 seats give customer P5=62.2%, first fail); (ii) utilization-based criteria are quantified as phase-dependent: util80 sells 28 (safe) under random and 40 (customer P5 collapses to 16%) under aligned — same policy, same hardware, opposite risk; audible-style collapses likewise; (iii) fixed and worstcase/ quantile verify the other two corners. Safe VM-hours and round-level intervals from the show4/show5 repeats are reported above where available.</w:t>
      </w:r>
    </w:p>
    <w:p>
      <w:r>
        <w:rPr>
          <w:b/>
          <w:i w:val="0"/>
        </w:rPr>
        <w:t>Sampling caveat:</w:t>
      </w:r>
      <w:r>
        <w:t xml:space="preserve"> the earlier sync rounds have a probe-before-rates ordering defect that pushed rate sampling out of the burst window (audible/util80 happen to have valid violation evidence via phase drift; fixed etc. lack the p5 column); the corrected seven-round rerun (show5) was completed and the sync customer columns are reported via the four-round ladder.</w:t>
      </w:r>
    </w:p>
    <w:p>
      <w:pPr>
        <w:pStyle w:val="Heading2"/>
      </w:pPr>
      <w:r>
        <w:t>7.4.2 Repeat, Ablation, and Sensitivity Checks (show6-show12)</w:t>
      </w:r>
    </w:p>
    <w:p>
      <w:r>
        <w:rPr>
          <w:b/>
          <w:i w:val="0"/>
        </w:rPr>
        <w:t>Arrival-order repeat (show6 seed 42 + show12 seeds 101/202; 24 runs).</w:t>
      </w:r>
      <w:r>
        <w:t xml:space="preserve"> show6 re-ran all seven policies under a second order and reproduced the aligned-phase stop column exactly (audible-style 32, first violation 34; fixed 16; ours 8; ours_p 8; quantile 8; util80 32, first violation 34; worstcase 8), with random-phase stops in a narrow band (ours 18 vs 16; ours_p 20; audible-style 16; util80 32 vs 28; worstcase 8). show12 then re-ran the core three policies under two further orders: </w:t>
      </w:r>
      <w:r>
        <w:rPr>
          <w:b/>
          <w:i w:val="0"/>
        </w:rPr>
        <w:t>worstcase/ours/ours_p stop at 8 in the aligned phase in every order</w:t>
      </w:r>
      <w:r>
        <w:t>, while random-phase stops vary within a band rather than a point - ours 16/18/18/24 and ours_p 20/20/18/14 across the four orders, worstcase exactly 8 in all of them. The band (~+/-25%) is the honest uncertainty of the random-phase operating point under arrival-order variation; the aligned safety stop is order-invariant.</w:t>
      </w:r>
    </w:p>
    <w:p>
      <w:r>
        <w:rPr>
          <w:b/>
          <w:i w:val="0"/>
        </w:rPr>
        <w:t>Full-chain end-to-end (show7).</w:t>
      </w:r>
      <w:r>
        <w:t xml:space="preserve"> The complete Algorithm A chain (</w:t>
      </w:r>
      <w:r>
        <w:rPr>
          <w:rFonts w:ascii="Consolas" w:hAnsi="Consolas"/>
          <w:sz w:val="20"/>
        </w:rPr>
        <w:t>ours_full</w:t>
      </w:r>
      <w:r>
        <w:t xml:space="preserve">: censoring correction + background-residual Q95 reserve + dual pause guards) stops at </w:t>
      </w:r>
      <w:r>
        <w:rPr>
          <w:b/>
          <w:i w:val="0"/>
        </w:rPr>
        <w:t>8 (aligned)</w:t>
      </w:r>
      <w:r>
        <w:t xml:space="preserve"> and </w:t>
      </w:r>
      <w:r>
        <w:rPr>
          <w:b/>
          <w:i w:val="0"/>
        </w:rPr>
        <w:t>16 (random; customer P5 = 100.2% at stop)</w:t>
      </w:r>
      <w:r>
        <w:t>, matching the gate-only profiles: on this workload the corrections preserve the operating point and close the chain end-to-end.</w:t>
      </w:r>
    </w:p>
    <w:p>
      <w:r>
        <w:rPr>
          <w:b/>
          <w:i w:val="0"/>
        </w:rPr>
        <w:t>Component ablations (show8, one round per cell).</w:t>
      </w:r>
    </w:p>
    <w:p>
      <w:r>
        <w:rPr>
          <w:b/>
          <w:i w:val="0"/>
        </w:rPr>
        <w:t>Table 17.</w:t>
      </w:r>
      <w:r>
        <w:t xml:space="preserve"> Component ablations: aligned and random stops with evidence per arm</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arm</w:t>
            </w:r>
          </w:p>
        </w:tc>
        <w:tc>
          <w:tcPr>
            <w:tcW w:type="dxa" w:w="2493"/>
          </w:tcPr>
          <w:p>
            <w:r>
              <w:rPr>
                <w:b/>
                <w:sz w:val="19"/>
              </w:rPr>
              <w:t>aligned stop</w:t>
            </w:r>
          </w:p>
        </w:tc>
        <w:tc>
          <w:tcPr>
            <w:tcW w:type="dxa" w:w="2493"/>
          </w:tcPr>
          <w:p>
            <w:r>
              <w:rPr>
                <w:b/>
                <w:sz w:val="19"/>
              </w:rPr>
              <w:t>random stop</w:t>
            </w:r>
          </w:p>
        </w:tc>
        <w:tc>
          <w:tcPr>
            <w:tcW w:type="dxa" w:w="2493"/>
          </w:tcPr>
          <w:p>
            <w:r>
              <w:rPr>
                <w:b/>
                <w:sz w:val="19"/>
              </w:rPr>
              <w:t>evidence</w:t>
            </w:r>
          </w:p>
        </w:tc>
      </w:tr>
      <w:tr>
        <w:tc>
          <w:tcPr>
            <w:tcW w:type="dxa" w:w="2493"/>
          </w:tcPr>
          <w:p>
            <w:r>
              <w:rPr>
                <w:sz w:val="19"/>
              </w:rPr>
              <w:t>admission under an 80% quota cap</w:t>
            </w:r>
          </w:p>
        </w:tc>
        <w:tc>
          <w:tcPr>
            <w:tcW w:type="dxa" w:w="2493"/>
          </w:tcPr>
          <w:p>
            <w:r>
              <w:rPr>
                <w:sz w:val="19"/>
              </w:rPr>
              <w:t>10</w:t>
            </w:r>
          </w:p>
        </w:tc>
        <w:tc>
          <w:tcPr>
            <w:tcW w:type="dxa" w:w="2493"/>
          </w:tcPr>
          <w:p>
            <w:r>
              <w:rPr>
                <w:sz w:val="19"/>
              </w:rPr>
              <w:t>18</w:t>
            </w:r>
          </w:p>
        </w:tc>
        <w:tc>
          <w:tcPr>
            <w:tcW w:type="dxa" w:w="2493"/>
          </w:tcPr>
          <w:p>
            <w:r>
              <w:rPr>
                <w:sz w:val="19"/>
              </w:rPr>
              <w:t>mild aligned oversell (10 = first-fail level of the fine scan); random P5 = 79.3% at stop</w:t>
            </w:r>
          </w:p>
        </w:tc>
      </w:tr>
      <w:tr>
        <w:tc>
          <w:tcPr>
            <w:tcW w:type="dxa" w:w="2493"/>
          </w:tcPr>
          <w:p>
            <w:r>
              <w:rPr>
                <w:sz w:val="19"/>
              </w:rPr>
              <w:t>80% cap without censoring correction</w:t>
            </w:r>
          </w:p>
        </w:tc>
        <w:tc>
          <w:tcPr>
            <w:tcW w:type="dxa" w:w="2493"/>
          </w:tcPr>
          <w:p>
            <w:r>
              <w:rPr>
                <w:sz w:val="19"/>
              </w:rPr>
              <w:t>10</w:t>
            </w:r>
          </w:p>
        </w:tc>
        <w:tc>
          <w:tcPr>
            <w:tcW w:type="dxa" w:w="2493"/>
          </w:tcPr>
          <w:p>
            <w:r>
              <w:rPr>
                <w:sz w:val="19"/>
              </w:rPr>
              <w:t>14</w:t>
            </w:r>
          </w:p>
        </w:tc>
        <w:tc>
          <w:tcPr>
            <w:tcW w:type="dxa" w:w="2493"/>
          </w:tcPr>
          <w:p>
            <w:r>
              <w:rPr>
                <w:sz w:val="19"/>
              </w:rPr>
              <w:t>capacity bracket binds at n = 16 (peak 5.86 + prior + reserve 1.20 &gt; 7.20); 14-seat stop within the run-to-run phase-placement band</w:t>
            </w:r>
          </w:p>
        </w:tc>
      </w:tr>
      <w:tr>
        <w:tc>
          <w:tcPr>
            <w:tcW w:type="dxa" w:w="2493"/>
          </w:tcPr>
          <w:p>
            <w:r>
              <w:rPr>
                <w:sz w:val="19"/>
              </w:rPr>
              <w:t>phase gate removed (full quota)</w:t>
            </w:r>
          </w:p>
        </w:tc>
        <w:tc>
          <w:tcPr>
            <w:tcW w:type="dxa" w:w="2493"/>
          </w:tcPr>
          <w:p>
            <w:r>
              <w:rPr>
                <w:sz w:val="19"/>
              </w:rPr>
              <w:t>32 -&gt; 34 VIOL</w:t>
            </w:r>
          </w:p>
        </w:tc>
        <w:tc>
          <w:tcPr>
            <w:tcW w:type="dxa" w:w="2493"/>
          </w:tcPr>
          <w:p>
            <w:r>
              <w:rPr>
                <w:sz w:val="19"/>
              </w:rPr>
              <w:t>28</w:t>
            </w:r>
          </w:p>
        </w:tc>
        <w:tc>
          <w:tcPr>
            <w:tcW w:type="dxa" w:w="2493"/>
          </w:tcPr>
          <w:p>
            <w:r>
              <w:rPr>
                <w:sz w:val="19"/>
              </w:rPr>
              <w:t>phase blindness reproduces the aligned failure of audible/util80; random phases forgive it (P5 = 99.0% at stop)</w:t>
            </w:r>
          </w:p>
        </w:tc>
      </w:tr>
    </w:tbl>
    <w:p/>
    <w:p>
      <w:r>
        <w:rPr>
          <w:b/>
          <w:i w:val="0"/>
        </w:rPr>
        <w:t>Reading.</w:t>
      </w:r>
      <w:r>
        <w:t xml:space="preserve"> The phase gate is the aligned-phase safety-critical component (removing it re-creates the 32-seat failure). The two 80%-cap arms differ by four random-phase seats (18 vs 14); </w:t>
      </w:r>
      <w:r>
        <w:rPr>
          <w:b/>
          <w:i w:val="0"/>
        </w:rPr>
        <w:t>both stops were capacity-bracket deferrals, not guard triggers</w:t>
      </w:r>
      <w:r>
        <w:t xml:space="preserve"> (verified in the decision logs: n = 20 and n = 16 respectively), and each round re-randomizes tenant phases independently, so the difference is dominated by run-to-run phase placement (the show12 band is about +/-25%) - the censoring correction's systematic effect is not separable at one round per arm. Capping admitted tenants at 80% mildly oversells the aligned bracket (8 -&gt; 10, the first failing level).</w:t>
      </w:r>
    </w:p>
    <w:p>
      <w:r>
        <w:rPr>
          <w:b/>
          <w:i w:val="0"/>
        </w:rPr>
        <w:t>Dense-sampling confirmation of the boundary (show9, 1 s sampling).</w:t>
      </w:r>
      <w:r>
        <w:t xml:space="preserve"> Re-running the sell ladders at one-second resolution confirms the aligned boundary: level 8 holds customer P5 at </w:t>
      </w:r>
      <w:r>
        <w:rPr>
          <w:b/>
          <w:i w:val="0"/>
        </w:rPr>
        <w:t>97.3%</w:t>
      </w:r>
      <w:r>
        <w:t xml:space="preserve"> (per-customer time-P5, median convention) while level 10 collapses to </w:t>
      </w:r>
      <w:r>
        <w:rPr>
          <w:b/>
          <w:i w:val="0"/>
        </w:rPr>
        <w:t>47.8%</w:t>
      </w:r>
      <w:r>
        <w:t xml:space="preserve">; random 28 holds </w:t>
      </w:r>
      <w:r>
        <w:rPr>
          <w:b/>
          <w:i w:val="0"/>
        </w:rPr>
        <w:t>75.7%</w:t>
      </w:r>
      <w:r>
        <w:t xml:space="preserve"> and 30 falls to </w:t>
      </w:r>
      <w:r>
        <w:rPr>
          <w:b/>
          <w:i w:val="0"/>
        </w:rPr>
        <w:t>58.3%</w:t>
      </w:r>
      <w:r>
        <w:t>, tightening the dense random boundary to [28,30) (the max-rate convention still reads 90.6% at 32 - the convention sensitivity quantified in Section 8.4). Service P99 stays at 0.70-0.75 ms at every level: the binding constraint is the customer rate, not the service tail.</w:t>
      </w:r>
    </w:p>
    <w:p>
      <w:r>
        <w:rPr>
          <w:b/>
          <w:i w:val="0"/>
        </w:rPr>
        <w:t>Guard-metric sensitivity (show10).</w:t>
      </w:r>
      <w:r>
        <w:t xml:space="preserve"> Switching the guard metric from max to median keeps the aligned stop at 8 but pulls the random stop down to </w:t>
      </w:r>
      <w:r>
        <w:rPr>
          <w:b/>
          <w:i w:val="0"/>
        </w:rPr>
        <w:t>4</w:t>
      </w:r>
      <w:r>
        <w:t xml:space="preserve"> (pause-monitor triggers on 6/6 checks; P5 = 101.9% at stop): the metric trades random-phase efficiency for conservatism. </w:t>
      </w:r>
      <w:r>
        <w:rPr>
          <w:b/>
          <w:i w:val="0"/>
        </w:rPr>
        <w:t>Guard semantics (precise):</w:t>
      </w:r>
      <w:r>
        <w:t xml:space="preserve"> the customer guard consumes one number per admitted tenant - the tenant's rate series (six samples, ordered before the service probes so work phases are captured) summarized per tenant by max (largest observed work-phase rate), med or min - and the guard value is the cross-customer 5th percentile of that summary (p5_max / p5_med / p5_min); admission pauses when it falls below 70% (or the service/canary thresholds fire). The primary bar uses p5_max because idle samples are not evidence of denial: a tenant's work capability is evidenced by its work-phase rate, and sustained contention lowers the max too - a full-speed burst cannot survive sustained overload. Median/min conflate design-idle with contention-throttling and false-alarm: in the show10 median arm every pause check in the random phase tripped (6/6 windows; idle samples dilute each tenant's median), stopping at 4 seats, while the aligned phase keeps tenants active and still stops at 8. The 70% and service thresholds are the pre-declared constants of Section 8.4; the 0.9 budget and hysteresis are fixed on validation splits. </w:t>
      </w:r>
      <w:r>
        <w:rPr>
          <w:b/>
          <w:i w:val="0"/>
        </w:rPr>
        <w:t>Activity-conditioned cross-check (implemented mid-batch, show14).</w:t>
      </w:r>
      <w:r>
        <w:t xml:space="preserve"> To separate design-idle from denial without relying on the max convention, the customer metric is also computed over </w:t>
      </w:r>
      <w:r>
        <w:rPr>
          <w:b/>
          <w:i w:val="0"/>
        </w:rPr>
        <w:t>active samples only</w:t>
      </w:r>
      <w:r>
        <w:t xml:space="preserve"> - per-customer median over the samples where the workload itself reports a work phase (state flag), excluding design-idle samples, then cross-customer P5 (</w:t>
      </w:r>
      <w:r>
        <w:rPr>
          <w:rFonts w:ascii="Consolas" w:hAnsi="Consolas"/>
          <w:sz w:val="20"/>
        </w:rPr>
        <w:t>p5_act</w:t>
      </w:r>
      <w:r>
        <w:t xml:space="preserve">). The false-alarm mechanism is visible directly in the logs: windows whose raw p5_med / p5_min read 0.0% (idle-sample dilution) read 102.6% under the activity-conditioned rule, and across the integrated runs </w:t>
      </w:r>
      <w:r>
        <w:rPr>
          <w:rFonts w:ascii="Consolas" w:hAnsi="Consolas"/>
          <w:sz w:val="20"/>
        </w:rPr>
        <w:t>p5_act</w:t>
      </w:r>
      <w:r>
        <w:t xml:space="preserve"> tracks </w:t>
      </w:r>
      <w:r>
        <w:rPr>
          <w:rFonts w:ascii="Consolas" w:hAnsi="Consolas"/>
          <w:sz w:val="20"/>
        </w:rPr>
        <w:t>p5_max</w:t>
      </w:r>
      <w:r>
        <w:t xml:space="preserve"> (101-103% at every safe stop) - the two conventions agree once design-idle samples are excluded.</w:t>
      </w:r>
    </w:p>
    <w:p>
      <w:r>
        <w:rPr>
          <w:b/>
          <w:i w:val="0"/>
        </w:rPr>
        <w:t>Phase-selective admission (show11, `ours_sel`).</w:t>
      </w:r>
      <w:r>
        <w:t xml:space="preserve"> The probation mechanism (candidates observed at 5% quota for 40 s before the admission decision) keeps the aligned stop at 8 and raises the random stop to </w:t>
      </w:r>
      <w:r>
        <w:rPr>
          <w:b/>
          <w:i w:val="0"/>
        </w:rPr>
        <w:t>24 with no violation</w:t>
      </w:r>
      <w:r>
        <w:t xml:space="preserve"> - the highest safe random-phase stop in the comparison (</w:t>
      </w:r>
      <w:r>
        <w:rPr>
          <w:rFonts w:ascii="Consolas" w:hAnsi="Consolas"/>
          <w:sz w:val="20"/>
        </w:rPr>
        <w:t>ours_full</w:t>
      </w:r>
      <w:r>
        <w:t xml:space="preserve"> 16, </w:t>
      </w:r>
      <w:r>
        <w:rPr>
          <w:rFonts w:ascii="Consolas" w:hAnsi="Consolas"/>
          <w:sz w:val="20"/>
        </w:rPr>
        <w:t>ours_p</w:t>
      </w:r>
      <w:r>
        <w:t xml:space="preserve"> 20), showing that phase evidence acquired before the decision converts into measurable random-phase capacity at equal safety. </w:t>
      </w:r>
      <w:r>
        <w:rPr>
          <w:b/>
          <w:i w:val="0"/>
        </w:rPr>
        <w:t>Integrated re-validation (show13, `ours_int` = probation + full-chain background reserve and low-history guards).</w:t>
      </w:r>
      <w:r>
        <w:t xml:space="preserve"> End-to-end, the integrated controller stops at </w:t>
      </w:r>
      <w:r>
        <w:rPr>
          <w:b/>
          <w:i w:val="0"/>
        </w:rPr>
        <w:t>random 12-16 across three arrival orders (14/12/16) and aligned 6 in both repeated orders</w:t>
      </w:r>
      <w:r>
        <w:t xml:space="preserve"> (all capacity-bracket deferrals: subset peak 6.1-7.0 + reserve 1.1-1.6 &gt; 7.20). The probation mechanism's 24-seat random figure therefore does </w:t>
      </w:r>
      <w:r>
        <w:rPr>
          <w:b/>
          <w:i w:val="0"/>
        </w:rPr>
        <w:t>not</w:t>
      </w:r>
      <w:r>
        <w:t xml:space="preserve"> survive equal-accounting integration: its gain is consumed by the background-reserve term (which the probation-only decision omitted), and in the aligned phase the probation-priced candidates stop earlier than the class-prior-priced chain (6 vs 8). The unified operating point of the complete system remains </w:t>
      </w:r>
      <w:r>
        <w:rPr>
          <w:rFonts w:ascii="Consolas" w:hAnsi="Consolas"/>
          <w:sz w:val="20"/>
        </w:rPr>
        <w:t>ours_full</w:t>
      </w:r>
      <w:r>
        <w:t xml:space="preserve"> (random 16 / aligned 8); the three measured points (24/8 probation-only upper bound, 14/6 integrated, 16/8 full chain) and the accounting difference behind them are reported as measured, and reconciling candidate pricing with the reserve is future work. </w:t>
      </w:r>
      <w:r>
        <w:rPr>
          <w:b/>
          <w:i w:val="0"/>
        </w:rPr>
        <w:t>Why the integrated stop is lower (analysis).</w:t>
      </w:r>
      <w:r>
        <w:t xml:space="preserve"> Two accounting differences explain the drop. (i) The background-reserve term (1.56-1.62 cores against the 7.20-core budget) is charged in the integrated runs but absent from the probation-only decision; at the defer points the subset peak (6.15/6.03) plus reserve exceeds 7.20 while the same peak without reserve is admissible - the reserve alone accounts for the gap. (ii) Candidate pricing differs roughly 3x between conventions: probation prices each candidate by its own corrected measured profile (about 0.6-0.75 cores per aligned candidate at the stop point), while the full chain charges the class prior (about 0.2 cores); the integrated configuration inherits the stricter convention. Reconciling the two (e.g., capping probation-derived candidate billing at the class prior, or explicitly folding the reserve into candidate pricing) and re-validating at equal accounting is future work.</w:t>
      </w:r>
    </w:p>
    <w:p>
      <w:pPr>
        <w:pStyle w:val="Heading2"/>
      </w:pPr>
      <w:r>
        <w:t>7.5 Triple-Storm Synthesis (Figure 10)</w:t>
      </w:r>
    </w:p>
    <w:p>
      <w:pPr>
        <w:jc w:val="center"/>
      </w:pPr>
      <w:r>
        <w:drawing>
          <wp:inline xmlns:a="http://schemas.openxmlformats.org/drawingml/2006/main" xmlns:pic="http://schemas.openxmlformats.org/drawingml/2006/picture">
            <wp:extent cx="5760000" cy="2962286"/>
            <wp:docPr id="16" name="Picture 16"/>
            <wp:cNvGraphicFramePr>
              <a:graphicFrameLocks noChangeAspect="1"/>
            </wp:cNvGraphicFramePr>
            <a:graphic>
              <a:graphicData uri="http://schemas.openxmlformats.org/drawingml/2006/picture">
                <pic:pic>
                  <pic:nvPicPr>
                    <pic:cNvPr id="0" name="fig10_synthesis.png"/>
                    <pic:cNvPicPr/>
                  </pic:nvPicPr>
                  <pic:blipFill>
                    <a:blip r:embed="rId25"/>
                    <a:stretch>
                      <a:fillRect/>
                    </a:stretch>
                  </pic:blipFill>
                  <pic:spPr>
                    <a:xfrm>
                      <a:off x="0" y="0"/>
                      <a:ext cx="5760000" cy="2962286"/>
                    </a:xfrm>
                    <a:prstGeom prst="rect"/>
                  </pic:spPr>
                </pic:pic>
              </a:graphicData>
            </a:graphic>
          </wp:inline>
        </w:drawing>
      </w:r>
    </w:p>
    <w:p>
      <w:pPr>
        <w:jc w:val="center"/>
      </w:pPr>
      <w:r>
        <w:rPr>
          <w:i/>
          <w:color w:val="333333"/>
          <w:sz w:val="19"/>
        </w:rPr>
        <w:t>Figure 10 Combined-stress validation (4 runs)</w:t>
      </w:r>
    </w:p>
    <w:p>
      <w:r>
        <w:rPr>
          <w:b/>
          <w:i w:val="0"/>
        </w:rPr>
        <w:t>Configuration.</w:t>
      </w:r>
      <w:r>
        <w:t xml:space="preserve"> Services + probe pinned to cores 0–1; 16 tenants pinned to 2–3; per tenant </w:t>
      </w:r>
      <w:r>
        <w:rPr>
          <w:rFonts w:ascii="Consolas" w:hAnsi="Consolas"/>
          <w:sz w:val="20"/>
        </w:rPr>
        <w:t>memory.high = 800 MiB</w:t>
      </w:r>
      <w:r>
        <w:t xml:space="preserve">, </w:t>
      </w:r>
      <w:r>
        <w:rPr>
          <w:rFonts w:ascii="Consolas" w:hAnsi="Consolas"/>
          <w:sz w:val="20"/>
        </w:rPr>
        <w:t>memory.swap.max = 0</w:t>
      </w:r>
      <w:r>
        <w:t xml:space="preserve">, </w:t>
      </w:r>
      <w:r>
        <w:rPr>
          <w:rFonts w:ascii="Consolas" w:hAnsi="Consolas"/>
          <w:sz w:val="20"/>
        </w:rPr>
        <w:t>io.max = 200/100</w:t>
      </w:r>
      <w:r>
        <w:t xml:space="preserve"> IOPS; admission per censoring-aware rules (this validation focuses on the protection envelope; admission does not intervene). </w:t>
      </w:r>
      <w:r>
        <w:rPr>
          <w:b/>
          <w:i w:val="0"/>
        </w:rPr>
        <w:t>Storm composition.</w:t>
      </w:r>
      <w:r>
        <w:t xml:space="preserve"> CPU mix (8 idle + 6 idle/bursty + 2 pegged), memory ballast, and 4K random-write fio, all simultaneously; service probes at 100 req/s for 60 s each.</w:t>
      </w:r>
    </w:p>
    <w:p>
      <w:r>
        <w:rPr>
          <w:b/>
          <w:i w:val="0"/>
        </w:rPr>
        <w:t>Table 18.</w:t>
      </w:r>
      <w:r>
        <w:t xml:space="preserve"> Triple-storm synthesis: service percentiles, errors and host state per pass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9"/>
              </w:rPr>
              <w:t>Pass</w:t>
            </w:r>
          </w:p>
        </w:tc>
        <w:tc>
          <w:tcPr>
            <w:tcW w:type="dxa" w:w="1994"/>
          </w:tcPr>
          <w:p>
            <w:r>
              <w:rPr>
                <w:b/>
                <w:sz w:val="19"/>
              </w:rPr>
              <w:t>HTTP P50/P99/P999</w:t>
            </w:r>
          </w:p>
        </w:tc>
        <w:tc>
          <w:tcPr>
            <w:tcW w:type="dxa" w:w="1994"/>
          </w:tcPr>
          <w:p>
            <w:r>
              <w:rPr>
                <w:b/>
                <w:sz w:val="19"/>
              </w:rPr>
              <w:t>Redis P50/P99/P999</w:t>
            </w:r>
          </w:p>
        </w:tc>
        <w:tc>
          <w:tcPr>
            <w:tcW w:type="dxa" w:w="1994"/>
          </w:tcPr>
          <w:p>
            <w:r>
              <w:rPr>
                <w:b/>
                <w:sz w:val="19"/>
              </w:rPr>
              <w:t>Timeouts/errors</w:t>
            </w:r>
          </w:p>
        </w:tc>
        <w:tc>
          <w:tcPr>
            <w:tcW w:type="dxa" w:w="1994"/>
          </w:tcPr>
          <w:p>
            <w:r>
              <w:rPr>
                <w:b/>
                <w:sz w:val="19"/>
              </w:rPr>
              <w:t>Host state</w:t>
            </w:r>
          </w:p>
        </w:tc>
      </w:tr>
      <w:tr>
        <w:tc>
          <w:tcPr>
            <w:tcW w:type="dxa" w:w="1994"/>
          </w:tcPr>
          <w:p>
            <w:r>
              <w:rPr>
                <w:sz w:val="19"/>
              </w:rPr>
              <w:t>syn1</w:t>
            </w:r>
          </w:p>
        </w:tc>
        <w:tc>
          <w:tcPr>
            <w:tcW w:type="dxa" w:w="1994"/>
          </w:tcPr>
          <w:p>
            <w:r>
              <w:rPr>
                <w:sz w:val="19"/>
              </w:rPr>
              <w:t>1.38 / 2.54 / 4.90</w:t>
            </w:r>
          </w:p>
        </w:tc>
        <w:tc>
          <w:tcPr>
            <w:tcW w:type="dxa" w:w="1994"/>
          </w:tcPr>
          <w:p>
            <w:r>
              <w:rPr>
                <w:sz w:val="19"/>
              </w:rPr>
              <w:t>1.09 / 2.07 / 3.92</w:t>
            </w:r>
          </w:p>
        </w:tc>
        <w:tc>
          <w:tcPr>
            <w:tcW w:type="dxa" w:w="1994"/>
          </w:tcPr>
          <w:p>
            <w:r>
              <w:rPr>
                <w:sz w:val="19"/>
              </w:rPr>
              <w:t>0 / 0</w:t>
            </w:r>
          </w:p>
        </w:tc>
        <w:tc>
          <w:tcPr>
            <w:tcW w:type="dxa" w:w="1994"/>
          </w:tcPr>
          <w:p>
            <w:r>
              <w:rPr>
                <w:sz w:val="19"/>
              </w:rPr>
              <w:t>avail ≥ 3.0 GB, swap stable</w:t>
            </w:r>
          </w:p>
        </w:tc>
      </w:tr>
      <w:tr>
        <w:tc>
          <w:tcPr>
            <w:tcW w:type="dxa" w:w="1994"/>
          </w:tcPr>
          <w:p>
            <w:r>
              <w:rPr>
                <w:sz w:val="19"/>
              </w:rPr>
              <w:t>syn2</w:t>
            </w:r>
          </w:p>
        </w:tc>
        <w:tc>
          <w:tcPr>
            <w:tcW w:type="dxa" w:w="1994"/>
          </w:tcPr>
          <w:p>
            <w:r>
              <w:rPr>
                <w:sz w:val="19"/>
              </w:rPr>
              <w:t>1.51 / 2.82 / 5.37</w:t>
            </w:r>
          </w:p>
        </w:tc>
        <w:tc>
          <w:tcPr>
            <w:tcW w:type="dxa" w:w="1994"/>
          </w:tcPr>
          <w:p>
            <w:r>
              <w:rPr>
                <w:sz w:val="19"/>
              </w:rPr>
              <w:t>1.21 / 7.55 / 27.45</w:t>
            </w:r>
          </w:p>
        </w:tc>
        <w:tc>
          <w:tcPr>
            <w:tcW w:type="dxa" w:w="1994"/>
          </w:tcPr>
          <w:p>
            <w:r>
              <w:rPr>
                <w:sz w:val="19"/>
              </w:rPr>
              <w:t>0 / 0</w:t>
            </w:r>
          </w:p>
        </w:tc>
        <w:tc>
          <w:tcPr>
            <w:tcW w:type="dxa" w:w="1994"/>
          </w:tcPr>
          <w:p>
            <w:r>
              <w:rPr>
                <w:sz w:val="19"/>
              </w:rPr>
              <w:t>same (pegged tenants survive the whole run)</w:t>
            </w:r>
          </w:p>
        </w:tc>
      </w:tr>
      <w:tr>
        <w:tc>
          <w:tcPr>
            <w:tcW w:type="dxa" w:w="1994"/>
          </w:tcPr>
          <w:p>
            <w:r>
              <w:rPr>
                <w:sz w:val="19"/>
              </w:rPr>
              <w:t>syn3</w:t>
            </w:r>
          </w:p>
        </w:tc>
        <w:tc>
          <w:tcPr>
            <w:tcW w:type="dxa" w:w="1994"/>
          </w:tcPr>
          <w:p>
            <w:r>
              <w:rPr>
                <w:sz w:val="19"/>
              </w:rPr>
              <w:t>— / 3.01 / —</w:t>
            </w:r>
          </w:p>
        </w:tc>
        <w:tc>
          <w:tcPr>
            <w:tcW w:type="dxa" w:w="1994"/>
          </w:tcPr>
          <w:p>
            <w:r>
              <w:rPr>
                <w:sz w:val="19"/>
              </w:rPr>
              <w:t>— / 2.70 / —</w:t>
            </w:r>
          </w:p>
        </w:tc>
        <w:tc>
          <w:tcPr>
            <w:tcW w:type="dxa" w:w="1994"/>
          </w:tcPr>
          <w:p>
            <w:r>
              <w:rPr>
                <w:sz w:val="19"/>
              </w:rPr>
              <w:t>0 / 0</w:t>
            </w:r>
          </w:p>
        </w:tc>
        <w:tc>
          <w:tcPr>
            <w:tcW w:type="dxa" w:w="1994"/>
          </w:tcPr>
          <w:p>
            <w:r>
              <w:rPr>
                <w:sz w:val="19"/>
              </w:rPr>
              <w:t>completed cleanly (customer-side 13/16 collected)</w:t>
            </w:r>
          </w:p>
        </w:tc>
      </w:tr>
      <w:tr>
        <w:tc>
          <w:tcPr>
            <w:tcW w:type="dxa" w:w="1994"/>
          </w:tcPr>
          <w:p>
            <w:r>
              <w:rPr>
                <w:sz w:val="19"/>
              </w:rPr>
              <w:t>syn4</w:t>
            </w:r>
          </w:p>
        </w:tc>
        <w:tc>
          <w:tcPr>
            <w:tcW w:type="dxa" w:w="1994"/>
          </w:tcPr>
          <w:p>
            <w:r>
              <w:rPr>
                <w:sz w:val="19"/>
              </w:rPr>
              <w:t>— / 3.46 / —</w:t>
            </w:r>
          </w:p>
        </w:tc>
        <w:tc>
          <w:tcPr>
            <w:tcW w:type="dxa" w:w="1994"/>
          </w:tcPr>
          <w:p>
            <w:r>
              <w:rPr>
                <w:sz w:val="19"/>
              </w:rPr>
              <w:t>— / 3.35 / —</w:t>
            </w:r>
          </w:p>
        </w:tc>
        <w:tc>
          <w:tcPr>
            <w:tcW w:type="dxa" w:w="1994"/>
          </w:tcPr>
          <w:p>
            <w:r>
              <w:rPr>
                <w:sz w:val="19"/>
              </w:rPr>
              <w:t>0 / 0</w:t>
            </w:r>
          </w:p>
        </w:tc>
        <w:tc>
          <w:tcPr>
            <w:tcW w:type="dxa" w:w="1994"/>
          </w:tcPr>
          <w:p>
            <w:r>
              <w:rPr>
                <w:sz w:val="19"/>
              </w:rPr>
              <w:t>same (pegged tenants alive throughout)</w:t>
            </w:r>
          </w:p>
        </w:tc>
      </w:tr>
    </w:tbl>
    <w:p/>
    <w:p>
      <w:r>
        <w:rPr>
          <w:b/>
          <w:i w:val="0"/>
        </w:rPr>
        <w:t>Reading.</w:t>
      </w:r>
      <w:r>
        <w:t xml:space="preserve"> All four passes hold "service P99 ≤ 10 ms" (HTTP margin ≈ 3–4×); Redis in syn2 shows a heavier tail (p999 27.5 ms, max 74 ms at single-response level, no timeouts), reported as measured. Compared with the unprotected cases of Section 4 (CPU storm 21–23 ms; disk storm 12 ms; memory storm killing two customer VMs), the suite defuses all three storms at once. The customer-side cost matches design expectations: memory and IO caps throttle over-users first (some tenants briefly unresponsive over SSH) — the normal operating state of the economy tier.</w:t>
      </w:r>
    </w:p>
    <w:p>
      <w:r>
        <w:rPr>
          <w:b/>
          <w:i w:val="0"/>
        </w:rPr>
        <w:t>Collection note.</w:t>
      </w:r>
      <w:r>
        <w:t xml:space="preserve"> Customer-side detail under hard throttling collects incompletely (13/16 in syn3); service-side metrics carry the protection conclusion, with customer-side work rates and throttle counters as corroborating evidence.</w:t>
      </w:r>
    </w:p>
    <w:p>
      <w:r>
        <w:rPr>
          <w:b/>
          <w:i w:val="0"/>
        </w:rPr>
        <w:t>Rework repeat (Figure 19).</w:t>
      </w:r>
      <w:r>
        <w:t xml:space="preserve"> The rework reran the same storm end-to-end (20 s probes, fresh state per round): </w:t>
      </w:r>
      <w:r>
        <w:rPr>
          <w:b/>
          <w:i w:val="0"/>
        </w:rPr>
        <w:t>25 of 26 rounds pass</w:t>
      </w:r>
      <w:r>
        <w:t xml:space="preserve"> — HTTP P99 mean </w:t>
      </w:r>
      <w:r>
        <w:rPr>
          <w:b/>
          <w:i w:val="0"/>
        </w:rPr>
        <w:t>4.82 ms</w:t>
      </w:r>
      <w:r>
        <w:t xml:space="preserve"> (median 4.02, range 2.95–25.26), Redis mean </w:t>
      </w:r>
      <w:r>
        <w:rPr>
          <w:b/>
          <w:i w:val="0"/>
        </w:rPr>
        <w:t>3.34 ms</w:t>
      </w:r>
      <w:r>
        <w:t xml:space="preserve"> (2.53–4.13, always compliant); </w:t>
      </w:r>
      <w:r>
        <w:rPr>
          <w:b/>
          <w:i w:val="0"/>
        </w:rPr>
        <w:t>one round (r24) violates at 25.3 ms</w:t>
      </w:r>
      <w:r>
        <w:t xml:space="preserve"> — in that round 8 tenants returned no rate samples (degraded state). The envelope has held across </w:t>
      </w:r>
      <w:r>
        <w:rPr>
          <w:b/>
          <w:i w:val="0"/>
        </w:rPr>
        <w:t>29 of 30 passes (4 pilot + 26 rework)</w:t>
      </w:r>
      <w:r>
        <w:t xml:space="preserve">. </w:t>
      </w:r>
      <w:r>
        <w:rPr>
          <w:b/>
          <w:i w:val="0"/>
        </w:rPr>
        <w:t>Statistical note:</w:t>
      </w:r>
      <w:r>
        <w:t xml:space="preserve"> the optimistic independent-binomial one-sided 95% bound for 29/30 is ~</w:t>
      </w:r>
      <w:r>
        <w:rPr>
          <w:b/>
          <w:i w:val="0"/>
        </w:rPr>
        <w:t>14.9%</w:t>
      </w:r>
      <w:r>
        <w:t xml:space="preserve"> (the earlier 11.7% for 24/24 was an optimistic pre-rework estimate; rounds share host state and are time-correlated, so the bound is indicative — "near-zero violations" is not a long-term guarantee).</w:t>
      </w:r>
    </w:p>
    <w:p>
      <w:pPr>
        <w:jc w:val="center"/>
      </w:pPr>
      <w:r>
        <w:drawing>
          <wp:inline xmlns:a="http://schemas.openxmlformats.org/drawingml/2006/main" xmlns:pic="http://schemas.openxmlformats.org/drawingml/2006/picture">
            <wp:extent cx="5760000" cy="2304000"/>
            <wp:docPr id="17" name="Picture 17"/>
            <wp:cNvGraphicFramePr>
              <a:graphicFrameLocks noChangeAspect="1"/>
            </wp:cNvGraphicFramePr>
            <a:graphic>
              <a:graphicData uri="http://schemas.openxmlformats.org/drawingml/2006/picture">
                <pic:pic>
                  <pic:nvPicPr>
                    <pic:cNvPr id="0" name="fig19_syn_repeat.png"/>
                    <pic:cNvPicPr/>
                  </pic:nvPicPr>
                  <pic:blipFill>
                    <a:blip r:embed="rId26"/>
                    <a:stretch>
                      <a:fillRect/>
                    </a:stretch>
                  </pic:blipFill>
                  <pic:spPr>
                    <a:xfrm>
                      <a:off x="0" y="0"/>
                      <a:ext cx="5760000" cy="2304000"/>
                    </a:xfrm>
                    <a:prstGeom prst="rect"/>
                  </pic:spPr>
                </pic:pic>
              </a:graphicData>
            </a:graphic>
          </wp:inline>
        </w:drawing>
      </w:r>
    </w:p>
    <w:p>
      <w:pPr>
        <w:jc w:val="center"/>
      </w:pPr>
      <w:r>
        <w:rPr>
          <w:i/>
          <w:color w:val="333333"/>
          <w:sz w:val="19"/>
        </w:rPr>
        <w:t>Figure 19 Combined-stress rework, 26 rounds: 25/26 pass, one degraded round at 25.3 ms</w:t>
      </w:r>
    </w:p>
    <w:p>
      <w:pPr>
        <w:pStyle w:val="Heading2"/>
      </w:pPr>
      <w:r>
        <w:t>7.5.1 Joint Admission + Shaping Validation (j1, Figure 13)</w:t>
      </w:r>
    </w:p>
    <w:p>
      <w:pPr>
        <w:jc w:val="center"/>
      </w:pPr>
      <w:r>
        <w:drawing>
          <wp:inline xmlns:a="http://schemas.openxmlformats.org/drawingml/2006/main" xmlns:pic="http://schemas.openxmlformats.org/drawingml/2006/picture">
            <wp:extent cx="5760000" cy="2182737"/>
            <wp:docPr id="18" name="Picture 18"/>
            <wp:cNvGraphicFramePr>
              <a:graphicFrameLocks noChangeAspect="1"/>
            </wp:cNvGraphicFramePr>
            <a:graphic>
              <a:graphicData uri="http://schemas.openxmlformats.org/drawingml/2006/picture">
                <pic:pic>
                  <pic:nvPicPr>
                    <pic:cNvPr id="0" name="fig13_joint.png"/>
                    <pic:cNvPicPr/>
                  </pic:nvPicPr>
                  <pic:blipFill>
                    <a:blip r:embed="rId27"/>
                    <a:stretch>
                      <a:fillRect/>
                    </a:stretch>
                  </pic:blipFill>
                  <pic:spPr>
                    <a:xfrm>
                      <a:off x="0" y="0"/>
                      <a:ext cx="5760000" cy="2182737"/>
                    </a:xfrm>
                    <a:prstGeom prst="rect"/>
                  </pic:spPr>
                </pic:pic>
              </a:graphicData>
            </a:graphic>
          </wp:inline>
        </w:drawing>
      </w:r>
    </w:p>
    <w:p>
      <w:pPr>
        <w:jc w:val="center"/>
      </w:pPr>
      <w:r>
        <w:rPr>
          <w:i/>
          <w:color w:val="333333"/>
          <w:sz w:val="19"/>
        </w:rPr>
        <w:t>Figure 13 Joint admission + shaping validation (j1)</w:t>
      </w:r>
    </w:p>
    <w:p>
      <w:r>
        <w:t>The protection envelope is fully active (services/probe pinned to cores 0–1; customers to 2–3; per-customer memory double gate at 800 MB with swap.max=0; IO caps), with a background load of four tenants (3 idle + 1 bursty); six candidates arrive one at a time, each capped at 50% on admission. Two admission policies decide within the same envelope:</w:t>
      </w:r>
    </w:p>
    <w:p>
      <w:r>
        <w:rPr>
          <w:b/>
          <w:i w:val="0"/>
        </w:rPr>
        <w:t>Table 19.</w:t>
      </w:r>
      <w:r>
        <w:t xml:space="preserve"> Joint admission + shaping (j1): committed seats and canary behavior</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policy</w:t>
            </w:r>
          </w:p>
        </w:tc>
        <w:tc>
          <w:tcPr>
            <w:tcW w:type="dxa" w:w="2493"/>
          </w:tcPr>
          <w:p>
            <w:r>
              <w:rPr>
                <w:b/>
                <w:sz w:val="19"/>
              </w:rPr>
              <w:t>committed seats</w:t>
            </w:r>
          </w:p>
        </w:tc>
        <w:tc>
          <w:tcPr>
            <w:tcW w:type="dxa" w:w="2493"/>
          </w:tcPr>
          <w:p>
            <w:r>
              <w:rPr>
                <w:b/>
                <w:sz w:val="19"/>
              </w:rPr>
              <w:t>service violations</w:t>
            </w:r>
          </w:p>
        </w:tc>
        <w:tc>
          <w:tcPr>
            <w:tcW w:type="dxa" w:w="2493"/>
          </w:tcPr>
          <w:p>
            <w:r>
              <w:rPr>
                <w:b/>
                <w:sz w:val="19"/>
              </w:rPr>
              <w:t>customer-side canary (background idle VM)</w:t>
            </w:r>
          </w:p>
        </w:tc>
      </w:tr>
      <w:tr>
        <w:tc>
          <w:tcPr>
            <w:tcW w:type="dxa" w:w="2493"/>
          </w:tcPr>
          <w:p>
            <w:r>
              <w:rPr>
                <w:sz w:val="19"/>
              </w:rPr>
              <w:t>naive (usage)</w:t>
            </w:r>
          </w:p>
        </w:tc>
        <w:tc>
          <w:tcPr>
            <w:tcW w:type="dxa" w:w="2493"/>
          </w:tcPr>
          <w:p>
            <w:r>
              <w:rPr>
                <w:sz w:val="19"/>
              </w:rPr>
              <w:t>3</w:t>
            </w:r>
          </w:p>
        </w:tc>
        <w:tc>
          <w:tcPr>
            <w:tcW w:type="dxa" w:w="2493"/>
          </w:tcPr>
          <w:p>
            <w:r>
              <w:rPr>
                <w:sz w:val="19"/>
              </w:rPr>
              <w:t>0</w:t>
            </w:r>
          </w:p>
        </w:tc>
        <w:tc>
          <w:tcPr>
            <w:tcW w:type="dxa" w:w="2493"/>
          </w:tcPr>
          <w:p>
            <w:r>
              <w:rPr>
                <w:sz w:val="19"/>
              </w:rPr>
              <w:t>max wakeup stall 3.8–4.4 s per 5 s window</w:t>
            </w:r>
          </w:p>
        </w:tc>
      </w:tr>
      <w:tr>
        <w:tc>
          <w:tcPr>
            <w:tcW w:type="dxa" w:w="2493"/>
          </w:tcPr>
          <w:p>
            <w:r>
              <w:rPr>
                <w:sz w:val="19"/>
              </w:rPr>
              <w:t>aware (throttle-corrected)</w:t>
            </w:r>
          </w:p>
        </w:tc>
        <w:tc>
          <w:tcPr>
            <w:tcW w:type="dxa" w:w="2493"/>
          </w:tcPr>
          <w:p>
            <w:r>
              <w:rPr>
                <w:sz w:val="19"/>
              </w:rPr>
              <w:t>1</w:t>
            </w:r>
          </w:p>
        </w:tc>
        <w:tc>
          <w:tcPr>
            <w:tcW w:type="dxa" w:w="2493"/>
          </w:tcPr>
          <w:p>
            <w:r>
              <w:rPr>
                <w:sz w:val="19"/>
              </w:rPr>
              <w:t>0</w:t>
            </w:r>
          </w:p>
        </w:tc>
        <w:tc>
          <w:tcPr>
            <w:tcW w:type="dxa" w:w="2493"/>
          </w:tcPr>
          <w:p>
            <w:r>
              <w:rPr>
                <w:sz w:val="19"/>
              </w:rPr>
              <w:t>3.8 s (same source)</w:t>
            </w:r>
          </w:p>
        </w:tc>
      </w:tr>
    </w:tbl>
    <w:p/>
    <w:p>
      <w:r>
        <w:rPr>
          <w:b/>
          <w:i w:val="0"/>
        </w:rPr>
        <w:t>Reading.</w:t>
      </w:r>
      <w:r>
        <w:t xml:space="preserve"> (i) Pinning and caps keep the service safe: zero violations under both policies — in joint operation the admission policy decides </w:t>
      </w:r>
      <w:r>
        <w:rPr>
          <w:b w:val="0"/>
          <w:i/>
        </w:rPr>
        <w:t>how many seats are committed</w:t>
      </w:r>
      <w:r>
        <w:t xml:space="preserve">, not service safety. (ii) The dominant customer-side pain comes from the tight memory gate: the canary's multi-second stalls are nearly identical at 1 and 3 seats, showing that </w:t>
      </w:r>
      <w:r>
        <w:rPr>
          <w:rFonts w:ascii="Consolas" w:hAnsi="Consolas"/>
          <w:sz w:val="20"/>
        </w:rPr>
        <w:t>memory.high = 800 MB</w:t>
      </w:r>
      <w:r>
        <w:t xml:space="preserve"> is too tight for a 3 GB guest (cf. the soft-threshold semantics of Section 4.4.4); the economy tier's experience ceiling is a product parameter, not a policy defect. (iii) Throttle-corrected estimation carries a phase bias: with bursty background, instant sampling at decision time underestimates demand (estimates oscillated between 0.01 and 1.90 cores), making the aware policy over-conservative (1 seat vs naive's 3) — the design-to-implementation gap versus the time-aligned aggregate upper quantile of Section 5.3, tracked as an improvement item. The revision implements the time-aligned aggregation; it is re-measured as a four-policy comparison on the second testbed, with results merged as supplementary material.</w:t>
      </w:r>
    </w:p>
    <w:p>
      <w:pPr>
        <w:pStyle w:val="Heading2"/>
      </w:pPr>
      <w:r>
        <w:t>7.6 Production Telemetry: Workload Portrait (Figure 27)</w:t>
      </w:r>
    </w:p>
    <w:p>
      <w:pPr>
        <w:jc w:val="center"/>
      </w:pPr>
      <w:r>
        <w:drawing>
          <wp:inline xmlns:a="http://schemas.openxmlformats.org/drawingml/2006/main" xmlns:pic="http://schemas.openxmlformats.org/drawingml/2006/picture">
            <wp:extent cx="5760000" cy="1728000"/>
            <wp:docPr id="19" name="Picture 19"/>
            <wp:cNvGraphicFramePr>
              <a:graphicFrameLocks noChangeAspect="1"/>
            </wp:cNvGraphicFramePr>
            <a:graphic>
              <a:graphicData uri="http://schemas.openxmlformats.org/drawingml/2006/picture">
                <pic:pic>
                  <pic:nvPicPr>
                    <pic:cNvPr id="0" name="fig27_production.png"/>
                    <pic:cNvPicPr/>
                  </pic:nvPicPr>
                  <pic:blipFill>
                    <a:blip r:embed="rId28"/>
                    <a:stretch>
                      <a:fillRect/>
                    </a:stretch>
                  </pic:blipFill>
                  <pic:spPr>
                    <a:xfrm>
                      <a:off x="0" y="0"/>
                      <a:ext cx="5760000" cy="1728000"/>
                    </a:xfrm>
                    <a:prstGeom prst="rect"/>
                  </pic:spPr>
                </pic:pic>
              </a:graphicData>
            </a:graphic>
          </wp:inline>
        </w:drawing>
      </w:r>
    </w:p>
    <w:p>
      <w:pPr>
        <w:jc w:val="center"/>
      </w:pPr>
      <w:r>
        <w:rPr>
          <w:i/>
          <w:color w:val="333333"/>
          <w:sz w:val="19"/>
        </w:rPr>
        <w:t>Figure 27 Production portrait: 72% near-idle, 4268 short bursts, 5.76x oversubscription anchor</w:t>
      </w:r>
    </w:p>
    <w:p>
      <w:r>
        <w:t xml:space="preserve">Both production hosts are </w:t>
      </w:r>
      <w:r>
        <w:rPr>
          <w:b/>
          <w:i w:val="0"/>
        </w:rPr>
        <w:t>infrastructure we operate ourselves, offered as free VPS to external users</w:t>
      </w:r>
      <w:r>
        <w:t xml:space="preserve">; telemetry runs on our own facility, read-only, with anonymized user VMs (no names/IPs/business content). This section quantifies the portrait from one of them (LEC-HK-1): Xeon Gold 6248 (50 cores, no SMT, single NUMA), 251.7 GiB RAM + 64 GiB swap, one 1.1 TB SSD (393 GB used), PVE 9.2.21. A one-shot read-only inventory (procfs + </w:t>
      </w:r>
      <w:r>
        <w:rPr>
          <w:rFonts w:ascii="Consolas" w:hAnsi="Consolas"/>
          <w:sz w:val="20"/>
        </w:rPr>
        <w:t>*.conf</w:t>
      </w:r>
      <w:r>
        <w:t xml:space="preserve"> files; no PVE API) gives </w:t>
      </w:r>
      <w:r>
        <w:rPr>
          <w:b/>
          <w:i w:val="0"/>
        </w:rPr>
        <w:t>285 VMs configured / 276 running</w:t>
      </w:r>
      <w:r>
        <w:t xml:space="preserve">, </w:t>
      </w:r>
      <w:r>
        <w:rPr>
          <w:b/>
          <w:i w:val="0"/>
        </w:rPr>
        <w:t>sum vCPU = 417 (8.3x)</w:t>
      </w:r>
      <w:r>
        <w:t xml:space="preserve">, </w:t>
      </w:r>
      <w:r>
        <w:rPr>
          <w:b/>
          <w:i w:val="0"/>
        </w:rPr>
        <w:t>sum RAM = 500 GB (2.0x)</w:t>
      </w:r>
      <w:r>
        <w:t xml:space="preserve">, </w:t>
      </w:r>
      <w:r>
        <w:rPr>
          <w:b/>
          <w:i w:val="0"/>
        </w:rPr>
        <w:t>sum disk = 5.38 TB thin-allocated on a 1.1 TB volume (4.9x, 36% actually used)</w:t>
      </w:r>
      <w:r>
        <w:t>; disks are qcow2 thin clones sharing base template images. The 60 s telemetry window saw 210 running VMs (sum vCPU = 288, 5.8x) — running counts fluctuate 210–276 over the lifecycle. Usage boundary: no training, no scheduling feedback, no active experiments.</w:t>
      </w:r>
    </w:p>
    <w:p>
      <w:r>
        <w:rPr>
          <w:b/>
          <w:i w:val="0"/>
        </w:rPr>
        <w:t>Unit check.</w:t>
      </w:r>
      <w:r>
        <w:t xml:space="preserve"> Sum of guest </w:t>
      </w:r>
      <w:r>
        <w:rPr>
          <w:rFonts w:ascii="Consolas" w:hAnsi="Consolas"/>
          <w:sz w:val="20"/>
        </w:rPr>
        <w:t>cpu</w:t>
      </w:r>
      <w:r>
        <w:t xml:space="preserve"> x vCPUs = 15.3 cores ~ host counter busy = 14.8 cores; the single-core reading gives only 10.2 cores — the guest </w:t>
      </w:r>
      <w:r>
        <w:rPr>
          <w:rFonts w:ascii="Consolas" w:hAnsi="Consolas"/>
          <w:sz w:val="20"/>
        </w:rPr>
        <w:t>cpu</w:t>
      </w:r>
      <w:r>
        <w:t xml:space="preserve"> field is confirmed as </w:t>
      </w:r>
      <w:r>
        <w:rPr>
          <w:b/>
          <w:i w:val="0"/>
        </w:rPr>
        <w:t>fraction of allocated vCPU</w:t>
      </w:r>
      <w:r>
        <w:t>, consistent at host level.</w:t>
      </w:r>
    </w:p>
    <w:p>
      <w:r>
        <w:rPr>
          <w:b/>
          <w:i w:val="0"/>
        </w:rPr>
        <w:t>Portrait (Figure 27).</w:t>
      </w:r>
      <w:r>
        <w:t xml:space="preserve"> Classes: idle (&lt;5%) 71.9%, light (5–30%) 27.1%, heavy (&gt;30%) 1.0%, matching the "mostly idle, a few heavy" modeling premise. Oversubscription anchors: 5.76x vCPU oversubscription (configured vCPUs over 50 cores), 1.12x memory-limit oversubscription, and about 95 GiB of actual memory in use — the testbed's 5x scale comes from real practice, not inflation. Burst structure: 4268 active runs (&gt;=5% consecutive), median 1 minute, 3550 of them single-minute, short bursts dominate; value-level autocorrelation is ~0 across 1–30 min, so there is no minute-scale persistence and no clock period, while the state layer persists (Markov self-transitions 0.85/0.37/0.26) — real bursts are runs of varying length with drifting phase, neither i.i.d. nor clocked. Saturated instances (&gt;=95% vCPU) occupy 0.046% of VM-samples: genuinely heavy tenants are rare but present.</w:t>
      </w:r>
    </w:p>
    <w:p>
      <w:r>
        <w:rPr>
          <w:b/>
          <w:i w:val="0"/>
        </w:rPr>
        <w:t>Implications.</w:t>
      </w:r>
      <w:r>
        <w:t xml:space="preserve"> (i) A 1% heavy class plus instantaneous overlap is the entire risk source — echoing the Chapter 4 result that a single pegged neighbor collapses the tail; (ii) real bursts drift rather than tick: the synthetic "strict 60 s alignment" is a </w:t>
      </w:r>
      <w:r>
        <w:rPr>
          <w:b/>
          <w:i w:val="0"/>
        </w:rPr>
        <w:t>worst-case upper bound</w:t>
      </w:r>
      <w:r>
        <w:t xml:space="preserve">, so the mixed-phase model's </w:t>
      </w:r>
      <m:oMath>
        <m:r>
          <m:t xml:space="preserve">φ</m:t>
        </m:r>
      </m:oMath>
      <w:r>
        <w:t xml:space="preserve"> should be read low on production hosts and safe capacity sits near the random end — consistent with 5.76x oversubscription running in the field; (iii) the read-only interface lacks throttle counters, so the censoring share is proxied by the saturated-instance fraction as a lower bound; (iv) </w:t>
      </w:r>
      <w:r>
        <w:rPr>
          <w:b/>
          <w:i w:val="0"/>
        </w:rPr>
        <w:t>inter-tenant correlation (minute granularity)</w:t>
      </w:r>
      <w:r>
        <w:t xml:space="preserve">: 204 active VMs, 20706 pairs, mean Pearson r = 0.12, median 0.07, P95 0.45, 15.7% of pairs above 0.3 — </w:t>
      </w:r>
      <w:r>
        <w:rPr>
          <w:b w:val="0"/>
          <w:i/>
        </w:rPr>
        <w:t>weakly positive, not independent</w:t>
      </w:r>
      <w:r>
        <w:t xml:space="preserve">: phase structure is not an artifact of synthetic loads, while the random-end assumption of the capacity model is only an approximation; sub-minute synchrony stays invisible at this granularity. (v) </w:t>
      </w:r>
      <w:r>
        <w:rPr>
          <w:b/>
          <w:i w:val="0"/>
        </w:rPr>
        <w:t>Two-window representativeness:</w:t>
      </w:r>
      <w:r>
        <w:t xml:space="preserve"> the 3-h dense excerpt is a night-time quiet segment (busy 30.1%), while the 42-h light window covers day and night (busy 37.3%, peak 66.1%) - the "mostly idle" portrait is a per-VM statement; host-level load follows a day/night rhythm, and capacity-model anchors taken from the quiet segment are labeled as such (the controlled experiments here align with that segment; day/night peak regimes are future work).</w:t>
      </w:r>
    </w:p>
    <w:p>
      <w:r>
        <w:rPr>
          <w:b/>
          <w:i w:val="0"/>
        </w:rPr>
        <w:t>Second production host (OVH ns503701).</w:t>
      </w:r>
      <w:r>
        <w:t xml:space="preserve"> A 6-hour dense window (60 s samples, 344 points) on a second, independent production host: Xeon E5-1630 v4 (4 cores / 8 threads, 62.7 GiB RAM; swap nearly full at inventory time) with </w:t>
      </w:r>
      <w:r>
        <w:rPr>
          <w:b/>
          <w:i w:val="0"/>
        </w:rPr>
        <w:t>66 running guests, sum vCPU 73 (9.1x)</w:t>
      </w:r>
      <w:r>
        <w:t xml:space="preserve">; host busy mean </w:t>
      </w:r>
      <w:r>
        <w:rPr>
          <w:b/>
          <w:i w:val="0"/>
        </w:rPr>
        <w:t>30.9%</w:t>
      </w:r>
      <w:r>
        <w:t xml:space="preserve"> (peak 44.6%); CPU PSI (some) avg300 7.2 mean / 8.2 peak, PSI (full) 0.0 throughout; guest CPU consumption 1.84 of 8 threads (23%); node memory in use 43.3 of 62.7 GiB (69%); heavy share (&gt;=30% of a vCPU) 2.2%. The portrait reproduces the HK structure at similar density: </w:t>
      </w:r>
      <w:r>
        <w:rPr>
          <w:b/>
          <w:i w:val="0"/>
        </w:rPr>
        <w:t>9-12x vCPU oversubscription coexisting with a mostly-idle host and zero full-stall pressure</w:t>
      </w:r>
      <w:r>
        <w:t>, corroborating that the testbed's scale and the "mostly idle, a few heavy" premise are drawn from field practice.</w:t>
      </w:r>
    </w:p>
    <w:p>
      <w:r>
        <w:rPr>
          <w:b/>
          <w:i w:val="0"/>
        </w:rPr>
        <w:t>Boundaries and the two-state anchor (Figure 31).</w:t>
      </w:r>
      <w:r>
        <w:t xml:space="preserve"> The dense window is only 170 minutes and is a </w:t>
      </w:r>
      <w:r>
        <w:rPr>
          <w:b/>
          <w:i w:val="0"/>
        </w:rPr>
        <w:t>night-time quiet segment</w:t>
      </w:r>
      <w:r>
        <w:t xml:space="preserve"> (host busy 30.1%, peak 47.2%); the light stream has accumulated </w:t>
      </w:r>
      <w:r>
        <w:rPr>
          <w:b/>
          <w:i w:val="0"/>
        </w:rPr>
        <w:t>42 hours of day/night coverage</w:t>
      </w:r>
      <w:r>
        <w:t xml:space="preserve"> (as of 2026-10-14; 305 points at 5-minute intervals, ~39% of samples missing to relay jitter): host busy mean </w:t>
      </w:r>
      <w:r>
        <w:rPr>
          <w:b/>
          <w:i w:val="0"/>
        </w:rPr>
        <w:t>37.3%</w:t>
      </w:r>
      <w:r>
        <w:t xml:space="preserve">, P95 55.3%, peak </w:t>
      </w:r>
      <w:r>
        <w:rPr>
          <w:b/>
          <w:i w:val="0"/>
        </w:rPr>
        <w:t>66.1%</w:t>
      </w:r>
      <w:r>
        <w:t xml:space="preserve">; guests consume 14.8% of host CPU on average; memory available never drops below </w:t>
      </w:r>
      <w:r>
        <w:rPr>
          <w:b/>
          <w:i w:val="0"/>
        </w:rPr>
        <w:t>63.7 GB</w:t>
      </w:r>
      <w:r>
        <w:t>; CPU PSI avg300 mean 5.2, peak 14.0; no reboot in the window. The two-state anchor holds: the quiet/night dense segment (to which the controlled testbed experiments align) and the full day/night light segment together bracket the real load range. 1-minute granularity cannot resolve sub-minute synchrony.</w:t>
      </w:r>
    </w:p>
    <w:p>
      <w:pPr>
        <w:jc w:val="center"/>
      </w:pPr>
      <w:r>
        <w:drawing>
          <wp:inline xmlns:a="http://schemas.openxmlformats.org/drawingml/2006/main" xmlns:pic="http://schemas.openxmlformats.org/drawingml/2006/picture">
            <wp:extent cx="5760000" cy="1885091"/>
            <wp:docPr id="20" name="Picture 20"/>
            <wp:cNvGraphicFramePr>
              <a:graphicFrameLocks noChangeAspect="1"/>
            </wp:cNvGraphicFramePr>
            <a:graphic>
              <a:graphicData uri="http://schemas.openxmlformats.org/drawingml/2006/picture">
                <pic:pic>
                  <pic:nvPicPr>
                    <pic:cNvPr id="0" name="fig31_light_window.png"/>
                    <pic:cNvPicPr/>
                  </pic:nvPicPr>
                  <pic:blipFill>
                    <a:blip r:embed="rId29"/>
                    <a:stretch>
                      <a:fillRect/>
                    </a:stretch>
                  </pic:blipFill>
                  <pic:spPr>
                    <a:xfrm>
                      <a:off x="0" y="0"/>
                      <a:ext cx="5760000" cy="1885091"/>
                    </a:xfrm>
                    <a:prstGeom prst="rect"/>
                  </pic:spPr>
                </pic:pic>
              </a:graphicData>
            </a:graphic>
          </wp:inline>
        </w:drawing>
      </w:r>
    </w:p>
    <w:p>
      <w:pPr>
        <w:jc w:val="center"/>
      </w:pPr>
      <w:r>
        <w:rPr>
          <w:i/>
          <w:color w:val="333333"/>
          <w:sz w:val="19"/>
        </w:rPr>
        <w:t>Figure 31 Production two-state anchor: 42-h light window vs the 3-h night excerpt</w:t>
      </w:r>
    </w:p>
    <w:p>
      <w:pPr>
        <w:pStyle w:val="Heading1"/>
        <w:pageBreakBefore/>
      </w:pPr>
      <w:r>
        <w:t>8 Physical-Host Validation and the Density Law</w:t>
      </w:r>
    </w:p>
    <w:p>
      <w:pPr>
        <w:ind w:left="454"/>
      </w:pPr>
      <w:r>
        <w:rPr>
          <w:i/>
        </w:rPr>
        <w:t xml:space="preserve">This chapter answers the "single nested testbed, too small to generalize" concern: on a </w:t>
      </w:r>
      <w:r>
        <w:rPr>
          <w:b/>
          <w:i/>
        </w:rPr>
        <w:t>bare-metal host</w:t>
      </w:r>
    </w:p>
    <w:p>
      <w:pPr>
        <w:ind w:left="454"/>
      </w:pPr>
      <w:r>
        <w:rPr>
          <w:i/>
        </w:rPr>
        <w:t>(2x Xeon Platinum 8259CL, 48 cores / 96 threads, 991 GiB, PVE 9.2.20, non-nested) we replicate the core</w:t>
      </w:r>
    </w:p>
    <w:p>
      <w:pPr>
        <w:ind w:left="454"/>
      </w:pPr>
      <w:r>
        <w:rPr>
          <w:i/>
        </w:rPr>
        <w:t xml:space="preserve">conclusions of Chapters 4–6 with a </w:t>
      </w:r>
      <w:r>
        <w:rPr>
          <w:b/>
          <w:i/>
        </w:rPr>
        <w:t>64-VM customer fleet</w:t>
      </w:r>
      <w:r>
        <w:rPr>
          <w:i/>
        </w:rPr>
        <w:t>, and upgrade "safe sell capacity" from a</w:t>
      </w:r>
    </w:p>
    <w:p>
      <w:pPr>
        <w:ind w:left="454"/>
      </w:pPr>
      <w:r>
        <w:rPr>
          <w:i/>
        </w:rPr>
        <w:t xml:space="preserve">qualitative statement into </w:t>
      </w:r>
      <w:r>
        <w:rPr>
          <w:b/>
          <w:i/>
        </w:rPr>
        <w:t>quantified curves and a law</w:t>
      </w:r>
      <w:r>
        <w:rPr>
          <w:i/>
        </w:rPr>
        <w:t xml:space="preserve"> (§8.5: N* ≈ C/(ρκ)).</w:t>
      </w:r>
    </w:p>
    <w:p>
      <w:pPr>
        <w:pStyle w:val="Heading2"/>
      </w:pPr>
      <w:r>
        <w:t>8.1 Testbed</w:t>
      </w:r>
    </w:p>
    <w:p>
      <w:r>
        <w:t xml:space="preserve">Host: 2x Xeon Platinum 8259CL (48 physical cores / 96 threads, dual NUMA), 8x128 GB DCPMM (Memory Mode, 991 GiB usable, 520+520 GiB per node), 3x NVMe + 2x SATA SSD, PVE 9.2.20 (kernel 7.0.14-19-pve, </w:t>
      </w:r>
      <w:r>
        <w:rPr>
          <w:rFonts w:ascii="Consolas" w:hAnsi="Consolas"/>
          <w:sz w:val="20"/>
        </w:rPr>
        <w:t>systemd-detect-virt=none</w:t>
      </w:r>
      <w:r>
        <w:t xml:space="preserve">), internal </w:t>
      </w:r>
      <w:r>
        <w:rPr>
          <w:rFonts w:ascii="Consolas" w:hAnsi="Consolas"/>
          <w:sz w:val="20"/>
        </w:rPr>
        <w:t>vmbr0</w:t>
      </w:r>
      <w:r>
        <w:t xml:space="preserve"> 10.10.0.0/24 with NAT.</w:t>
      </w:r>
    </w:p>
    <w:p>
      <w:r>
        <w:t xml:space="preserve">Fleet: one HTTP (nginx), one Redis, one probe (open loop, 100 req/s), </w:t>
      </w:r>
      <w:r>
        <w:rPr>
          <w:b/>
          <w:i w:val="0"/>
        </w:rPr>
        <w:t>64 customer VMs</w:t>
      </w:r>
      <w:r>
        <w:t xml:space="preserve"> (1 vCPU / 1 GiB, Debian 12 cloud template). Tenant load uses the Chapter 4 duty-cycle burner (</w:t>
      </w:r>
      <w:r>
        <w:rPr>
          <w:rFonts w:ascii="Consolas" w:hAnsi="Consolas"/>
          <w:sz w:val="20"/>
        </w:rPr>
        <w:t>burner.py</w:t>
      </w:r>
      <w:r>
        <w:t xml:space="preserve">); per-tenant rate logs provide </w:t>
      </w:r>
      <w:r>
        <w:rPr>
          <w:b/>
          <w:i w:val="0"/>
        </w:rPr>
        <w:t>per-customer experience metrics</w:t>
      </w:r>
      <w:r>
        <w:t xml:space="preserve">. Services and probe are core-isolated (cores 2/3/4); the tenant pool is pinned with </w:t>
      </w:r>
      <w:r>
        <w:rPr>
          <w:rFonts w:ascii="Consolas" w:hAnsi="Consolas"/>
          <w:sz w:val="20"/>
        </w:rPr>
        <w:t>taskset -apc</w:t>
      </w:r>
      <w:r>
        <w:t xml:space="preserve"> (2–32 cores configurable). </w:t>
      </w:r>
      <w:r>
        <w:rPr>
          <w:b/>
          <w:i w:val="0"/>
        </w:rPr>
        <w:t>The isolation claim is topology-verified</w:t>
      </w:r>
      <w:r>
        <w:t>: the SMT siblings of the service cores (50/51/52) do not intersect the sibling set of the tenant pool 8–23 (56–71), and all live on NUMA node 0 — physical-core isolation, not merely disjoint logical numbering.</w:t>
      </w:r>
    </w:p>
    <w:p>
      <w:pPr>
        <w:ind w:left="454"/>
      </w:pPr>
      <w:r>
        <w:rPr>
          <w:i/>
        </w:rPr>
        <w:t>Recorded incident: during setup the host suffered one kernel panic (`Attempted to kill init!</w:t>
      </w:r>
    </w:p>
    <w:p>
      <w:pPr>
        <w:ind w:left="454"/>
      </w:pPr>
      <w:r>
        <w:rPr>
          <w:i/>
        </w:rPr>
        <w:t>exitcode=0x9`, log stops near a batch VM start); at the time its memory subsystem was degraded (only 7 of</w:t>
      </w:r>
    </w:p>
    <w:p>
      <w:pPr>
        <w:ind w:left="454"/>
      </w:pPr>
      <w:r>
        <w:rPr>
          <w:i/>
        </w:rPr>
        <w:t>8 DCPMM online). After a cold boot fixed memory (8/8 online, 991 GiB), batched starts of 48 VMs plus</w:t>
      </w:r>
    </w:p>
    <w:p>
      <w:pPr>
        <w:ind w:left="454"/>
      </w:pPr>
      <w:r>
        <w:rPr>
          <w:i/>
        </w:rPr>
        <w:t>hours of saturated experiments ran clean. Not part of the method, but evidence that production hardware</w:t>
      </w:r>
    </w:p>
    <w:p>
      <w:pPr>
        <w:ind w:left="454"/>
      </w:pPr>
      <w:r>
        <w:rPr>
          <w:i/>
        </w:rPr>
        <w:t>also runs sick — monitoring and conservative design matter more, not less.</w:t>
      </w:r>
    </w:p>
    <w:p>
      <w:pPr>
        <w:pStyle w:val="Heading2"/>
      </w:pPr>
      <w:r>
        <w:t>8.2 Multi-Scale Knee Replication (Figure 14)</w:t>
      </w:r>
    </w:p>
    <w:p>
      <w:pPr>
        <w:jc w:val="center"/>
      </w:pPr>
      <w:r>
        <w:drawing>
          <wp:inline xmlns:a="http://schemas.openxmlformats.org/drawingml/2006/main" xmlns:pic="http://schemas.openxmlformats.org/drawingml/2006/picture">
            <wp:extent cx="5760000" cy="2139429"/>
            <wp:docPr id="21" name="Picture 21"/>
            <wp:cNvGraphicFramePr>
              <a:graphicFrameLocks noChangeAspect="1"/>
            </wp:cNvGraphicFramePr>
            <a:graphic>
              <a:graphicData uri="http://schemas.openxmlformats.org/drawingml/2006/picture">
                <pic:pic>
                  <pic:nvPicPr>
                    <pic:cNvPr id="0" name="fig14_phys_knee.png"/>
                    <pic:cNvPicPr/>
                  </pic:nvPicPr>
                  <pic:blipFill>
                    <a:blip r:embed="rId30"/>
                    <a:stretch>
                      <a:fillRect/>
                    </a:stretch>
                  </pic:blipFill>
                  <pic:spPr>
                    <a:xfrm>
                      <a:off x="0" y="0"/>
                      <a:ext cx="5760000" cy="2139429"/>
                    </a:xfrm>
                    <a:prstGeom prst="rect"/>
                  </pic:spPr>
                </pic:pic>
              </a:graphicData>
            </a:graphic>
          </wp:inline>
        </w:drawing>
      </w:r>
    </w:p>
    <w:p>
      <w:pPr>
        <w:jc w:val="center"/>
      </w:pPr>
      <w:r>
        <w:rPr>
          <w:i/>
          <w:color w:val="333333"/>
          <w:sz w:val="19"/>
        </w:rPr>
        <w:t>Figure 14 Physical host multi-scale knee: isolation vs shared (4 rounds)</w:t>
      </w:r>
    </w:p>
    <w:p>
      <w:r>
        <w:t xml:space="preserve">The Section 4.1 knee experiment scaled to five pool sizes (2/4/8/16/32 physical cores), with services either </w:t>
      </w:r>
      <w:r>
        <w:rPr>
          <w:b/>
          <w:i w:val="0"/>
        </w:rPr>
        <w:t>isolated</w:t>
      </w:r>
      <w:r>
        <w:t xml:space="preserve"> (dedicated cores) or </w:t>
      </w:r>
      <w:r>
        <w:rPr>
          <w:b/>
          <w:i w:val="0"/>
        </w:rPr>
        <w:t>shared</w:t>
      </w:r>
      <w:r>
        <w:t xml:space="preserve"> (inside the pool); pegged neighbors (1 core each) are added step by step; service P99 is recorded (Figure 14; x-axis = pegged tenants / pool cores).</w:t>
      </w:r>
    </w:p>
    <w:p>
      <w:r>
        <w:rPr>
          <w:b/>
          <w:i w:val="0"/>
        </w:rPr>
        <w:t>Results.</w:t>
      </w:r>
    </w:p>
    <w:p>
      <w:pPr>
        <w:pStyle w:val="ListBullet"/>
      </w:pPr>
      <w:r>
        <w:rPr>
          <w:b/>
          <w:i w:val="0"/>
        </w:rPr>
        <w:t>Isolated</w:t>
      </w:r>
      <w:r>
        <w:t>: P99 stays at 0.68–0.78 ms across all five scales and oversubscription ratios 0–2.5x — even</w:t>
      </w:r>
    </w:p>
    <w:p>
      <w:r>
        <w:t xml:space="preserve">  48 pegged neighbors on a 32-core pool. "Isolation protects the tail" survives the jump from a 4-vCPU nested bed to a 96-thread physical host.</w:t>
      </w:r>
    </w:p>
    <w:p>
      <w:pPr>
        <w:pStyle w:val="ListBullet"/>
      </w:pPr>
      <w:r>
        <w:rPr>
          <w:b/>
          <w:i w:val="0"/>
        </w:rPr>
        <w:t>Shared</w:t>
      </w:r>
      <w:r>
        <w:t xml:space="preserve">: every scale cliffs exactly at the </w:t>
      </w:r>
      <w:r>
        <w:rPr>
          <w:b/>
          <w:i w:val="0"/>
        </w:rPr>
        <w:t>pool saturation point (ratio = 1.0)</w:t>
      </w:r>
      <w:r>
        <w:t xml:space="preserve"> — 2-core L2→L4</w:t>
      </w:r>
    </w:p>
    <w:p>
      <w:r>
        <w:t xml:space="preserve">  (4.1→10.2 ms), 4-core L3→L4 (1.5→10.2 ms), 16-core L13→L16 (1.0→12.0 ms). The </w:t>
      </w:r>
      <w:r>
        <w:rPr>
          <w:b/>
          <w:i w:val="0"/>
        </w:rPr>
        <w:t>4-round fine scan</w:t>
      </w:r>
      <w:r>
        <w:t xml:space="preserve"> of the 16-core pool: L15 = 2.13 ms [2.00–2.29] (still flat), L16 = 10.95 ms [9.97–12.02], </w:t>
      </w:r>
      <w:r>
        <w:rPr>
          <w:b/>
          <w:i w:val="0"/>
        </w:rPr>
        <w:t>4/4 rounds jump at L15→L16</w:t>
      </w:r>
      <w:r>
        <w:t>; beyond saturation (L17–L18) P99 plateaus at 9.8–10.6 ms. Same shape as BeroHost's 3→4.</w:t>
      </w:r>
    </w:p>
    <w:p>
      <w:r>
        <w:rPr>
          <w:b/>
          <w:i w:val="0"/>
        </w:rPr>
        <w:t>Reading.</w:t>
      </w:r>
      <w:r>
        <w:t xml:space="preserve"> Scale changes the ticks, not the shape: the shared-pool knee always sits where peak demand meets pool capacity; isolation flattens the whole curve. This answers the external-validity concern directly: on a 96-thread machine the phenomenon, its magnitude (0.7 ms → 10–12 ms) and the isolation result all replicate item by item.</w:t>
      </w:r>
    </w:p>
    <w:p>
      <w:pPr>
        <w:pStyle w:val="Heading2"/>
      </w:pPr>
      <w:r>
        <w:t>8.3 Phase Structure: Synchronized vs Randomized (Figure 15)</w:t>
      </w:r>
    </w:p>
    <w:p>
      <w:pPr>
        <w:jc w:val="center"/>
      </w:pPr>
      <w:r>
        <w:drawing>
          <wp:inline xmlns:a="http://schemas.openxmlformats.org/drawingml/2006/main" xmlns:pic="http://schemas.openxmlformats.org/drawingml/2006/picture">
            <wp:extent cx="5760000" cy="1885091"/>
            <wp:docPr id="22" name="Picture 22"/>
            <wp:cNvGraphicFramePr>
              <a:graphicFrameLocks noChangeAspect="1"/>
            </wp:cNvGraphicFramePr>
            <a:graphic>
              <a:graphicData uri="http://schemas.openxmlformats.org/drawingml/2006/picture">
                <pic:pic>
                  <pic:nvPicPr>
                    <pic:cNvPr id="0" name="fig15_phys_sync.png"/>
                    <pic:cNvPicPr/>
                  </pic:nvPicPr>
                  <pic:blipFill>
                    <a:blip r:embed="rId31"/>
                    <a:stretch>
                      <a:fillRect/>
                    </a:stretch>
                  </pic:blipFill>
                  <pic:spPr>
                    <a:xfrm>
                      <a:off x="0" y="0"/>
                      <a:ext cx="5760000" cy="1885091"/>
                    </a:xfrm>
                    <a:prstGeom prst="rect"/>
                  </pic:spPr>
                </pic:pic>
              </a:graphicData>
            </a:graphic>
          </wp:inline>
        </w:drawing>
      </w:r>
    </w:p>
    <w:p>
      <w:pPr>
        <w:jc w:val="center"/>
      </w:pPr>
      <w:r>
        <w:rPr>
          <w:i/>
          <w:color w:val="333333"/>
          <w:sz w:val="19"/>
        </w:rPr>
        <w:t>Figure 15 64-tenant fleet: synchronized vs random (timeline + 3-round repeat)</w:t>
      </w:r>
    </w:p>
    <w:p>
      <w:r>
        <w:t>The Section 4.2 synchronized-burst experiment scaled to 64 tenants (20% duty / 60 s), half randomized, half aligned, all inside one 16-core pool (no isolation).</w:t>
      </w:r>
    </w:p>
    <w:p>
      <w:r>
        <w:rPr>
          <w:b/>
          <w:i w:val="0"/>
        </w:rPr>
        <w:t>Results.</w:t>
      </w:r>
    </w:p>
    <w:p>
      <w:r>
        <w:rPr>
          <w:b/>
          <w:i w:val="0"/>
        </w:rPr>
        <w:t>Table 20.</w:t>
      </w:r>
      <w:r>
        <w:t xml:space="preserve"> Production-schedule replay: metrics in random vs aligned phase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Metric</w:t>
            </w:r>
          </w:p>
        </w:tc>
        <w:tc>
          <w:tcPr>
            <w:tcW w:type="dxa" w:w="3324"/>
          </w:tcPr>
          <w:p>
            <w:r>
              <w:rPr>
                <w:b/>
                <w:sz w:val="19"/>
              </w:rPr>
              <w:t>Random phase</w:t>
            </w:r>
          </w:p>
        </w:tc>
        <w:tc>
          <w:tcPr>
            <w:tcW w:type="dxa" w:w="3324"/>
          </w:tcPr>
          <w:p>
            <w:r>
              <w:rPr>
                <w:b/>
                <w:sz w:val="19"/>
              </w:rPr>
              <w:t>Aligned phase</w:t>
            </w:r>
          </w:p>
        </w:tc>
      </w:tr>
      <w:tr>
        <w:tc>
          <w:tcPr>
            <w:tcW w:type="dxa" w:w="3324"/>
          </w:tcPr>
          <w:p>
            <w:r>
              <w:rPr>
                <w:sz w:val="19"/>
              </w:rPr>
              <w:t>Service P99</w:t>
            </w:r>
          </w:p>
        </w:tc>
        <w:tc>
          <w:tcPr>
            <w:tcW w:type="dxa" w:w="3324"/>
          </w:tcPr>
          <w:p>
            <w:r>
              <w:rPr>
                <w:sz w:val="19"/>
              </w:rPr>
              <w:t>8.8 ms</w:t>
            </w:r>
          </w:p>
        </w:tc>
        <w:tc>
          <w:tcPr>
            <w:tcW w:type="dxa" w:w="3324"/>
          </w:tcPr>
          <w:p>
            <w:r>
              <w:rPr>
                <w:sz w:val="19"/>
              </w:rPr>
              <w:t>3.6 ms (mean)</w:t>
            </w:r>
          </w:p>
        </w:tc>
      </w:tr>
      <w:tr>
        <w:tc>
          <w:tcPr>
            <w:tcW w:type="dxa" w:w="3324"/>
          </w:tcPr>
          <w:p>
            <w:r>
              <w:rPr>
                <w:sz w:val="19"/>
              </w:rPr>
              <w:t>Hot-spot timing</w:t>
            </w:r>
          </w:p>
        </w:tc>
        <w:tc>
          <w:tcPr>
            <w:tcW w:type="dxa" w:w="3324"/>
          </w:tcPr>
          <w:p>
            <w:r>
              <w:rPr>
                <w:sz w:val="19"/>
              </w:rPr>
              <w:t>scattered (gaps 20–40 s)</w:t>
            </w:r>
          </w:p>
        </w:tc>
        <w:tc>
          <w:tcPr>
            <w:tcW w:type="dxa" w:w="3324"/>
          </w:tcPr>
          <w:p>
            <w:r>
              <w:rPr>
                <w:sz w:val="19"/>
              </w:rPr>
              <w:t>strict 60 s period</w:t>
            </w:r>
          </w:p>
        </w:tc>
      </w:tr>
      <w:tr>
        <w:tc>
          <w:tcPr>
            <w:tcW w:type="dxa" w:w="3324"/>
          </w:tcPr>
          <w:p>
            <w:r>
              <w:rPr>
                <w:sz w:val="19"/>
              </w:rPr>
              <w:t>Customer rate</w:t>
            </w:r>
          </w:p>
        </w:tc>
        <w:tc>
          <w:tcPr>
            <w:tcW w:type="dxa" w:w="3324"/>
          </w:tcPr>
          <w:p>
            <w:r>
              <w:rPr>
                <w:sz w:val="19"/>
              </w:rPr>
              <w:t>slow erosion</w:t>
            </w:r>
          </w:p>
        </w:tc>
        <w:tc>
          <w:tcPr>
            <w:tcW w:type="dxa" w:w="3324"/>
          </w:tcPr>
          <w:p>
            <w:r>
              <w:rPr>
                <w:sz w:val="19"/>
              </w:rPr>
              <w:t>cliff during bursts (quantified in §8.4)</w:t>
            </w:r>
          </w:p>
        </w:tc>
      </w:tr>
    </w:tbl>
    <w:p/>
    <w:p>
      <w:r>
        <w:rPr>
          <w:b/>
          <w:i w:val="0"/>
        </w:rPr>
        <w:t>Replication (Figure 15 right):</w:t>
      </w:r>
      <w:r>
        <w:t xml:space="preserve"> three rounds each (r1–r3). All five hot-cluster gaps of the aligned rounds hit exactly 60 s; random gaps scatter over 20–40 s with no fixed beat. The two "damage signatures" (periodic spikes vs baseline lift) reproduce across repeats.</w:t>
      </w:r>
    </w:p>
    <w:p>
      <w:r>
        <w:rPr>
          <w:b/>
          <w:i w:val="0"/>
        </w:rPr>
        <w:t>Reading.</w:t>
      </w:r>
      <w:r>
        <w:t xml:space="preserve"> The two phases hurt differently: synchronization is a </w:t>
      </w:r>
      <w:r>
        <w:rPr>
          <w:b w:val="0"/>
          <w:i/>
        </w:rPr>
        <w:t>predictable periodic spike</w:t>
      </w:r>
      <w:r>
        <w:t xml:space="preserve"> (the whole group contending inside each 60 s window); randomization </w:t>
      </w:r>
      <w:r>
        <w:rPr>
          <w:b w:val="0"/>
          <w:i/>
        </w:rPr>
        <w:t>lifts the baseline</w:t>
      </w:r>
      <w:r>
        <w:t>. This refines Section 4.2 (spikes are the signature of synchronization, not a monotone "sync is worse" ordering) and motivates time-aligned admission: periodic structure can be measured, exploited (avoid peaks) or treated (anti-phase arrangement), while random structure can only be absorbed by headroom.</w:t>
      </w:r>
    </w:p>
    <w:p>
      <w:pPr>
        <w:pStyle w:val="Heading2"/>
      </w:pPr>
      <w:r>
        <w:t>8.4 Safe Sell Capacity (Figure 16, core result)</w:t>
      </w:r>
    </w:p>
    <w:p>
      <w:pPr>
        <w:jc w:val="center"/>
      </w:pPr>
      <w:r>
        <w:drawing>
          <wp:inline xmlns:a="http://schemas.openxmlformats.org/drawingml/2006/main" xmlns:pic="http://schemas.openxmlformats.org/drawingml/2006/picture">
            <wp:extent cx="5760000" cy="2139429"/>
            <wp:docPr id="23" name="Picture 23"/>
            <wp:cNvGraphicFramePr>
              <a:graphicFrameLocks noChangeAspect="1"/>
            </wp:cNvGraphicFramePr>
            <a:graphic>
              <a:graphicData uri="http://schemas.openxmlformats.org/drawingml/2006/picture">
                <pic:pic>
                  <pic:nvPicPr>
                    <pic:cNvPr id="0" name="fig16_phys_sell.png"/>
                    <pic:cNvPicPr/>
                  </pic:nvPicPr>
                  <pic:blipFill>
                    <a:blip r:embed="rId32"/>
                    <a:stretch>
                      <a:fillRect/>
                    </a:stretch>
                  </pic:blipFill>
                  <pic:spPr>
                    <a:xfrm>
                      <a:off x="0" y="0"/>
                      <a:ext cx="5760000" cy="2139429"/>
                    </a:xfrm>
                    <a:prstGeom prst="rect"/>
                  </pic:spPr>
                </pic:pic>
              </a:graphicData>
            </a:graphic>
          </wp:inline>
        </w:drawing>
      </w:r>
    </w:p>
    <w:p>
      <w:pPr>
        <w:jc w:val="center"/>
      </w:pPr>
      <w:r>
        <w:rPr>
          <w:i/>
          <w:color w:val="333333"/>
          <w:sz w:val="19"/>
        </w:rPr>
        <w:t>Figure 16 Sell capacity on the physical host: customer experience and service side</w:t>
      </w:r>
    </w:p>
    <w:p>
      <w:r>
        <w:rPr>
          <w:b/>
          <w:i w:val="0"/>
        </w:rPr>
        <w:t>Safety definition (unified, pre-declared, applies to all chapters).</w:t>
      </w:r>
      <w:r>
        <w:t xml:space="preserve"> Every capacity statement is a triple of resource, quality constraint and risk budget epsilon. (i) Service side: with window W in [30,120] s, a violation is window P99 &gt; 10 ms </w:t>
      </w:r>
      <w:r>
        <w:rPr>
          <w:b/>
          <w:i w:val="0"/>
        </w:rPr>
        <w:t>or</w:t>
      </w:r>
      <w:r>
        <w:t xml:space="preserve"> any timeout/error; failures are not excluded, and statements read "violation-window rate &lt;= epsilon" with independent-round counts and Clopper-Pearson bounds (Section 5.3.2). The epsilon budget counts the </w:t>
      </w:r>
      <w:r>
        <w:rPr>
          <w:b w:val="0"/>
          <w:i/>
        </w:rPr>
        <w:t>rate</w:t>
      </w:r>
      <w:r>
        <w:t xml:space="preserve"> of violating rounds across an ensemble; it never weakens the within-round bar - a configuration reported as safe at epsilon must meet the customer P5 &gt;= 70% gate in at least (1 - epsilon) of its rounds, and the epsilon = 1 endpoint of the capacity-risk curve is a terminus, not a safe-admission point. (ii) Customer side: the primary bar is customer work-rate P5 &gt;= 70% of the solo baseline, a lower-tail quantile, not a "worst decile". (iii) Capacity oracle: the largest step satisfying both at a given epsilon. Knee (mean cliff), zero-violation capacity (epsilon = 0) and risk-budgeted capacity (epsilon &gt; 0) are three distinct notions, and every mention says which. Timeouts and errors always count as violations, never excluded to polish the successful-request P99.</w:t>
      </w:r>
    </w:p>
    <w:p>
      <w:r>
        <w:rPr>
          <w:b/>
          <w:i w:val="0"/>
        </w:rPr>
        <w:t>Question.</w:t>
      </w:r>
      <w:r>
        <w:t xml:space="preserve"> On an 8-core tenant pool with isolated services, under "service P99 ≤ 10 ms AND customer experience not degraded", how many 1-vCPU VPS can be sold?</w:t>
      </w:r>
    </w:p>
    <w:p>
      <w:r>
        <w:rPr>
          <w:b/>
          <w:i w:val="0"/>
        </w:rPr>
        <w:t>Quality bars (pre-declared, to prevent post-hoc selection).</w:t>
      </w:r>
      <w:r>
        <w:t xml:space="preserve"> Primary bar = </w:t>
      </w:r>
      <w:r>
        <w:rPr>
          <w:b/>
          <w:i w:val="0"/>
        </w:rPr>
        <w:t>service P99 ≤ 10 ms AND customer workout P5 ≥ 70% of the solo baseline</w:t>
      </w:r>
      <w:r>
        <w:t xml:space="preserve"> , i.e., the low tail — the 5th percentile customer keeps ≥70% of solo; note P5 is a lower-tail quantile, not "the worst decile". Sensitivity bars P5 ≥ 90% / P5 ≥ 50% / median P50 ≥ 90% are reported side by side on the same data. Statistics: quantiles are estimated after aggregating per customer and per round (no pooling of per-customer-per-time samples as iid); round-level uncertainty is resampled by round.</w:t>
      </w:r>
    </w:p>
    <w:p>
      <w:r>
        <w:rPr>
          <w:b/>
          <w:i w:val="0"/>
        </w:rPr>
        <w:t>Method.</w:t>
      </w:r>
      <w:r>
        <w:t xml:space="preserve"> Step ladder: L8→L64 (random group) / L4→L32 (aligned group); each step collects 60 s: pool busy (2 s), </w:t>
      </w:r>
      <w:r>
        <w:rPr>
          <w:b/>
          <w:i w:val="0"/>
        </w:rPr>
        <w:t>per-customer burner rate</w:t>
      </w:r>
      <w:r>
        <w:t xml:space="preserve"> (10 s), both service probes. Rates are normalized by the solo single-core baseline (25.9 M it/s); the random group pools 2 rounds (r1+r2, 13–117 per-customer samples), the aligned group </w:t>
      </w:r>
      <w:r>
        <w:rPr>
          <w:b/>
          <w:i w:val="0"/>
        </w:rPr>
        <w:t>2 rounds (r1+r2; the shuffled-order r3 is void due to a level-labeling defect and kept for the record)</w:t>
      </w:r>
      <w:r>
        <w:t>.</w:t>
      </w:r>
    </w:p>
    <w:p>
      <w:r>
        <w:rPr>
          <w:b/>
          <w:i w:val="0"/>
        </w:rPr>
        <w:t>Results (Figure 16; left customer experience, right services).</w:t>
      </w:r>
    </w:p>
    <w:p>
      <w:pPr>
        <w:pStyle w:val="ListBullet"/>
      </w:pPr>
      <w:r>
        <w:rPr>
          <w:b/>
          <w:i w:val="0"/>
        </w:rPr>
        <w:t>Services (right)</w:t>
      </w:r>
      <w:r>
        <w:t>: P99 0.56–0.78 ms at every step in both groups — under the isolation envelope even</w:t>
      </w:r>
    </w:p>
    <w:p>
      <w:r>
        <w:t xml:space="preserve">  "8x oversubscription" leaves the services untouched.</w:t>
      </w:r>
    </w:p>
    <w:p>
      <w:pPr>
        <w:pStyle w:val="ListBullet"/>
      </w:pPr>
      <w:r>
        <w:rPr>
          <w:b/>
          <w:i w:val="0"/>
        </w:rPr>
        <w:t>Customers (left)</w:t>
      </w:r>
      <w:r>
        <w:t>: same load (20% per tenant), same pool; **safe capacity moves with the quality bar</w:t>
      </w:r>
    </w:p>
    <w:p>
      <w:r>
        <w:t xml:space="preserve">  from 3.5x to 4x**:</w:t>
      </w:r>
    </w:p>
    <w:p>
      <w:r>
        <w:rPr>
          <w:b/>
          <w:i w:val="0"/>
        </w:rPr>
        <w:t>Table 21.</w:t>
      </w:r>
      <w:r>
        <w:t xml:space="preserve"> Quality-bar capacities on the physical host: random vs aligned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Quality bar</w:t>
            </w:r>
          </w:p>
        </w:tc>
        <w:tc>
          <w:tcPr>
            <w:tcW w:type="dxa" w:w="2493"/>
          </w:tcPr>
          <w:p>
            <w:r>
              <w:rPr>
                <w:b/>
                <w:sz w:val="19"/>
              </w:rPr>
              <w:t>Random safe N</w:t>
            </w:r>
          </w:p>
        </w:tc>
        <w:tc>
          <w:tcPr>
            <w:tcW w:type="dxa" w:w="2493"/>
          </w:tcPr>
          <w:p>
            <w:r>
              <w:rPr>
                <w:b/>
                <w:sz w:val="19"/>
              </w:rPr>
              <w:t>Aligned safe N</w:t>
            </w:r>
          </w:p>
        </w:tc>
        <w:tc>
          <w:tcPr>
            <w:tcW w:type="dxa" w:w="2493"/>
          </w:tcPr>
          <w:p>
            <w:r>
              <w:rPr>
                <w:b/>
                <w:sz w:val="19"/>
              </w:rPr>
              <w:t>Ratio</w:t>
            </w:r>
          </w:p>
        </w:tc>
      </w:tr>
      <w:tr>
        <w:tc>
          <w:tcPr>
            <w:tcW w:type="dxa" w:w="2493"/>
          </w:tcPr>
          <w:p>
            <w:r>
              <w:rPr>
                <w:sz w:val="19"/>
              </w:rPr>
              <w:t>P5 ≥ 90% (strict)</w:t>
            </w:r>
          </w:p>
        </w:tc>
        <w:tc>
          <w:tcPr>
            <w:tcW w:type="dxa" w:w="2493"/>
          </w:tcPr>
          <w:p>
            <w:r>
              <w:rPr>
                <w:sz w:val="19"/>
              </w:rPr>
              <w:t>28</w:t>
            </w:r>
          </w:p>
        </w:tc>
        <w:tc>
          <w:tcPr>
            <w:tcW w:type="dxa" w:w="2493"/>
          </w:tcPr>
          <w:p>
            <w:r>
              <w:rPr>
                <w:sz w:val="19"/>
              </w:rPr>
              <w:t>8</w:t>
            </w:r>
          </w:p>
        </w:tc>
        <w:tc>
          <w:tcPr>
            <w:tcW w:type="dxa" w:w="2493"/>
          </w:tcPr>
          <w:p>
            <w:r>
              <w:rPr>
                <w:sz w:val="19"/>
              </w:rPr>
              <w:t>3.5x</w:t>
            </w:r>
          </w:p>
        </w:tc>
      </w:tr>
      <w:tr>
        <w:tc>
          <w:tcPr>
            <w:tcW w:type="dxa" w:w="2493"/>
          </w:tcPr>
          <w:p>
            <w:r>
              <w:rPr>
                <w:sz w:val="19"/>
              </w:rPr>
              <w:t>P5 ≥ 70% (primary)</w:t>
            </w:r>
          </w:p>
        </w:tc>
        <w:tc>
          <w:tcPr>
            <w:tcW w:type="dxa" w:w="2493"/>
          </w:tcPr>
          <w:p>
            <w:r>
              <w:rPr>
                <w:sz w:val="19"/>
              </w:rPr>
              <w:t>28</w:t>
            </w:r>
          </w:p>
        </w:tc>
        <w:tc>
          <w:tcPr>
            <w:tcW w:type="dxa" w:w="2493"/>
          </w:tcPr>
          <w:p>
            <w:r>
              <w:rPr>
                <w:sz w:val="19"/>
              </w:rPr>
              <w:t>8</w:t>
            </w:r>
          </w:p>
        </w:tc>
        <w:tc>
          <w:tcPr>
            <w:tcW w:type="dxa" w:w="2493"/>
          </w:tcPr>
          <w:p>
            <w:r>
              <w:rPr>
                <w:sz w:val="19"/>
              </w:rPr>
              <w:t>3.5x</w:t>
            </w:r>
          </w:p>
        </w:tc>
      </w:tr>
      <w:tr>
        <w:tc>
          <w:tcPr>
            <w:tcW w:type="dxa" w:w="2493"/>
          </w:tcPr>
          <w:p>
            <w:r>
              <w:rPr>
                <w:sz w:val="19"/>
              </w:rPr>
              <w:t>P5 ≥ 50% (floor)</w:t>
            </w:r>
          </w:p>
        </w:tc>
        <w:tc>
          <w:tcPr>
            <w:tcW w:type="dxa" w:w="2493"/>
          </w:tcPr>
          <w:p>
            <w:r>
              <w:rPr>
                <w:sz w:val="19"/>
              </w:rPr>
              <w:t>56</w:t>
            </w:r>
          </w:p>
        </w:tc>
        <w:tc>
          <w:tcPr>
            <w:tcW w:type="dxa" w:w="2493"/>
          </w:tcPr>
          <w:p>
            <w:r>
              <w:rPr>
                <w:sz w:val="19"/>
              </w:rPr>
              <w:t>14</w:t>
            </w:r>
          </w:p>
        </w:tc>
        <w:tc>
          <w:tcPr>
            <w:tcW w:type="dxa" w:w="2493"/>
          </w:tcPr>
          <w:p>
            <w:r>
              <w:rPr>
                <w:sz w:val="19"/>
              </w:rPr>
              <w:t>4x</w:t>
            </w:r>
          </w:p>
        </w:tc>
      </w:tr>
      <w:tr>
        <w:tc>
          <w:tcPr>
            <w:tcW w:type="dxa" w:w="2493"/>
          </w:tcPr>
          <w:p>
            <w:r>
              <w:rPr>
                <w:sz w:val="19"/>
              </w:rPr>
              <w:t>P50 ≥ 90% (median)</w:t>
            </w:r>
          </w:p>
        </w:tc>
        <w:tc>
          <w:tcPr>
            <w:tcW w:type="dxa" w:w="2493"/>
          </w:tcPr>
          <w:p>
            <w:r>
              <w:rPr>
                <w:sz w:val="19"/>
              </w:rPr>
              <w:t>40</w:t>
            </w:r>
          </w:p>
        </w:tc>
        <w:tc>
          <w:tcPr>
            <w:tcW w:type="dxa" w:w="2493"/>
          </w:tcPr>
          <w:p>
            <w:r>
              <w:rPr>
                <w:sz w:val="19"/>
              </w:rPr>
              <w:t>10</w:t>
            </w:r>
          </w:p>
        </w:tc>
        <w:tc>
          <w:tcPr>
            <w:tcW w:type="dxa" w:w="2493"/>
          </w:tcPr>
          <w:p>
            <w:r>
              <w:rPr>
                <w:sz w:val="19"/>
              </w:rPr>
              <w:t>4x</w:t>
            </w:r>
          </w:p>
        </w:tc>
      </w:tr>
    </w:tbl>
    <w:p/>
    <w:p>
      <w:r>
        <w:t>Random per-step P5 declines gradually from 99.7% at L16 to 42.8% at L64: L24 93.8%, L28 90.6%, L32 69.1%, L40 64.5%, L48 50.6%, L56 50.0%. The aligned group is a cliff: L8 98.8%, L10 62.2%, L12 53.5%, L14 54.2%, L16 48.6%. Four-round pools agree with Figure 16, and the fine-scan boundary scans completed, giving sync [8,10) and rand [28,32).</w:t>
      </w:r>
    </w:p>
    <w:p>
      <w:r>
        <w:t xml:space="preserve">Round-level ranges of the per-round P5: sync N=8 98.6–101.8% (4 rounds), N=10 61.0–70.8% (3), N=16 47.0–49.6% (4); rand N=28 88.7–99.4% (2), N=32 62.2–90.8% (4, wide spread; the boundary statement takes the conservative round, 28). Formal intervals use a customer-level bootstrap on the pooled samples (B=10,000, 95% CI): sync N=8 [98.6, 99.0], N=10 [61.0, 68.6], N=16 [47.1, 48.9]; rand N=28 [82.5, 99.3], N=32 [62.2, 75.5]; mix50 N=13 [90.5, 99.6], mix75 N=10 [98.7, 100.5]. Artifacts: </w:t>
      </w:r>
      <w:r>
        <w:rPr>
          <w:rFonts w:ascii="Consolas" w:hAnsi="Consolas"/>
          <w:sz w:val="20"/>
        </w:rPr>
        <w:t>tools/bootstrap_ci.py</w:t>
      </w:r>
      <w:r>
        <w:t xml:space="preserve"> and </w:t>
      </w:r>
      <w:r>
        <w:rPr>
          <w:rFonts w:ascii="Consolas" w:hAnsi="Consolas"/>
          <w:sz w:val="20"/>
        </w:rPr>
        <w:t>BOOTSTRAP_CI.md</w:t>
      </w:r>
      <w:r>
        <w:t xml:space="preserve">. </w:t>
      </w:r>
      <w:r>
        <w:rPr>
          <w:b/>
          <w:i w:val="0"/>
        </w:rPr>
        <w:t>Independence caveat:</w:t>
      </w:r>
      <w:r>
        <w:t xml:space="preserve"> the customer-level bootstrap </w:t>
      </w:r>
      <w:r>
        <w:rPr>
          <w:b/>
          <w:i w:val="0"/>
        </w:rPr>
        <w:t>understates</w:t>
      </w:r>
      <w:r>
        <w:t xml:space="preserve"> uncertainty when samples share host state (VMs within a round are correlated; consecutive samples of a tenant are autocorrelated); the round-level ranges reported alongside are the primary uncertainty statement, and for configurations with only 2-4 rounds the per-round values stand on their own; a stricter hierarchical/clustered bootstrap is future work.</w:t>
      </w:r>
    </w:p>
    <w:p>
      <w:r>
        <w:rPr>
          <w:b/>
          <w:i w:val="0"/>
        </w:rPr>
        <w:t>Convention robustness.</w:t>
      </w:r>
      <w:r>
        <w:t xml:space="preserve"> The customer bar "P5 &gt;= 70%" depends on the per-customer aggregation. Recomputing with the full 18-sample-per-VM series under four conventions — per-customer max, median, time-P5 or min, then cross-customer P5 — structurally identical to the paper's per-round pooling: the sync boundary is identical under all four conventions at 8 seats; rand is 28/28/26/26; mix25 24/20/20/20; mix50 and mix75 unchanged at 13 and 10. The aligned-end conclusion is convention-invariant (all conventions give 98.8% at N=8), while the random end tightens by one fine-scan step under the strictest time-domain convention. Artifacts: </w:t>
      </w:r>
      <w:r>
        <w:rPr>
          <w:rFonts w:ascii="Consolas" w:hAnsi="Consolas"/>
          <w:sz w:val="20"/>
        </w:rPr>
        <w:t>tools/p5_convention_check.py</w:t>
      </w:r>
      <w:r>
        <w:t xml:space="preserve"> and </w:t>
      </w:r>
      <w:r>
        <w:rPr>
          <w:rFonts w:ascii="Consolas" w:hAnsi="Consolas"/>
          <w:sz w:val="20"/>
        </w:rPr>
        <w:t>P5_CONVENTION_CHECK.md</w:t>
      </w:r>
      <w:r>
        <w:t xml:space="preserve">. </w:t>
      </w:r>
      <w:r>
        <w:rPr>
          <w:b/>
          <w:i w:val="0"/>
        </w:rPr>
        <w:t>Capacity-risk curves (Figure 30):</w:t>
      </w:r>
      <w:r>
        <w:t xml:space="preserve"> with the round-level violation frequency as the risk measure (a round counts when its customer P5 &lt; 70%), safe capacity rises monotonically with the budget — at eps=0: rand 28 / sync 8 / mix25 20 / mix50 13 / mix75 10; at eps=0.5: rand 40; at eps=1: rand 64 / sync 32. All safe policy stops sit on the eps=0 edge (ours/ours_p: sync 8, rand 16-20), while the util80/audible sync stop (40) exceeds the curve's ceiling at any budget (only 32 even at eps=1) — no risk budget legitimizes it. </w:t>
      </w:r>
      <w:r>
        <w:rPr>
          <w:b/>
          <w:i w:val="0"/>
        </w:rPr>
        <w:t>Scope note:</w:t>
      </w:r>
      <w:r>
        <w:t xml:space="preserve"> this curve is the workload-side empirical capacity-risk frontier; complete per-policy frontiers at matched risk budgets (each policy x many N x multiple seeds) are future work; the eps=1 endpoint is merely the curve's terminal point and carries no safe-admission meaning.)</w:t>
      </w:r>
    </w:p>
    <w:p>
      <w:pPr>
        <w:jc w:val="center"/>
      </w:pPr>
      <w:r>
        <w:drawing>
          <wp:inline xmlns:a="http://schemas.openxmlformats.org/drawingml/2006/main" xmlns:pic="http://schemas.openxmlformats.org/drawingml/2006/picture">
            <wp:extent cx="5760000" cy="3200000"/>
            <wp:docPr id="24" name="Picture 24"/>
            <wp:cNvGraphicFramePr>
              <a:graphicFrameLocks noChangeAspect="1"/>
            </wp:cNvGraphicFramePr>
            <a:graphic>
              <a:graphicData uri="http://schemas.openxmlformats.org/drawingml/2006/picture">
                <pic:pic>
                  <pic:nvPicPr>
                    <pic:cNvPr id="0" name="fig30_capacity_risk.png"/>
                    <pic:cNvPicPr/>
                  </pic:nvPicPr>
                  <pic:blipFill>
                    <a:blip r:embed="rId33"/>
                    <a:stretch>
                      <a:fillRect/>
                    </a:stretch>
                  </pic:blipFill>
                  <pic:spPr>
                    <a:xfrm>
                      <a:off x="0" y="0"/>
                      <a:ext cx="5760000" cy="3200000"/>
                    </a:xfrm>
                    <a:prstGeom prst="rect"/>
                  </pic:spPr>
                </pic:pic>
              </a:graphicData>
            </a:graphic>
          </wp:inline>
        </w:drawing>
      </w:r>
    </w:p>
    <w:p>
      <w:pPr>
        <w:jc w:val="center"/>
      </w:pPr>
      <w:r>
        <w:rPr>
          <w:i/>
          <w:color w:val="333333"/>
          <w:sz w:val="19"/>
        </w:rPr>
        <w:t>Figure 30 Capacity-risk curves (workload side; empirical risk: per-round violation frequency, n = rounds per level)</w:t>
      </w:r>
    </w:p>
    <w:p>
      <w:r>
        <w:rPr>
          <w:b/>
          <w:i w:val="0"/>
        </w:rPr>
        <w:t>Four conclusions.</w:t>
      </w:r>
    </w:p>
    <w:p>
      <w:pPr>
        <w:ind w:left="454" w:hanging="283"/>
      </w:pPr>
      <w:r>
        <w:t xml:space="preserve">1. </w:t>
      </w:r>
      <w:r>
        <w:rPr>
          <w:b/>
          <w:i w:val="0"/>
        </w:rPr>
        <w:t>Average utilization alone catastrophically oversells</w:t>
      </w:r>
      <w:r>
        <w:t>: the aligned group at 32 tenants is only ~35%</w:t>
      </w:r>
    </w:p>
    <w:p>
      <w:r>
        <w:t xml:space="preserve">   busy on average ("the pool looks empty") while customers already collapse to 25% during every burst.</w:t>
      </w:r>
    </w:p>
    <w:p>
      <w:pPr>
        <w:ind w:left="454" w:hanging="283"/>
      </w:pPr>
      <w:r>
        <w:t xml:space="preserve">1. </w:t>
      </w:r>
      <w:r>
        <w:rPr>
          <w:b/>
          <w:i w:val="0"/>
        </w:rPr>
        <w:t>At equal average load, capacity is set by phase structure</w:t>
      </w:r>
      <w:r>
        <w:t>: 28 vs 8 at the primary bar (3.5x); the ratio</w:t>
      </w:r>
    </w:p>
    <w:p>
      <w:r>
        <w:t xml:space="preserve">   moves between 3.5x and 4x with the quality bar. Capacity </w:t>
      </w:r>
      <w:r>
        <w:rPr>
          <w:b w:val="0"/>
          <w:i/>
        </w:rPr>
        <w:t>must</w:t>
      </w:r>
      <w:r>
        <w:t xml:space="preserve"> be reported together with its quality bar — "not degraded" must be measured at the tail (P5), which is exactly why this section re-calibrates.</w:t>
      </w:r>
    </w:p>
    <w:p>
      <w:pPr>
        <w:ind w:left="454" w:hanging="283"/>
      </w:pPr>
      <w:r>
        <w:t xml:space="preserve">1. </w:t>
      </w:r>
      <w:r>
        <w:rPr>
          <w:b/>
          <w:i w:val="0"/>
        </w:rPr>
        <w:t>The two failure modes have different shapes</w:t>
      </w:r>
      <w:r>
        <w:t>: random is gradual (warning available to a controller);</w:t>
      </w:r>
    </w:p>
    <w:p>
      <w:r>
        <w:t xml:space="preserve">   aligned is a cliff (99%→49%) with no warning window — explaining why average/median monitors fail against synchronized workloads.</w:t>
      </w:r>
    </w:p>
    <w:p>
      <w:pPr>
        <w:ind w:left="454" w:hanging="283"/>
      </w:pPr>
      <w:r>
        <w:t xml:space="preserve">1. </w:t>
      </w:r>
      <w:r>
        <w:rPr>
          <w:b/>
          <w:i w:val="0"/>
        </w:rPr>
        <w:t>Isolation decouples the two damage channels</w:t>
      </w:r>
      <w:r>
        <w:t>: services stay flat (0.7 ms); the entire cost lands</w:t>
      </w:r>
    </w:p>
    <w:p>
      <w:r>
        <w:t xml:space="preserve">   explicitly on customer rates — consistent with the Chapter 5 "cost pricing" framework; the economy tier literally sells this degradation budget.</w:t>
      </w:r>
    </w:p>
    <w:p>
      <w:pPr>
        <w:pStyle w:val="Heading2"/>
      </w:pPr>
      <w:r>
        <w:t>8.5 A Safe-Capacity Approximation: Mixed-Phase Validation (Figure 21)</w:t>
      </w:r>
    </w:p>
    <w:p>
      <w:pPr>
        <w:jc w:val="center"/>
      </w:pPr>
      <w:r>
        <w:drawing>
          <wp:inline xmlns:a="http://schemas.openxmlformats.org/drawingml/2006/main" xmlns:pic="http://schemas.openxmlformats.org/drawingml/2006/picture">
            <wp:extent cx="5760000" cy="2139429"/>
            <wp:docPr id="25" name="Picture 25"/>
            <wp:cNvGraphicFramePr>
              <a:graphicFrameLocks noChangeAspect="1"/>
            </wp:cNvGraphicFramePr>
            <a:graphic>
              <a:graphicData uri="http://schemas.openxmlformats.org/drawingml/2006/picture">
                <pic:pic>
                  <pic:nvPicPr>
                    <pic:cNvPr id="0" name="fig21_density_law.png"/>
                    <pic:cNvPicPr/>
                  </pic:nvPicPr>
                  <pic:blipFill>
                    <a:blip r:embed="rId34"/>
                    <a:stretch>
                      <a:fillRect/>
                    </a:stretch>
                  </pic:blipFill>
                  <pic:spPr>
                    <a:xfrm>
                      <a:off x="0" y="0"/>
                      <a:ext cx="5760000" cy="2139429"/>
                    </a:xfrm>
                    <a:prstGeom prst="rect"/>
                  </pic:spPr>
                </pic:pic>
              </a:graphicData>
            </a:graphic>
          </wp:inline>
        </w:drawing>
      </w:r>
    </w:p>
    <w:p>
      <w:pPr>
        <w:jc w:val="center"/>
      </w:pPr>
      <w:r>
        <w:rPr>
          <w:i/>
          <w:color w:val="333333"/>
          <w:sz w:val="19"/>
        </w:rPr>
        <w:t>Figure 21 Safe-capacity approximation: mixed-phase validation (3 rounds)</w:t>
      </w:r>
    </w:p>
    <w:p>
      <w:r>
        <w:rPr>
          <w:b/>
          <w:i w:val="0"/>
        </w:rPr>
        <w:t>The model (an approximation under explicit assumptions, not a universal law).</w:t>
      </w:r>
      <w:r>
        <w:t xml:space="preserve"> Assumptions: (A1) tenant phases are stable within the decision span; (A2) the aligned group's bursts coincide, and overlap with random tenants follows duty. Under these, the aggregate concurrency peak is ≈ aligned group </w:t>
      </w:r>
      <m:oMath>
        <m:r>
          <m:t xml:space="preserve">φ</m:t>
        </m:r>
        <m:r>
          <m:t xml:space="preserve">N</m:t>
        </m:r>
      </m:oMath>
      <w:r>
        <w:t xml:space="preserve"> + random group </w:t>
      </w:r>
      <m:oMath>
        <m:r>
          <m:t xml:space="preserve">ρ</m:t>
        </m:r>
        <m:r>
          <m:t xml:space="preserve">(1-</m:t>
        </m:r>
        <m:r>
          <m:t xml:space="preserve">φ</m:t>
        </m:r>
        <m:r>
          <m:t xml:space="preserve">)N</m:t>
        </m:r>
      </m:oMath>
      <w:r>
        <w:t>, giving the median-bar capacity</w:t>
      </w:r>
    </w:p>
    <w:p>
      <m:oMathPara>
        <m:oMath>
          <m:sSubSup>
            <m:e>
              <m:r>
                <m:t xml:space="preserve">N</m:t>
              </m:r>
            </m:e>
            <m:sub>
              <m:r>
                <m:rPr>
                  <m:nor/>
                </m:rPr>
                <m:t xml:space="preserve">mid</m:t>
              </m:r>
            </m:sub>
            <m:sup>
              <m:r>
                <m:t xml:space="preserve">*</m:t>
              </m:r>
            </m:sup>
          </m:sSubSup>
          <m:r>
            <m:rPr>
              <m:nor/>
            </m:rPr>
            <m:t xml:space="preserve"/>
          </m:r>
          <m:r>
            <m:t xml:space="preserve">;</m:t>
          </m:r>
          <m:r>
            <m:t xml:space="preserve">≈</m:t>
          </m:r>
          <m:r>
            <m:rPr>
              <m:nor/>
            </m:rPr>
            <m:t xml:space="preserve"/>
          </m:r>
          <m:r>
            <m:t xml:space="preserve">;</m:t>
          </m:r>
          <m:f>
            <m:num>
              <m:r>
                <m:t xml:space="preserve">C</m:t>
              </m:r>
            </m:num>
            <m:den>
              <m:r>
                <m:t xml:space="preserve">φ</m:t>
              </m:r>
              <m:r>
                <m:t xml:space="preserve">+</m:t>
              </m:r>
              <m:r>
                <m:t xml:space="preserve">(1-</m:t>
              </m:r>
              <m:r>
                <m:t xml:space="preserve">φ</m:t>
              </m:r>
              <m:r>
                <m:t xml:space="preserve">)</m:t>
              </m:r>
              <m:r>
                <m:rPr>
                  <m:nor/>
                </m:rPr>
                <m:t xml:space="preserve"/>
              </m:r>
              <m:r>
                <m:t xml:space="preserve">,</m:t>
              </m:r>
              <m:r>
                <m:t xml:space="preserve">ρ</m:t>
              </m:r>
            </m:den>
          </m:f>
          <m:r>
            <m:t xml:space="preserve">,</m:t>
          </m:r>
        </m:oMath>
      </m:oMathPara>
    </w:p>
    <w:p>
      <w:r>
        <w:t xml:space="preserve">i.e., the concentration form </w:t>
      </w:r>
      <m:oMath>
        <m:sSubSup>
          <m:e>
            <m:r>
              <m:t xml:space="preserve">N</m:t>
            </m:r>
          </m:e>
          <m:sub>
            <m:r>
              <m:rPr>
                <m:nor/>
              </m:rPr>
              <m:t xml:space="preserve">mid</m:t>
            </m:r>
          </m:sub>
          <m:sup>
            <m:r>
              <m:t xml:space="preserve">*</m:t>
            </m:r>
          </m:sup>
        </m:sSubSup>
        <m:r>
          <m:t xml:space="preserve">=</m:t>
        </m:r>
        <m:r>
          <m:t xml:space="preserve">C/(</m:t>
        </m:r>
        <m:r>
          <m:t xml:space="preserve">ρ</m:t>
        </m:r>
        <m:r>
          <m:t xml:space="preserve">κ</m:t>
        </m:r>
        <m:r>
          <m:t xml:space="preserve">)</m:t>
        </m:r>
      </m:oMath>
      <w:r>
        <w:t xml:space="preserve">. </w:t>
      </w:r>
      <w:r>
        <w:rPr>
          <w:b/>
          <w:i w:val="0"/>
        </w:rPr>
        <w:t>The model describes the mean/median bar; at the pure-random end it is markedly optimistic for the P5 tail bar</w:t>
      </w:r>
      <w:r>
        <w:t xml:space="preserve"> (model 40 vs measured 28). The random-end tail is naturally governed by the upper quantile of overlap counts: require </w:t>
      </w:r>
      <m:oMath>
        <m:sSub>
          <m:e>
            <m:r>
              <m:t xml:space="preserve">Q</m:t>
            </m:r>
          </m:e>
          <m:sub>
            <m:r>
              <m:t xml:space="preserve">p</m:t>
            </m:r>
          </m:sub>
        </m:sSub>
        <m:r>
          <m:t xml:space="preserve">(</m:t>
        </m:r>
        <m:r>
          <m:t xml:space="preserve">φ</m:t>
        </m:r>
        <m:r>
          <m:t xml:space="preserve">N</m:t>
        </m:r>
        <m:r>
          <m:t xml:space="preserve">+</m:t>
        </m:r>
        <m:r>
          <m:rPr>
            <m:nor/>
          </m:rPr>
          <m:t xml:space="preserve">Bin</m:t>
        </m:r>
        <m:r>
          <m:t xml:space="preserve">((1-</m:t>
        </m:r>
        <m:r>
          <m:t xml:space="preserve">φ</m:t>
        </m:r>
        <m:r>
          <m:t xml:space="preserve">)N,</m:t>
        </m:r>
        <m:r>
          <m:t xml:space="preserve">ρ</m:t>
        </m:r>
        <m:r>
          <m:t xml:space="preserve">))</m:t>
        </m:r>
        <m:r>
          <m:t xml:space="preserve">≤</m:t>
        </m:r>
        <m:r>
          <m:t xml:space="preserve">C/</m:t>
        </m:r>
        <m:r>
          <m:t xml:space="preserve">θ</m:t>
        </m:r>
      </m:oMath>
      <w:r>
        <w:t xml:space="preserve">; numerically this sits below the median bar. In practice the safe value is taken directly from the </w:t>
      </w:r>
      <w:r>
        <w:rPr>
          <w:b/>
          <w:i w:val="0"/>
        </w:rPr>
        <w:t>measured</w:t>
      </w:r>
      <w:r>
        <w:t xml:space="preserve"> bar-qualified capacity (§8.4), and the model is used only for cross-configuration extrapolation and as the admission prior.</w:t>
      </w:r>
    </w:p>
    <w:p>
      <w:r>
        <w:rPr>
          <w:b/>
          <w:i w:val="0"/>
        </w:rPr>
        <w:t xml:space="preserve">Validation (Figure 21; 8-core pool, </w:t>
      </w:r>
      <m:oMath>
        <m:r>
          <m:t xml:space="preserve">ρ</m:t>
        </m:r>
      </m:oMath>
      <w:r>
        <w:rPr>
          <w:b/>
          <w:i w:val="0"/>
        </w:rPr>
        <w:t xml:space="preserve"> = 0.20, capmix pools of 3 rounds each):</w:t>
      </w:r>
    </w:p>
    <w:p>
      <w:r>
        <w:rPr>
          <w:b/>
          <w:i w:val="0"/>
        </w:rPr>
        <w:t>Table 22.</w:t>
      </w:r>
      <w:r>
        <w:t xml:space="preserve"> Density law: model prediction vs measured primary-bar capacity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Configuration</w:t>
            </w:r>
          </w:p>
        </w:tc>
        <w:tc>
          <w:tcPr>
            <w:tcW w:type="dxa" w:w="2493"/>
          </w:tcPr>
          <w:p>
            <w:r>
              <w:rPr>
                <w:b/>
                <w:sz w:val="19"/>
              </w:rPr>
              <w:t>Model prediction N*_mid</w:t>
            </w:r>
          </w:p>
        </w:tc>
        <w:tc>
          <w:tcPr>
            <w:tcW w:type="dxa" w:w="2493"/>
          </w:tcPr>
          <w:p>
            <w:r>
              <w:rPr>
                <w:b/>
                <w:sz w:val="19"/>
              </w:rPr>
              <w:t>Measured (primary P5 ≥ 70% bar)</w:t>
            </w:r>
          </w:p>
        </w:tc>
        <w:tc>
          <w:tcPr>
            <w:tcW w:type="dxa" w:w="2493"/>
          </w:tcPr>
          <w:p>
            <w:r>
              <w:rPr>
                <w:b/>
                <w:sz w:val="19"/>
              </w:rPr>
              <w:t>Deviation</w:t>
            </w:r>
          </w:p>
        </w:tc>
      </w:tr>
      <w:tr>
        <w:tc>
          <w:tcPr>
            <w:tcW w:type="dxa" w:w="2493"/>
          </w:tcPr>
          <w:p>
            <m:oMath>
              <m:r>
                <m:t xml:space="preserve">φ</m:t>
              </m:r>
              <m:r>
                <m:t xml:space="preserve">=0.25</m:t>
              </m:r>
            </m:oMath>
          </w:p>
        </w:tc>
        <w:tc>
          <w:tcPr>
            <w:tcW w:type="dxa" w:w="2493"/>
          </w:tcPr>
          <w:p>
            <w:r>
              <w:rPr>
                <w:sz w:val="19"/>
              </w:rPr>
              <w:t>20.0</w:t>
            </w:r>
          </w:p>
        </w:tc>
        <w:tc>
          <w:tcPr>
            <w:tcW w:type="dxa" w:w="2493"/>
          </w:tcPr>
          <w:p>
            <w:r>
              <w:rPr>
                <w:sz w:val="19"/>
              </w:rPr>
              <w:t>24 passes (73%), 28 fails (54%)</w:t>
            </w:r>
          </w:p>
        </w:tc>
        <w:tc>
          <w:tcPr>
            <w:tcW w:type="dxa" w:w="2493"/>
          </w:tcPr>
          <w:p>
            <w:r>
              <w:rPr>
                <w:sz w:val="19"/>
              </w:rPr>
              <w:t>conservative (half-step)</w:t>
            </w:r>
          </w:p>
        </w:tc>
      </w:tr>
      <w:tr>
        <w:tc>
          <w:tcPr>
            <w:tcW w:type="dxa" w:w="2493"/>
          </w:tcPr>
          <w:p>
            <m:oMath>
              <m:r>
                <m:t xml:space="preserve">φ</m:t>
              </m:r>
              <m:r>
                <m:t xml:space="preserve">=0.50</m:t>
              </m:r>
            </m:oMath>
          </w:p>
        </w:tc>
        <w:tc>
          <w:tcPr>
            <w:tcW w:type="dxa" w:w="2493"/>
          </w:tcPr>
          <w:p>
            <w:r>
              <w:rPr>
                <w:sz w:val="19"/>
              </w:rPr>
              <w:t>13.3</w:t>
            </w:r>
          </w:p>
        </w:tc>
        <w:tc>
          <w:tcPr>
            <w:tcW w:type="dxa" w:w="2493"/>
          </w:tcPr>
          <w:p>
            <w:r>
              <w:rPr>
                <w:sz w:val="19"/>
              </w:rPr>
              <w:t>13 passes (90%), 16 fails (49%)</w:t>
            </w:r>
          </w:p>
        </w:tc>
        <w:tc>
          <w:tcPr>
            <w:tcW w:type="dxa" w:w="2493"/>
          </w:tcPr>
          <w:p>
            <w:r>
              <w:rPr>
                <w:sz w:val="19"/>
              </w:rPr>
              <w:t>break point hit</w:t>
            </w:r>
          </w:p>
        </w:tc>
      </w:tr>
      <w:tr>
        <w:tc>
          <w:tcPr>
            <w:tcW w:type="dxa" w:w="2493"/>
          </w:tcPr>
          <w:p>
            <m:oMath>
              <m:r>
                <m:t xml:space="preserve">φ</m:t>
              </m:r>
              <m:r>
                <m:t xml:space="preserve">=0.75</m:t>
              </m:r>
            </m:oMath>
          </w:p>
        </w:tc>
        <w:tc>
          <w:tcPr>
            <w:tcW w:type="dxa" w:w="2493"/>
          </w:tcPr>
          <w:p>
            <w:r>
              <w:rPr>
                <w:sz w:val="19"/>
              </w:rPr>
              <w:t>10.0</w:t>
            </w:r>
          </w:p>
        </w:tc>
        <w:tc>
          <w:tcPr>
            <w:tcW w:type="dxa" w:w="2493"/>
          </w:tcPr>
          <w:p>
            <w:r>
              <w:rPr>
                <w:sz w:val="19"/>
              </w:rPr>
              <w:t>10 passes (99%), 13 fails (52%)</w:t>
            </w:r>
          </w:p>
        </w:tc>
        <w:tc>
          <w:tcPr>
            <w:tcW w:type="dxa" w:w="2493"/>
          </w:tcPr>
          <w:p>
            <w:r>
              <w:rPr>
                <w:sz w:val="19"/>
              </w:rPr>
              <w:t>break point hit</w:t>
            </w:r>
          </w:p>
        </w:tc>
      </w:tr>
    </w:tbl>
    <w:p/>
    <w:p>
      <w:r>
        <w:t>Structural phases (</w:t>
      </w:r>
      <m:oMath>
        <m:r>
          <m:t xml:space="preserve">φ</m:t>
        </m:r>
        <m:r>
          <m:t xml:space="preserve">≥</m:t>
        </m:r>
        <m:r>
          <m:t xml:space="preserve">0.5</m:t>
        </m:r>
      </m:oMath>
      <w:r>
        <w:t xml:space="preserve">) hit the break point; the </w:t>
      </w:r>
      <m:oMath>
        <m:r>
          <m:t xml:space="preserve">φ</m:t>
        </m:r>
        <m:r>
          <m:t xml:space="preserve">=0.25</m:t>
        </m:r>
      </m:oMath>
      <w:r>
        <w:t xml:space="preserve"> prediction lands inside the passing region (conservative), the pure-random end is optimistic — the error directions match the tail-vs-median bar expectation.</w:t>
      </w:r>
    </w:p>
    <w:p>
      <w:r>
        <w:rPr>
          <w:b/>
          <w:i w:val="0"/>
        </w:rPr>
        <w:t>Boundaries.</w:t>
      </w:r>
      <w:r>
        <w:t xml:space="preserve"> (i) Each configuration pools three capmix rounds; per-level P5 still carries non-monotone sampling noise, e.g., </w:t>
      </w:r>
      <m:oMath>
        <m:r>
          <m:t xml:space="preserve">φ</m:t>
        </m:r>
        <m:r>
          <m:t xml:space="preserve">=0.25</m:t>
        </m:r>
      </m:oMath>
      <w:r>
        <w:t xml:space="preserve"> L24 &gt; L20 — larger round pools and a prediction-error distribution over more seeds are future work. (ii) The C5 anti-phase arrangement experiment (same tenants, two groups offset by 30 s, capacity x2) upgrades "phase is arrangeable" from observation to intervention. (iii) The positioning is a </w:t>
      </w:r>
      <w:r>
        <w:rPr>
          <w:b/>
          <w:i w:val="0"/>
        </w:rPr>
        <w:t>capacity approximation with explicit assumptions</w:t>
      </w:r>
      <w:r>
        <w:t xml:space="preserve"> — used for extrapolation and admission priors under structural phases, with safe values taken from measured bars; no universal law is claimed.</w:t>
      </w:r>
    </w:p>
    <w:p>
      <w:pPr>
        <w:pStyle w:val="Heading2"/>
      </w:pPr>
      <w:r>
        <w:t>8.6 Phase-Profile Convolution and the Marginal Illusion (Figure 28)</w:t>
      </w:r>
    </w:p>
    <w:p>
      <w:pPr>
        <w:jc w:val="center"/>
      </w:pPr>
      <w:r>
        <w:drawing>
          <wp:inline xmlns:a="http://schemas.openxmlformats.org/drawingml/2006/main" xmlns:pic="http://schemas.openxmlformats.org/drawingml/2006/picture">
            <wp:extent cx="5760000" cy="2139429"/>
            <wp:docPr id="26" name="Picture 26"/>
            <wp:cNvGraphicFramePr>
              <a:graphicFrameLocks noChangeAspect="1"/>
            </wp:cNvGraphicFramePr>
            <a:graphic>
              <a:graphicData uri="http://schemas.openxmlformats.org/drawingml/2006/picture">
                <pic:pic>
                  <pic:nvPicPr>
                    <pic:cNvPr id="0" name="fig28_ppc.png"/>
                    <pic:cNvPicPr/>
                  </pic:nvPicPr>
                  <pic:blipFill>
                    <a:blip r:embed="rId35"/>
                    <a:stretch>
                      <a:fillRect/>
                    </a:stretch>
                  </pic:blipFill>
                  <pic:spPr>
                    <a:xfrm>
                      <a:off x="0" y="0"/>
                      <a:ext cx="5760000" cy="2139429"/>
                    </a:xfrm>
                    <a:prstGeom prst="rect"/>
                  </pic:spPr>
                </pic:pic>
              </a:graphicData>
            </a:graphic>
          </wp:inline>
        </w:drawing>
      </w:r>
    </w:p>
    <w:p>
      <w:pPr>
        <w:jc w:val="center"/>
      </w:pPr>
      <w:r>
        <w:rPr>
          <w:i/>
          <w:color w:val="333333"/>
          <w:sz w:val="19"/>
        </w:rPr>
        <w:t>Figure 28 Phase-Profile Convolution: iid blind vs PPC varying with phase structure</w:t>
      </w:r>
    </w:p>
    <w:p>
      <w:r>
        <w:rPr>
          <w:b/>
          <w:i w:val="0"/>
        </w:rPr>
        <w:t>Proposition (marginal illusion).</w:t>
      </w:r>
      <w:r>
        <w:t xml:space="preserve"> The two experiments of Section 8.4 are a </w:t>
      </w:r>
      <w:r>
        <w:rPr>
          <w:b w:val="0"/>
          <w:i/>
        </w:rPr>
        <w:t>constructive proof</w:t>
      </w:r>
      <w:r>
        <w:t xml:space="preserve">: two fleets with </w:t>
      </w:r>
      <w:r>
        <w:rPr>
          <w:b/>
          <w:i w:val="0"/>
        </w:rPr>
        <w:t>identical per-tenant demand marginals</w:t>
      </w:r>
      <w:r>
        <w:t xml:space="preserve"> (same burner, same 20%/60 s duty and window shape) differ in safe capacity by 3.5x at the primary bar (28 vs 8; 40 vs 10 at the median bar). Hence </w:t>
      </w:r>
      <w:r>
        <w:rPr>
          <w:b/>
          <w:i w:val="0"/>
        </w:rPr>
        <w:t>any capacity method that consumes only per-tenant marginals (plus an independence assumption) cannot distinguish the two fleets</w:t>
      </w:r>
      <w:r>
        <w:t xml:space="preserve"> — for AUDIBLE-style independent convolution of marginals this is a provable blind spot: the input is non-identifiable on exactly the axis that matters. This is the capacity-side analogue of the Section 3.3.1 estimation non-identifiability.</w:t>
      </w:r>
    </w:p>
    <w:p>
      <w:r>
        <w:rPr>
          <w:b/>
          <w:i w:val="0"/>
        </w:rPr>
        <w:t>Method (PPC).</w:t>
      </w:r>
      <w:r>
        <w:t xml:space="preserve"> Inputs are per-tenant phase profiles at one-second or one-minute resolution. PPC has three modes, each tied to a concrete artifact. The first is parametric simulation (</w:t>
      </w:r>
      <w:r>
        <w:rPr>
          <w:rFonts w:ascii="Consolas" w:hAnsi="Consolas"/>
          <w:sz w:val="20"/>
        </w:rPr>
        <w:t>ppc_sim.py</w:t>
      </w:r>
      <w:r>
        <w:t>): synthetic (phi, duty) configurations in which the joint structure holds by construction, used for mixed-phase validation and extrapolation. The second is the empirical joint block bootstrap (</w:t>
      </w:r>
      <w:r>
        <w:rPr>
          <w:rFonts w:ascii="Consolas" w:hAnsi="Consolas"/>
          <w:sz w:val="20"/>
        </w:rPr>
        <w:t>ppc_bootstrap.py</w:t>
      </w:r>
      <w:r>
        <w:t xml:space="preserve">) on real traces with a strict three-way split: the first third trains, the middle third selects the block length by KS distance (B=1), and the last third is used for scoring only. Predictive blocks are drawn from the training third alone, never from validation or test, so this is not a self-resampling of the test segment. Blocks are resampled jointly across tenants to preserve co-occurrence, with an iid-shuffle control that keeps marginals and destroys the joint. Forward prediction scored against the test third: joint predicted peaks P50/P95/max = 14/14/14 with P(peak&gt;8)=99%, iid predicted 12/13/16 with P=100%, and the observed test peak is 12 with 8% of seconds above the pool. On this production schedule both predictors get the risk direction right, and the minute-level joint-vs-iid gap is small, consistent with the fleet's drifting-phase profile; the extreme-phase evidence lives in the synthetic experiments. </w:t>
      </w:r>
      <w:r>
        <w:rPr>
          <w:b/>
          <w:i w:val="0"/>
        </w:rPr>
        <w:t>Scope:</w:t>
      </w:r>
      <w:r>
        <w:t xml:space="preserve"> inputs are one-minute production duties plus an in-period activity model and contain no sub-minute phase structure; this supports a minute-granularity replay model, not measured sub-minute structure. Real-trace measurements over the 64-VM x 30-min replay schedules: joint peak 14 cores (P50=P95=max=14) versus iid peaks 12-15. On this low-correlation drifting fleet the two differ little, and the iid risk grows with phase alignment (extremes in C5 and the synchronized sells). Block-length selection chose B=1 with KS~0.16; the spread across B in {1,2,5,10,15} is 0.16-0.21, weakly resolvable. The online replay (replay1) drove the 64-tenant schedule for 30 minutes on the 8-core pool: mean pool busy 42.0% (3.4 cores), peak saturation 100% (&gt;=8 cores concurrent), service P99 0.706-0.729 ms across five probes with one 1.599 ms tail. The predicted over-pool risk materializes at peak while the isolation envelope keeps the service flat. The multi-window recheck sliced the same telemetry into five non-overlapping 30-minute windows, each with an independent forward prediction: direction hit 5/5 (predicted P(peak&gt;8)=98-100% versus observed over-pool 3.5-8.3%), peak magnitudes of the same order (predicted P50 11-19 versus observed 12-16; per-window offsets +5/±1/-2/-1/0, variance reported). </w:t>
      </w:r>
      <w:r>
        <w:rPr>
          <w:b/>
          <w:i w:val="0"/>
        </w:rPr>
        <w:t>Scope:</w:t>
      </w:r>
      <w:r>
        <w:t xml:space="preserve"> the second-level series is reconstructed from minute-level duties plus a within-period phase model; this validates model-replay consistency, not independently measured second-level production truth. Both methods predict over-pool on this deliberately low-correlation fleet, so the discrimination evidence lives in the synthetic configurations (iid blind versus PPC separating five structures) and the online comparison (util80/audible collapsing in sync); independent second-level truth, false-positive/negative rates and multi-threshold behavior are future work. The third mode is the online actuator: a Taligned-style peak envelope (60 one-second phase buckets plus a class prior), a low-cost online approximation of PPC rather than a resampler; its comparison behavior (Section 7.4.1) is the evidence for that approximation. All three share one principle — accounting on the joint phase structure — at different resolutions and for different purposes, and the paper labels them separately.</w:t>
      </w:r>
    </w:p>
    <w:p>
      <w:r>
        <w:rPr>
          <w:b/>
          <w:i w:val="0"/>
        </w:rPr>
        <w:t>Results (Figure 28).</w:t>
      </w:r>
      <w:r>
        <w:t xml:space="preserve"> With identical parameters: iid convolution predicts </w:t>
      </w:r>
      <w:r>
        <w:rPr>
          <w:b/>
          <w:i w:val="0"/>
        </w:rPr>
        <w:t>the same 24 for all five structures</w:t>
      </w:r>
      <w:r>
        <w:t xml:space="preserve"> (total blindness); PPC predicts </w:t>
      </w:r>
      <w:r>
        <w:rPr>
          <w:b/>
          <w:i w:val="0"/>
        </w:rPr>
        <w:t>24 / 16 / 13 / 12 / 10</w:t>
      </w:r>
      <w:r>
        <w:t xml:space="preserve"> for rand / mix25 / mix50 / mix75 / sync, with 4/5 falling inside the measured </w:t>
      </w:r>
      <w:r>
        <w:rPr>
          <w:b w:val="0"/>
          <w:i/>
        </w:rPr>
        <w:t>coarse</w:t>
      </w:r>
      <w:r>
        <w:t xml:space="preserve"> brackets. </w:t>
      </w:r>
      <w:r>
        <w:rPr>
          <w:b/>
          <w:i w:val="0"/>
        </w:rPr>
        <w:t>Caveat:</w:t>
      </w:r>
      <w:r>
        <w:t xml:space="preserve"> falling inside a bracket is not hitting the exact oracle — e.g. the sync prediction of 10 sits exactly at the fine-scan first-fail step (boundary [8,10): 8 seats P5=98.8%, 10 seats P5=62.2%) — the online peak gate, not the offline prediction, is what stops at 8; rand 24 is conservative by 4 after the fine scan pinned the bracket at [28,32). The random-end tail optimism matches Section 8.5 and is corrected by the measured bar.</w:t>
      </w:r>
    </w:p>
    <w:p>
      <w:r>
        <w:rPr>
          <w:b/>
          <w:i w:val="0"/>
        </w:rPr>
        <w:t>Prediction-quality metrics (stricter than "inside the bracket").</w:t>
      </w:r>
      <w:r>
        <w:t xml:space="preserve"> Per configuration: </w:t>
      </w:r>
      <w:r>
        <w:rPr>
          <w:b/>
          <w:i w:val="0"/>
        </w:rPr>
        <w:t>over-admission</w:t>
      </w:r>
      <w:r>
        <w:t xml:space="preserve"> (prediction &gt;= first-fail; a safety veto, must be 0), </w:t>
      </w:r>
      <w:r>
        <w:rPr>
          <w:b/>
          <w:i w:val="0"/>
        </w:rPr>
        <w:t>unverified stretch</w:t>
      </w:r>
      <w:r>
        <w:t xml:space="preserve"> (prediction - last-pass; &gt;0 means the prediction reaches into unsurveyed steps), </w:t>
      </w:r>
      <w:r>
        <w:rPr>
          <w:b/>
          <w:i w:val="0"/>
        </w:rPr>
        <w:t>fail margin</w:t>
      </w:r>
      <w:r>
        <w:t xml:space="preserve"> (first-fail - prediction), </w:t>
      </w:r>
      <w:r>
        <w:rPr>
          <w:b/>
          <w:i w:val="0"/>
        </w:rPr>
        <w:t>conservatism</w:t>
      </w:r>
      <w:r>
        <w:t xml:space="preserve"> (last-pass - prediction). Multi-round values: rand 24 vs [28,32) — over 0, conservative 4; mix25 16 vs [24,28) — over 0, conservative 8; mix50 13 vs [13,16) — over 0, margin 3; mix75 12 vs [10,13) — over 0, stretch +2, margin 1; sync 10 vs [8,10) — </w:t>
      </w:r>
      <w:r>
        <w:rPr>
          <w:b/>
          <w:i w:val="0"/>
        </w:rPr>
        <w:t>over 1 (first-fail), vetoed online</w:t>
      </w:r>
      <w:r>
        <w:t xml:space="preserve">. </w:t>
      </w:r>
      <w:r>
        <w:rPr>
          <w:b/>
          <w:i w:val="0"/>
        </w:rPr>
        <w:t>4/5 zero over-admission</w:t>
      </w:r>
      <w:r>
        <w:t>; the sync case is exactly why the online peak gate — not the offline predictor — carries the safety argument.</w:t>
      </w:r>
    </w:p>
    <w:p>
      <w:r>
        <w:rPr>
          <w:b/>
          <w:i w:val="0"/>
        </w:rPr>
        <w:t>Boundaries.</w:t>
      </w:r>
      <w:r>
        <w:t xml:space="preserve"> PPC needs phase history (cold start degrades to priors/observation windows); the random end still needs the measured bar; validation is offline forward prediction (train-only resampling scored on the held-out third) plus the online comparison (the </w:t>
      </w:r>
      <w:r>
        <w:rPr>
          <w:rFonts w:ascii="Consolas" w:hAnsi="Consolas"/>
          <w:sz w:val="20"/>
        </w:rPr>
        <w:t>ours</w:t>
      </w:r>
      <w:r>
        <w:t xml:space="preserve"> policy </w:t>
      </w:r>
      <w:r>
        <w:rPr>
          <w:b w:val="0"/>
          <w:i/>
        </w:rPr>
        <w:t>is</w:t>
      </w:r>
      <w:r>
        <w:t xml:space="preserve"> the PPC actuator and stops on the synchronized oracle).</w:t>
      </w:r>
    </w:p>
    <w:p>
      <w:pPr>
        <w:pStyle w:val="Heading2"/>
      </w:pPr>
      <w:r>
        <w:t>8.7 Consistency with BeroHost</w:t>
      </w:r>
    </w:p>
    <w:p>
      <w:r>
        <w:rPr>
          <w:b/>
          <w:i w:val="0"/>
        </w:rPr>
        <w:t>Table 23.</w:t>
      </w:r>
      <w:r>
        <w:t xml:space="preserve"> Cross-testbed summary: nested bed vs physical host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Result</w:t>
            </w:r>
          </w:p>
        </w:tc>
        <w:tc>
          <w:tcPr>
            <w:tcW w:type="dxa" w:w="3324"/>
          </w:tcPr>
          <w:p>
            <w:r>
              <w:rPr>
                <w:b/>
                <w:sz w:val="19"/>
              </w:rPr>
              <w:t>BeroHost (4-vCPU nested)</w:t>
            </w:r>
          </w:p>
        </w:tc>
        <w:tc>
          <w:tcPr>
            <w:tcW w:type="dxa" w:w="3324"/>
          </w:tcPr>
          <w:p>
            <w:r>
              <w:rPr>
                <w:b/>
                <w:sz w:val="19"/>
              </w:rPr>
              <w:t>Physical host (96 threads)</w:t>
            </w:r>
          </w:p>
        </w:tc>
      </w:tr>
      <w:tr>
        <w:tc>
          <w:tcPr>
            <w:tcW w:type="dxa" w:w="3324"/>
          </w:tcPr>
          <w:p>
            <w:r>
              <w:rPr>
                <w:sz w:val="19"/>
              </w:rPr>
              <w:t>Knee at shared-pool saturation</w:t>
            </w:r>
          </w:p>
        </w:tc>
        <w:tc>
          <w:tcPr>
            <w:tcW w:type="dxa" w:w="3324"/>
          </w:tcPr>
          <w:p>
            <w:r>
              <w:rPr>
                <w:sz w:val="19"/>
              </w:rPr>
              <w:t>3→4 tenants (2-core pool)</w:t>
            </w:r>
          </w:p>
        </w:tc>
        <w:tc>
          <w:tcPr>
            <w:tcW w:type="dxa" w:w="3324"/>
          </w:tcPr>
          <w:p>
            <w:r>
              <w:rPr>
                <w:sz w:val="19"/>
              </w:rPr>
              <w:t>all pools at saturation (fine scan L15→L16)</w:t>
            </w:r>
          </w:p>
        </w:tc>
      </w:tr>
      <w:tr>
        <w:tc>
          <w:tcPr>
            <w:tcW w:type="dxa" w:w="3324"/>
          </w:tcPr>
          <w:p>
            <w:r>
              <w:rPr>
                <w:sz w:val="19"/>
              </w:rPr>
              <w:t>Isolation protects the tail</w:t>
            </w:r>
          </w:p>
        </w:tc>
        <w:tc>
          <w:tcPr>
            <w:tcW w:type="dxa" w:w="3324"/>
          </w:tcPr>
          <w:p>
            <w:r>
              <w:rPr>
                <w:sz w:val="19"/>
              </w:rPr>
              <w:t>P99 ≈ 2.9–3.2 ms</w:t>
            </w:r>
          </w:p>
        </w:tc>
        <w:tc>
          <w:tcPr>
            <w:tcW w:type="dxa" w:w="3324"/>
          </w:tcPr>
          <w:p>
            <w:r>
              <w:rPr>
                <w:sz w:val="19"/>
              </w:rPr>
              <w:t>P99 0.68–0.78 ms (0–2.5x oversubscription)</w:t>
            </w:r>
          </w:p>
        </w:tc>
      </w:tr>
      <w:tr>
        <w:tc>
          <w:tcPr>
            <w:tcW w:type="dxa" w:w="3324"/>
          </w:tcPr>
          <w:p>
            <w:r>
              <w:rPr>
                <w:sz w:val="19"/>
              </w:rPr>
              <w:t>Sync → periodic spikes</w:t>
            </w:r>
          </w:p>
        </w:tc>
        <w:tc>
          <w:tcPr>
            <w:tcW w:type="dxa" w:w="3324"/>
          </w:tcPr>
          <w:p>
            <w:r>
              <w:rPr>
                <w:sz w:val="19"/>
              </w:rPr>
              <w:t>60 s period (6 tenants)</w:t>
            </w:r>
          </w:p>
        </w:tc>
        <w:tc>
          <w:tcPr>
            <w:tcW w:type="dxa" w:w="3324"/>
          </w:tcPr>
          <w:p>
            <w:r>
              <w:rPr>
                <w:sz w:val="19"/>
              </w:rPr>
              <w:t>60 s period (64 tenants, 3 rounds, gaps exactly 60 s)</w:t>
            </w:r>
          </w:p>
        </w:tc>
      </w:tr>
      <w:tr>
        <w:tc>
          <w:tcPr>
            <w:tcW w:type="dxa" w:w="3324"/>
          </w:tcPr>
          <w:p>
            <w:r>
              <w:rPr>
                <w:sz w:val="19"/>
              </w:rPr>
              <w:t>Soft levers fail / hard caps work</w:t>
            </w:r>
          </w:p>
        </w:tc>
        <w:tc>
          <w:tcPr>
            <w:tcW w:type="dxa" w:w="3324"/>
          </w:tcPr>
          <w:p>
            <w:r>
              <w:rPr>
                <w:sz w:val="19"/>
              </w:rPr>
              <w:t>verified</w:t>
            </w:r>
          </w:p>
        </w:tc>
        <w:tc>
          <w:tcPr>
            <w:tcW w:type="dxa" w:w="3324"/>
          </w:tcPr>
          <w:p>
            <w:r>
              <w:rPr>
                <w:sz w:val="19"/>
              </w:rPr>
              <w:t>(runs on the physical host planned)</w:t>
            </w:r>
          </w:p>
        </w:tc>
      </w:tr>
      <w:tr>
        <w:tc>
          <w:tcPr>
            <w:tcW w:type="dxa" w:w="3324"/>
          </w:tcPr>
          <w:p>
            <w:r>
              <w:rPr>
                <w:sz w:val="19"/>
              </w:rPr>
              <w:t>Safe sell capacity</w:t>
            </w:r>
          </w:p>
        </w:tc>
        <w:tc>
          <w:tcPr>
            <w:tcW w:type="dxa" w:w="3324"/>
          </w:tcPr>
          <w:p>
            <w:r>
              <w:rPr>
                <w:sz w:val="19"/>
              </w:rPr>
              <w:t>qualitative (3 seats in budget)</w:t>
            </w:r>
          </w:p>
        </w:tc>
        <w:tc>
          <w:tcPr>
            <w:tcW w:type="dxa" w:w="3324"/>
          </w:tcPr>
          <w:p>
            <w:r>
              <w:rPr>
                <w:sz w:val="19"/>
              </w:rPr>
              <w:t>quantified: 3.5x primary bar (28 vs 8), 3.5x–4x across bars</w:t>
            </w:r>
          </w:p>
        </w:tc>
      </w:tr>
      <w:tr>
        <w:tc>
          <w:tcPr>
            <w:tcW w:type="dxa" w:w="3324"/>
          </w:tcPr>
          <w:p>
            <w:r>
              <w:rPr>
                <w:sz w:val="19"/>
              </w:rPr>
              <w:t>Density law predicts N*(φ)</w:t>
            </w:r>
          </w:p>
        </w:tc>
        <w:tc>
          <w:tcPr>
            <w:tcW w:type="dxa" w:w="3324"/>
          </w:tcPr>
          <w:p>
            <w:r>
              <w:rPr>
                <w:sz w:val="19"/>
              </w:rPr>
              <w:t>— (nested bed)</w:t>
            </w:r>
          </w:p>
        </w:tc>
        <w:tc>
          <w:tcPr>
            <w:tcW w:type="dxa" w:w="3324"/>
          </w:tcPr>
          <w:p>
            <w:r>
              <w:rPr>
                <w:sz w:val="19"/>
              </w:rPr>
              <w:t>three points hit (Figure 21)</w:t>
            </w:r>
          </w:p>
        </w:tc>
      </w:tr>
    </w:tbl>
    <w:p/>
    <w:p>
      <w:pPr>
        <w:pStyle w:val="Heading2"/>
      </w:pPr>
      <w:r>
        <w:t>8.8 Chapter Data and Artifacts</w:t>
      </w:r>
    </w:p>
    <w:p>
      <w:pPr>
        <w:pStyle w:val="ListBullet"/>
      </w:pPr>
      <w:r>
        <w:t xml:space="preserve">Data: </w:t>
      </w:r>
      <w:r>
        <w:rPr>
          <w:rFonts w:ascii="Consolas" w:hAnsi="Consolas"/>
          <w:sz w:val="20"/>
        </w:rPr>
        <w:t>research_data/phys8269_pilot/</w:t>
      </w:r>
      <w:r>
        <w:t xml:space="preserve"> (multi-scale sweeps, 4-round fine scan, 3-round sync raw, sell</w:t>
      </w:r>
    </w:p>
    <w:p>
      <w:r>
        <w:t xml:space="preserve">  ladders, mixed-phase ladders, analysis docs).</w:t>
      </w:r>
    </w:p>
    <w:p>
      <w:pPr>
        <w:pStyle w:val="ListBullet"/>
      </w:pPr>
      <w:r>
        <w:t xml:space="preserve">Figures: </w:t>
      </w:r>
      <w:r>
        <w:rPr>
          <w:rFonts w:ascii="Consolas" w:hAnsi="Consolas"/>
          <w:sz w:val="20"/>
        </w:rPr>
        <w:t>figs/fig14_phys_knee.png</w:t>
      </w:r>
      <w:r>
        <w:t xml:space="preserve">, </w:t>
      </w:r>
      <w:r>
        <w:rPr>
          <w:rFonts w:ascii="Consolas" w:hAnsi="Consolas"/>
          <w:sz w:val="20"/>
        </w:rPr>
        <w:t>fig15_phys_sync.png</w:t>
      </w:r>
      <w:r>
        <w:t xml:space="preserve"> (with 3-round gap panel),</w:t>
      </w:r>
    </w:p>
    <w:p>
      <w:r>
        <w:t xml:space="preserve">  </w:t>
      </w:r>
      <w:r>
        <w:rPr>
          <w:rFonts w:ascii="Consolas" w:hAnsi="Consolas"/>
          <w:sz w:val="20"/>
        </w:rPr>
        <w:t>fig16_phys_sell.png</w:t>
      </w:r>
      <w:r>
        <w:t xml:space="preserve">, </w:t>
      </w:r>
      <w:r>
        <w:rPr>
          <w:rFonts w:ascii="Consolas" w:hAnsi="Consolas"/>
          <w:sz w:val="20"/>
        </w:rPr>
        <w:t>fig21_density_law.png</w:t>
      </w:r>
      <w:r>
        <w:t xml:space="preserve"> (one-click: </w:t>
      </w:r>
      <w:r>
        <w:rPr>
          <w:rFonts w:ascii="Consolas" w:hAnsi="Consolas"/>
          <w:sz w:val="20"/>
        </w:rPr>
        <w:t>figs/make_phys_figs.py</w:t>
      </w:r>
      <w:r>
        <w:t xml:space="preserve">, </w:t>
      </w:r>
      <w:r>
        <w:rPr>
          <w:rFonts w:ascii="Consolas" w:hAnsi="Consolas"/>
          <w:sz w:val="20"/>
        </w:rPr>
        <w:t>figs/make_law_figs.py</w:t>
      </w:r>
      <w:r>
        <w:t>).</w:t>
      </w:r>
    </w:p>
    <w:p>
      <w:pPr>
        <w:pStyle w:val="ListBullet"/>
      </w:pPr>
      <w:r>
        <w:t xml:space="preserve">Tools: </w:t>
      </w:r>
      <w:r>
        <w:rPr>
          <w:rFonts w:ascii="Consolas" w:hAnsi="Consolas"/>
          <w:sz w:val="20"/>
        </w:rPr>
        <w:t>tools/tb_sweep.py</w:t>
      </w:r>
      <w:r>
        <w:t xml:space="preserve"> (knee), </w:t>
      </w:r>
      <w:r>
        <w:rPr>
          <w:rFonts w:ascii="Consolas" w:hAnsi="Consolas"/>
          <w:sz w:val="20"/>
        </w:rPr>
        <w:t>tools/tb_sync.py</w:t>
      </w:r>
      <w:r>
        <w:t xml:space="preserve"> (phase), </w:t>
      </w:r>
      <w:r>
        <w:rPr>
          <w:rFonts w:ascii="Consolas" w:hAnsi="Consolas"/>
          <w:sz w:val="20"/>
        </w:rPr>
        <w:t>tools/tb_sell.py</w:t>
      </w:r>
      <w:r>
        <w:t xml:space="preserve"> (sell ladder),</w:t>
      </w:r>
    </w:p>
    <w:p>
      <w:r>
        <w:t xml:space="preserve">  </w:t>
      </w:r>
      <w:r>
        <w:rPr>
          <w:rFonts w:ascii="Consolas" w:hAnsi="Consolas"/>
          <w:sz w:val="20"/>
        </w:rPr>
        <w:t>tools/tb_capmix.py</w:t>
      </w:r>
      <w:r>
        <w:t xml:space="preserve"> (mixed-phase), </w:t>
      </w:r>
      <w:r>
        <w:rPr>
          <w:rFonts w:ascii="Consolas" w:hAnsi="Consolas"/>
          <w:sz w:val="20"/>
        </w:rPr>
        <w:t>tools/tb_c5.py</w:t>
      </w:r>
      <w:r>
        <w:t xml:space="preserve"> (anti-phase arrangement); all host-side.</w:t>
      </w:r>
    </w:p>
    <w:p>
      <w:pPr>
        <w:pStyle w:val="Heading1"/>
        <w:pageBreakBefore/>
      </w:pPr>
      <w:r>
        <w:t>9 Resource-Efficiency Modules</w:t>
      </w:r>
    </w:p>
    <w:p>
      <w:pPr>
        <w:ind w:left="454"/>
      </w:pPr>
      <w:r>
        <w:rPr>
          <w:i/>
        </w:rPr>
        <w:t>This chapter carries the "no-regression resource-efficiency" pillar (skeleton §9): per-resource</w:t>
      </w:r>
    </w:p>
    <w:p>
      <w:pPr>
        <w:ind w:left="454"/>
      </w:pPr>
      <w:r>
        <w:rPr>
          <w:i/>
        </w:rPr>
        <w:t>precision control measured under three no-regression constraints — service P99 ≤ 10 ms, no customer-rate</w:t>
      </w:r>
    </w:p>
    <w:p>
      <w:pPr>
        <w:ind w:left="454"/>
      </w:pPr>
      <w:r>
        <w:rPr>
          <w:i/>
        </w:rPr>
        <w:t>degradation, and no reduction of tenant-visible memory. Phase C experiments are complete (zram3b/ioctl2/</w:t>
      </w:r>
    </w:p>
    <w:p>
      <w:pPr>
        <w:ind w:left="454"/>
      </w:pPr>
      <w:r>
        <w:rPr>
          <w:i/>
        </w:rPr>
        <w:t>FPR/canary3) and the sections below are filled (Figures 22–26). **Positioning: this chapter is a supporting</w:t>
      </w:r>
    </w:p>
    <w:p>
      <w:pPr>
        <w:ind w:left="454"/>
      </w:pPr>
      <w:r>
        <w:rPr>
          <w:i/>
        </w:rPr>
        <w:t>extension** — the main line is the Identify/Predict/Actuate chain of Sections 3/5/7/8; this chapter</w:t>
      </w:r>
    </w:p>
    <w:p>
      <w:pPr>
        <w:ind w:left="454"/>
      </w:pPr>
      <w:r>
        <w:rPr>
          <w:i/>
        </w:rPr>
        <w:t>verifies that the no-regression principle extends across resources and provides density-ceiling context.</w:t>
      </w:r>
    </w:p>
    <w:p>
      <w:pPr>
        <w:pStyle w:val="Heading2"/>
      </w:pPr>
      <w:r>
        <w:t>9.1 CPU: Micro-Period Quotas — a Self-Audit Correction (Figure 22)</w:t>
      </w:r>
    </w:p>
    <w:p>
      <w:pPr>
        <w:jc w:val="center"/>
      </w:pPr>
      <w:r>
        <w:drawing>
          <wp:inline xmlns:a="http://schemas.openxmlformats.org/drawingml/2006/main" xmlns:pic="http://schemas.openxmlformats.org/drawingml/2006/picture">
            <wp:extent cx="5760000" cy="3141818"/>
            <wp:docPr id="27" name="Picture 27"/>
            <wp:cNvGraphicFramePr>
              <a:graphicFrameLocks noChangeAspect="1"/>
            </wp:cNvGraphicFramePr>
            <a:graphic>
              <a:graphicData uri="http://schemas.openxmlformats.org/drawingml/2006/picture">
                <pic:pic>
                  <pic:nvPicPr>
                    <pic:cNvPr id="0" name="fig22_microperiod.png"/>
                    <pic:cNvPicPr/>
                  </pic:nvPicPr>
                  <pic:blipFill>
                    <a:blip r:embed="rId36"/>
                    <a:stretch>
                      <a:fillRect/>
                    </a:stretch>
                  </pic:blipFill>
                  <pic:spPr>
                    <a:xfrm>
                      <a:off x="0" y="0"/>
                      <a:ext cx="5760000" cy="3141818"/>
                    </a:xfrm>
                    <a:prstGeom prst="rect"/>
                  </pic:spPr>
                </pic:pic>
              </a:graphicData>
            </a:graphic>
          </wp:inline>
        </w:drawing>
      </w:r>
    </w:p>
    <w:p>
      <w:pPr>
        <w:jc w:val="center"/>
      </w:pPr>
      <w:r>
        <w:rPr>
          <w:i/>
          <w:color w:val="333333"/>
          <w:sz w:val="19"/>
        </w:rPr>
        <w:t>Figure 22 Micro-period self-audit: 2 ms and 1 s deliver identically (+35% withdrawn)</w:t>
      </w:r>
    </w:p>
    <w:p>
      <w:r>
        <w:rPr>
          <w:b/>
          <w:i w:val="0"/>
        </w:rPr>
        <w:t>Background.</w:t>
      </w:r>
      <w:r>
        <w:t xml:space="preserve"> An early batch (qp2c: five pegged tenants at 50% quota, periods 2/4/10/100 ms/1 s) reported that shrinking the period raised the tenant rate from 59% to 80% (+35%), and this number entered the summary table.</w:t>
      </w:r>
    </w:p>
    <w:p>
      <w:r>
        <w:rPr>
          <w:b/>
          <w:i w:val="0"/>
        </w:rPr>
        <w:t>Audit and correction (qp2v1).</w:t>
      </w:r>
      <w:r>
        <w:t xml:space="preserve"> A pre-submission measurement audit found that qp2c's rate readings come from the burner's </w:t>
      </w:r>
      <w:r>
        <w:rPr>
          <w:b/>
          <w:i w:val="0"/>
        </w:rPr>
        <w:t>cumulative average within the current work phase</w:t>
      </w:r>
      <w:r>
        <w:t xml:space="preserve"> (rewritten every ~2 s), while configs were only ~30 s apart — so </w:t>
      </w:r>
      <w:r>
        <w:rPr>
          <w:b/>
          <w:i w:val="0"/>
        </w:rPr>
        <w:t>later configs read windows contaminated by earlier, faster ones</w:t>
      </w:r>
      <w:r>
        <w:t xml:space="preserve"> (the uncapped segment at 25.6M inflated early readings). Clean re-measurement: fresh burner window per config + synchronized 60 s windows + guest </w:t>
      </w:r>
      <w:r>
        <w:rPr>
          <w:rFonts w:ascii="Consolas" w:hAnsi="Consolas"/>
          <w:sz w:val="20"/>
        </w:rPr>
        <w:t>cpu.stat</w:t>
      </w:r>
      <w:r>
        <w:t xml:space="preserve"> delivery as ground truth:</w:t>
      </w:r>
    </w:p>
    <w:p>
      <w:r>
        <w:rPr>
          <w:b/>
          <w:i w:val="0"/>
        </w:rPr>
        <w:t>Table 24.</w:t>
      </w:r>
      <w:r>
        <w:t xml:space="preserve"> Micro-period self-audit: delivered CPU, throttled time, rate per configuration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9"/>
              </w:rPr>
              <w:t>Config</w:t>
            </w:r>
          </w:p>
        </w:tc>
        <w:tc>
          <w:tcPr>
            <w:tcW w:type="dxa" w:w="1994"/>
          </w:tcPr>
          <w:p>
            <w:r>
              <w:rPr>
                <w:b/>
                <w:sz w:val="19"/>
              </w:rPr>
              <w:t>Delivered CPU</w:t>
            </w:r>
          </w:p>
        </w:tc>
        <w:tc>
          <w:tcPr>
            <w:tcW w:type="dxa" w:w="1994"/>
          </w:tcPr>
          <w:p>
            <w:r>
              <w:rPr>
                <w:b/>
                <w:sz w:val="19"/>
              </w:rPr>
              <w:t>Throttled</w:t>
            </w:r>
          </w:p>
        </w:tc>
        <w:tc>
          <w:tcPr>
            <w:tcW w:type="dxa" w:w="1994"/>
          </w:tcPr>
          <w:p>
            <w:r>
              <w:rPr>
                <w:b/>
                <w:sz w:val="19"/>
              </w:rPr>
              <w:t>Rate</w:t>
            </w:r>
          </w:p>
        </w:tc>
        <w:tc>
          <w:tcPr>
            <w:tcW w:type="dxa" w:w="1994"/>
          </w:tcPr>
          <w:p>
            <w:r>
              <w:rPr>
                <w:b/>
                <w:sz w:val="19"/>
              </w:rPr>
              <w:t>Rate/core</w:t>
            </w:r>
          </w:p>
        </w:tc>
      </w:tr>
      <w:tr>
        <w:tc>
          <w:tcPr>
            <w:tcW w:type="dxa" w:w="1994"/>
          </w:tcPr>
          <w:p>
            <w:r>
              <w:rPr>
                <w:sz w:val="19"/>
              </w:rPr>
              <w:t>uncapped</w:t>
            </w:r>
          </w:p>
        </w:tc>
        <w:tc>
          <w:tcPr>
            <w:tcW w:type="dxa" w:w="1994"/>
          </w:tcPr>
          <w:p>
            <w:r>
              <w:rPr>
                <w:sz w:val="19"/>
              </w:rPr>
              <w:t>1.000 cores</w:t>
            </w:r>
          </w:p>
        </w:tc>
        <w:tc>
          <w:tcPr>
            <w:tcW w:type="dxa" w:w="1994"/>
          </w:tcPr>
          <w:p>
            <w:r>
              <w:rPr>
                <w:sz w:val="19"/>
              </w:rPr>
              <w:t>0%</w:t>
            </w:r>
          </w:p>
        </w:tc>
        <w:tc>
          <w:tcPr>
            <w:tcW w:type="dxa" w:w="1994"/>
          </w:tcPr>
          <w:p>
            <w:r>
              <w:rPr>
                <w:sz w:val="19"/>
              </w:rPr>
              <w:t>25.8M</w:t>
            </w:r>
          </w:p>
        </w:tc>
        <w:tc>
          <w:tcPr>
            <w:tcW w:type="dxa" w:w="1994"/>
          </w:tcPr>
          <w:p>
            <w:r>
              <w:rPr>
                <w:sz w:val="19"/>
              </w:rPr>
              <w:t>25.8M</w:t>
            </w:r>
          </w:p>
        </w:tc>
      </w:tr>
      <w:tr>
        <w:tc>
          <w:tcPr>
            <w:tcW w:type="dxa" w:w="1994"/>
          </w:tcPr>
          <w:p>
            <w:r>
              <w:rPr>
                <w:sz w:val="19"/>
              </w:rPr>
              <w:t>2 ms (50% quota)</w:t>
            </w:r>
          </w:p>
        </w:tc>
        <w:tc>
          <w:tcPr>
            <w:tcW w:type="dxa" w:w="1994"/>
          </w:tcPr>
          <w:p>
            <w:r>
              <w:rPr>
                <w:sz w:val="19"/>
              </w:rPr>
              <w:t>0.500 cores</w:t>
            </w:r>
          </w:p>
        </w:tc>
        <w:tc>
          <w:tcPr>
            <w:tcW w:type="dxa" w:w="1994"/>
          </w:tcPr>
          <w:p>
            <w:r>
              <w:rPr>
                <w:sz w:val="19"/>
              </w:rPr>
              <w:t>50%</w:t>
            </w:r>
          </w:p>
        </w:tc>
        <w:tc>
          <w:tcPr>
            <w:tcW w:type="dxa" w:w="1994"/>
          </w:tcPr>
          <w:p>
            <w:r>
              <w:rPr>
                <w:sz w:val="19"/>
              </w:rPr>
              <w:t>13.2–13.4M</w:t>
            </w:r>
          </w:p>
        </w:tc>
        <w:tc>
          <w:tcPr>
            <w:tcW w:type="dxa" w:w="1994"/>
          </w:tcPr>
          <w:p>
            <w:r>
              <w:rPr>
                <w:sz w:val="19"/>
              </w:rPr>
              <w:t>26.4–26.8M</w:t>
            </w:r>
          </w:p>
        </w:tc>
      </w:tr>
      <w:tr>
        <w:tc>
          <w:tcPr>
            <w:tcW w:type="dxa" w:w="1994"/>
          </w:tcPr>
          <w:p>
            <w:r>
              <w:rPr>
                <w:sz w:val="19"/>
              </w:rPr>
              <w:t>1 s (50% quota)</w:t>
            </w:r>
          </w:p>
        </w:tc>
        <w:tc>
          <w:tcPr>
            <w:tcW w:type="dxa" w:w="1994"/>
          </w:tcPr>
          <w:p>
            <w:r>
              <w:rPr>
                <w:sz w:val="19"/>
              </w:rPr>
              <w:t>0.500 cores</w:t>
            </w:r>
          </w:p>
        </w:tc>
        <w:tc>
          <w:tcPr>
            <w:tcW w:type="dxa" w:w="1994"/>
          </w:tcPr>
          <w:p>
            <w:r>
              <w:rPr>
                <w:sz w:val="19"/>
              </w:rPr>
              <w:t>~50%</w:t>
            </w:r>
          </w:p>
        </w:tc>
        <w:tc>
          <w:tcPr>
            <w:tcW w:type="dxa" w:w="1994"/>
          </w:tcPr>
          <w:p>
            <w:r>
              <w:rPr>
                <w:sz w:val="19"/>
              </w:rPr>
              <w:t>13.3M</w:t>
            </w:r>
          </w:p>
        </w:tc>
        <w:tc>
          <w:tcPr>
            <w:tcW w:type="dxa" w:w="1994"/>
          </w:tcPr>
          <w:p>
            <w:r>
              <w:rPr>
                <w:sz w:val="19"/>
              </w:rPr>
              <w:t>26.6M</w:t>
            </w:r>
          </w:p>
        </w:tc>
      </w:tr>
    </w:tbl>
    <w:p/>
    <w:p>
      <w:r>
        <w:rPr>
          <w:b/>
          <w:i w:val="0"/>
        </w:rPr>
        <w:t>Corrected conclusion.</w:t>
      </w:r>
      <w:r>
        <w:t xml:space="preserve"> At 50% quota, </w:t>
      </w:r>
      <w:r>
        <w:rPr>
          <w:b/>
          <w:i w:val="0"/>
        </w:rPr>
        <w:t>2 ms and 1 s deliver identically</w:t>
      </w:r>
      <w:r>
        <w:t xml:space="preserve"> (0.500 cores each, ~52% of baseline, difference &lt;1%); </w:t>
      </w:r>
      <w:r>
        <w:rPr>
          <w:b/>
          <w:i w:val="0"/>
        </w:rPr>
        <w:t>the +35% claim is withdrawn</w:t>
      </w:r>
      <w:r>
        <w:t xml:space="preserve"> (summary table corrected in step). Services are unaffected by the period (0.73–0.75 ms; the qp2c service data remain valid). </w:t>
      </w:r>
      <w:r>
        <w:rPr>
          <w:b/>
          <w:i w:val="0"/>
        </w:rPr>
        <w:t>Lessons, fixed in `tb_qp2v.py`:</w:t>
      </w:r>
      <w:r>
        <w:t xml:space="preserve"> throughput comparisons must (i) reset the cumulative window per config and (ii) cross-check against cgroup delivery rather than the rate file.</w:t>
      </w:r>
    </w:p>
    <w:p>
      <w:r>
        <w:rPr>
          <w:b/>
          <w:i w:val="0"/>
        </w:rPr>
        <w:t>Boundaries.</w:t>
      </w:r>
      <w:r>
        <w:t xml:space="preserve"> Pure CPU-pegged busy loops; period effects on latency-sensitive/mixed workloads are untested (future work).</w:t>
      </w:r>
    </w:p>
    <w:p>
      <w:pPr>
        <w:pStyle w:val="Heading2"/>
      </w:pPr>
      <w:r>
        <w:t>9.2 Memory: Balloon-Free Reclaim Trio (Figures 23–25) — partial</w:t>
      </w:r>
    </w:p>
    <w:p>
      <w:r>
        <w:rPr>
          <w:b/>
          <w:i w:val="0"/>
        </w:rPr>
        <w:t>Done so far.</w:t>
      </w:r>
      <w:r>
        <w:t xml:space="preserve"> (i) </w:t>
      </w:r>
      <w:r>
        <w:rPr>
          <w:b/>
          <w:i w:val="0"/>
        </w:rPr>
        <w:t>KSM fleet dedup (ksm1; see the kernel documentation [21])</w:t>
      </w:r>
      <w:r>
        <w:t xml:space="preserve">: 64 same-image VMs share </w:t>
      </w:r>
      <w:r>
        <w:rPr>
          <w:b/>
          <w:i w:val="0"/>
        </w:rPr>
        <w:t>21.4 GiB = 33.4% of fleet RAM</w:t>
      </w:r>
      <w:r>
        <w:t xml:space="preserve">; ksmd ≈ 0.16 core; service P99 0.73→0.76 ms (zero regression). Cost boundaries: write-CoW latency untested; cross-tenant dedup carries known side-channel concerns — enable per trust domain in production. (ii) </w:t>
      </w:r>
      <w:r>
        <w:rPr>
          <w:b/>
          <w:i w:val="0"/>
        </w:rPr>
        <w:t>Free-page reporting (manual verification, 300 MB)</w:t>
      </w:r>
      <w:r>
        <w:t xml:space="preserve">: host </w:t>
      </w:r>
      <w:r>
        <w:rPr>
          <w:rFonts w:ascii="Consolas" w:hAnsi="Consolas"/>
          <w:sz w:val="20"/>
        </w:rPr>
        <w:t>memory.current</w:t>
      </w:r>
      <w:r>
        <w:t xml:space="preserve"> 315→629 MB with the guest allocation and returns 6–12 s after free; guest </w:t>
      </w:r>
      <w:r>
        <w:rPr>
          <w:rFonts w:ascii="Consolas" w:hAnsi="Consolas"/>
          <w:sz w:val="20"/>
        </w:rPr>
        <w:t>MemTotal</w:t>
      </w:r>
      <w:r>
        <w:t xml:space="preserve"> stays 973 MB throughout. Side finding: an idle "1 GB" VM holds only 156–315 MB of host RAM (FPR has been returning free pages all along). (iii) Automated FPR (fpr5, 300 MB): host </w:t>
      </w:r>
      <w:r>
        <w:rPr>
          <w:rFonts w:ascii="Consolas" w:hAnsi="Consolas"/>
          <w:sz w:val="20"/>
        </w:rPr>
        <w:t>memory.current</w:t>
      </w:r>
      <w:r>
        <w:t xml:space="preserve"> 571→875→570 MB (vm312) and 581→878→575 MB (vm313), </w:t>
      </w:r>
      <w:r>
        <w:rPr>
          <w:b/>
          <w:i w:val="0"/>
        </w:rPr>
        <w:t>303 MB reclaimed</w:t>
      </w:r>
      <w:r>
        <w:t xml:space="preserve">, guest </w:t>
      </w:r>
      <w:r>
        <w:rPr>
          <w:rFonts w:ascii="Consolas" w:hAnsi="Consolas"/>
          <w:sz w:val="20"/>
        </w:rPr>
        <w:t>MemTotal</w:t>
      </w:r>
      <w:r>
        <w:t xml:space="preserve"> unchanged at 973 MB — matching the manual result (fpr4 had failed because the balloc call lacked the </w:t>
      </w:r>
      <w:r>
        <w:rPr>
          <w:rFonts w:ascii="Consolas" w:hAnsi="Consolas"/>
          <w:sz w:val="20"/>
        </w:rPr>
        <w:t>debian@</w:t>
      </w:r>
      <w:r>
        <w:t xml:space="preserve"> user prefix; fixed and rerun). (iv) </w:t>
      </w:r>
      <w:r>
        <w:rPr>
          <w:b/>
          <w:i w:val="0"/>
        </w:rPr>
        <w:t>zram absorption (zram3b, after a unit fix)</w:t>
      </w:r>
      <w:r>
        <w:t xml:space="preserve">: allocation reached the </w:t>
      </w:r>
      <w:r>
        <w:rPr>
          <w:b/>
          <w:i w:val="0"/>
        </w:rPr>
        <w:t>1120 GB target</w:t>
      </w:r>
      <w:r>
        <w:t xml:space="preserve">, with </w:t>
      </w:r>
      <w:r>
        <w:rPr>
          <w:b/>
          <w:i w:val="0"/>
        </w:rPr>
        <w:t>176.8 GB of overflow fully absorbed by zram</w:t>
      </w:r>
      <w:r>
        <w:t xml:space="preserve"> (3.1 GB physical memory after compression, </w:t>
      </w:r>
      <w:r>
        <w:rPr>
          <w:rFonts w:ascii="Consolas" w:hAnsi="Consolas"/>
          <w:sz w:val="20"/>
        </w:rPr>
        <w:t>mem_used</w:t>
      </w:r>
      <w:r>
        <w:t xml:space="preserve"> 3.5 GB; compressible cold pages — real workloads would compress less); mid-storm service P99 stayed flat at </w:t>
      </w:r>
      <w:r>
        <w:rPr>
          <w:b/>
          <w:i w:val="0"/>
        </w:rPr>
        <w:t>0.745 ms</w:t>
      </w:r>
      <w:r>
        <w:t xml:space="preserve">. The disk-swap arm </w:t>
      </w:r>
      <w:r>
        <w:rPr>
          <w:b/>
          <w:i w:val="0"/>
        </w:rPr>
        <w:t>aborted at 1044 GB</w:t>
      </w:r>
      <w:r>
        <w:t xml:space="preserve"> (the 96 GB swapfile exhausted first) — the "zram absorbs / disk insufficient" contrast holds. (v) </w:t>
      </w:r>
      <w:r>
        <w:rPr>
          <w:b/>
          <w:i w:val="0"/>
        </w:rPr>
        <w:t>QoE canary (canary3)</w:t>
      </w:r>
      <w:r>
        <w:t xml:space="preserve">: two independent canary VMs running a 200 ms wakeup loop show max gap </w:t>
      </w:r>
      <w:r>
        <w:rPr>
          <w:b/>
          <w:i w:val="0"/>
        </w:rPr>
        <w:t>0.1 ms</w:t>
      </w:r>
      <w:r>
        <w:t xml:space="preserve"> (zero &gt;250 ms stalls) across baseline / rand40 / sync32 / mix50_40 — no scheduling stalls under either density or phase arrangement.</w:t>
      </w:r>
    </w:p>
    <w:p>
      <w:pPr>
        <w:pStyle w:val="Heading2"/>
      </w:pPr>
      <w:r>
        <w:t>9.3 IO: Tenant Storms vs Service (Figure 26)</w:t>
      </w:r>
    </w:p>
    <w:p>
      <w:pPr>
        <w:jc w:val="center"/>
      </w:pPr>
      <w:r>
        <w:drawing>
          <wp:inline xmlns:a="http://schemas.openxmlformats.org/drawingml/2006/main" xmlns:pic="http://schemas.openxmlformats.org/drawingml/2006/picture">
            <wp:extent cx="5760000" cy="3141818"/>
            <wp:docPr id="28" name="Picture 28"/>
            <wp:cNvGraphicFramePr>
              <a:graphicFrameLocks noChangeAspect="1"/>
            </wp:cNvGraphicFramePr>
            <a:graphic>
              <a:graphicData uri="http://schemas.openxmlformats.org/drawingml/2006/picture">
                <pic:pic>
                  <pic:nvPicPr>
                    <pic:cNvPr id="0" name="fig26_ioctl.png"/>
                    <pic:cNvPicPr/>
                  </pic:nvPicPr>
                  <pic:blipFill>
                    <a:blip r:embed="rId37"/>
                    <a:stretch>
                      <a:fillRect/>
                    </a:stretch>
                  </pic:blipFill>
                  <pic:spPr>
                    <a:xfrm>
                      <a:off x="0" y="0"/>
                      <a:ext cx="5760000" cy="3141818"/>
                    </a:xfrm>
                    <a:prstGeom prst="rect"/>
                  </pic:spPr>
                </pic:pic>
              </a:graphicData>
            </a:graphic>
          </wp:inline>
        </w:drawing>
      </w:r>
    </w:p>
    <w:p>
      <w:pPr>
        <w:jc w:val="center"/>
      </w:pPr>
      <w:r>
        <w:rPr>
          <w:i/>
          <w:color w:val="333333"/>
          <w:sz w:val="19"/>
        </w:rPr>
        <w:t>Figure 26 Tenant 4K random storm: ~66k IOPS, service untouched (P99 0.74-0.76 ms)</w:t>
      </w:r>
    </w:p>
    <w:p>
      <w:r>
        <w:rPr>
          <w:b/>
          <w:i w:val="0"/>
        </w:rPr>
        <w:t>Completed (ioc2, after fixing deployment).</w:t>
      </w:r>
      <w:r>
        <w:t xml:space="preserve"> Eight storm tenants running 4K random 70/30 O_DIRECT for 60 s per arm: host </w:t>
      </w:r>
      <w:r>
        <w:rPr>
          <w:b/>
          <w:i w:val="0"/>
        </w:rPr>
        <w:t>~98k IOPS</w:t>
      </w:r>
      <w:r>
        <w:t xml:space="preserve">, aggregate tenant </w:t>
      </w:r>
      <w:r>
        <w:rPr>
          <w:b/>
          <w:i w:val="0"/>
        </w:rPr>
        <w:t>~66k IOPS</w:t>
      </w:r>
      <w:r>
        <w:t xml:space="preserve"> (n=8), tenant per-op P99max </w:t>
      </w:r>
      <w:r>
        <w:rPr>
          <w:b/>
          <w:i w:val="0"/>
        </w:rPr>
        <w:t>8.3 ms</w:t>
      </w:r>
      <w:r>
        <w:t xml:space="preserve">; across the three arms (none / static / adaptive) the service HTTP P99 stays at </w:t>
      </w:r>
      <w:r>
        <w:rPr>
          <w:b/>
          <w:i w:val="0"/>
        </w:rPr>
        <w:t>0.743–0.756 ms</w:t>
      </w:r>
      <w:r>
        <w:t xml:space="preserve"> — the tenant storm does not touch the service (isolation envelope); arm differences &lt;1% (adaptive shows no advantage under this load).</w:t>
      </w:r>
    </w:p>
    <w:p>
      <w:pPr>
        <w:pStyle w:val="Heading2"/>
      </w:pPr>
      <w:r>
        <w:t>9.4 Relation to the (Domain-Scoped) No-Regression Constraint</w:t>
      </w:r>
    </w:p>
    <w:p>
      <w:r>
        <w:t xml:space="preserve">Per-mechanism ledger (density gain / hidden cost / tenant-visible regression): </w:t>
      </w:r>
      <w:r>
        <w:rPr>
          <w:b/>
          <w:i w:val="0"/>
        </w:rPr>
        <w:t>KSM, FPR and isolation are zero-visible-regression</w:t>
      </w:r>
      <w:r>
        <w:t xml:space="preserve"> (customer rate distribution and visible configuration unchanged); </w:t>
      </w:r>
      <w:r>
        <w:rPr>
          <w:b/>
          <w:i w:val="0"/>
        </w:rPr>
        <w:t>zram's cost is host-side compression work</w:t>
      </w:r>
      <w:r>
        <w:t xml:space="preserve"> (service unaffected; the compression ratio is reported for compressible cold pages); </w:t>
      </w:r>
      <w:r>
        <w:rPr>
          <w:b/>
          <w:i w:val="0"/>
        </w:rPr>
        <w:t>quotas and IO caps are explicitly priced on the throttled tenants</w:t>
      </w:r>
      <w:r>
        <w:t xml:space="preserve"> (rate, queueing) — closing the loop with Chapter 5's "economy tier = a priced degradation budget". Data sources: ksm1 (21.4 GiB = 33.4% dedup, ksmd ~0.16 core, service P99 0.73→0.76 ms); fpr1/fpr5 (idle "1 GB" VMs hold 156–315 MB; a 300 MB allocation reclaims 303 MB with the guest-visible memory unchanged); zram3b (three arms: none aborts ~940 GB without swap / zram reaches 1120 GB with 176.8 GB absorbed and a flat P99 / disk swapfile exhausts at 96 GB and aborts).</w:t>
      </w:r>
    </w:p>
    <w:p>
      <w:pPr>
        <w:jc w:val="center"/>
      </w:pPr>
      <w:r>
        <w:drawing>
          <wp:inline xmlns:a="http://schemas.openxmlformats.org/drawingml/2006/main" xmlns:pic="http://schemas.openxmlformats.org/drawingml/2006/picture">
            <wp:extent cx="5760000" cy="3141818"/>
            <wp:docPr id="29" name="Picture 29"/>
            <wp:cNvGraphicFramePr>
              <a:graphicFrameLocks noChangeAspect="1"/>
            </wp:cNvGraphicFramePr>
            <a:graphic>
              <a:graphicData uri="http://schemas.openxmlformats.org/drawingml/2006/picture">
                <pic:pic>
                  <pic:nvPicPr>
                    <pic:cNvPr id="0" name="fig23_ksm.png"/>
                    <pic:cNvPicPr/>
                  </pic:nvPicPr>
                  <pic:blipFill>
                    <a:blip r:embed="rId38"/>
                    <a:stretch>
                      <a:fillRect/>
                    </a:stretch>
                  </pic:blipFill>
                  <pic:spPr>
                    <a:xfrm>
                      <a:off x="0" y="0"/>
                      <a:ext cx="5760000" cy="3141818"/>
                    </a:xfrm>
                    <a:prstGeom prst="rect"/>
                  </pic:spPr>
                </pic:pic>
              </a:graphicData>
            </a:graphic>
          </wp:inline>
        </w:drawing>
      </w:r>
    </w:p>
    <w:p>
      <w:pPr>
        <w:jc w:val="center"/>
      </w:pPr>
      <w:r>
        <w:rPr>
          <w:i/>
          <w:color w:val="333333"/>
          <w:sz w:val="19"/>
        </w:rPr>
        <w:t>Figure 23 KSM fleet dedup: 21.4 GiB shared (33.4%), ksmd ~0.16 core</w:t>
      </w:r>
    </w:p>
    <w:p>
      <w:pPr>
        <w:jc w:val="center"/>
      </w:pPr>
      <w:r>
        <w:drawing>
          <wp:inline xmlns:a="http://schemas.openxmlformats.org/drawingml/2006/main" xmlns:pic="http://schemas.openxmlformats.org/drawingml/2006/picture">
            <wp:extent cx="5760000" cy="3141818"/>
            <wp:docPr id="30" name="Picture 30"/>
            <wp:cNvGraphicFramePr>
              <a:graphicFrameLocks noChangeAspect="1"/>
            </wp:cNvGraphicFramePr>
            <a:graphic>
              <a:graphicData uri="http://schemas.openxmlformats.org/drawingml/2006/picture">
                <pic:pic>
                  <pic:nvPicPr>
                    <pic:cNvPr id="0" name="fig24_fpr.png"/>
                    <pic:cNvPicPr/>
                  </pic:nvPicPr>
                  <pic:blipFill>
                    <a:blip r:embed="rId39"/>
                    <a:stretch>
                      <a:fillRect/>
                    </a:stretch>
                  </pic:blipFill>
                  <pic:spPr>
                    <a:xfrm>
                      <a:off x="0" y="0"/>
                      <a:ext cx="5760000" cy="3141818"/>
                    </a:xfrm>
                    <a:prstGeom prst="rect"/>
                  </pic:spPr>
                </pic:pic>
              </a:graphicData>
            </a:graphic>
          </wp:inline>
        </w:drawing>
      </w:r>
    </w:p>
    <w:p>
      <w:pPr>
        <w:jc w:val="center"/>
      </w:pPr>
      <w:r>
        <w:rPr>
          <w:i/>
          <w:color w:val="333333"/>
          <w:sz w:val="19"/>
        </w:rPr>
        <w:t>Figure 24 Free-page reporting: 300 MB allocated, 303 MB reclaimed, guest memory unchanged</w:t>
      </w:r>
    </w:p>
    <w:p>
      <w:pPr>
        <w:jc w:val="center"/>
      </w:pPr>
      <w:r>
        <w:drawing>
          <wp:inline xmlns:a="http://schemas.openxmlformats.org/drawingml/2006/main" xmlns:pic="http://schemas.openxmlformats.org/drawingml/2006/picture">
            <wp:extent cx="5760000" cy="2084571"/>
            <wp:docPr id="31" name="Picture 31"/>
            <wp:cNvGraphicFramePr>
              <a:graphicFrameLocks noChangeAspect="1"/>
            </wp:cNvGraphicFramePr>
            <a:graphic>
              <a:graphicData uri="http://schemas.openxmlformats.org/drawingml/2006/picture">
                <pic:pic>
                  <pic:nvPicPr>
                    <pic:cNvPr id="0" name="fig25_zram.png"/>
                    <pic:cNvPicPr/>
                  </pic:nvPicPr>
                  <pic:blipFill>
                    <a:blip r:embed="rId40"/>
                    <a:stretch>
                      <a:fillRect/>
                    </a:stretch>
                  </pic:blipFill>
                  <pic:spPr>
                    <a:xfrm>
                      <a:off x="0" y="0"/>
                      <a:ext cx="5760000" cy="2084571"/>
                    </a:xfrm>
                    <a:prstGeom prst="rect"/>
                  </pic:spPr>
                </pic:pic>
              </a:graphicData>
            </a:graphic>
          </wp:inline>
        </w:drawing>
      </w:r>
    </w:p>
    <w:p>
      <w:pPr>
        <w:jc w:val="center"/>
      </w:pPr>
      <w:r>
        <w:rPr>
          <w:i/>
          <w:color w:val="333333"/>
          <w:sz w:val="19"/>
        </w:rPr>
        <w:t>Figure 25 Swap arms: zram absorbs 176.8 GB (P99 flat) vs the disk swapfile exhausting</w:t>
      </w:r>
    </w:p>
    <w:p>
      <w:pPr>
        <w:pStyle w:val="Heading1"/>
        <w:pageBreakBefore/>
      </w:pPr>
      <w:r>
        <w:t>10 Discussion and Limitations</w:t>
      </w:r>
    </w:p>
    <w:p>
      <w:pPr>
        <w:pStyle w:val="Heading2"/>
      </w:pPr>
      <w:r>
        <w:t>10.1 What Transfers, What Is Environment-Bound</w:t>
      </w:r>
    </w:p>
    <w:p>
      <w:r>
        <w:rPr>
          <w:b/>
          <w:i w:val="0"/>
        </w:rPr>
        <w:t>Mechanistic results that transfer:</w:t>
      </w:r>
      <w:r>
        <w:t xml:space="preserve"> (i) tail latency is governed by instantaneous concurrency/overlap rather than average utilization — independent of core count and virtualization depth, depending only on whether the runnable set periodically exceeds capacity; (ii) the censoring logic — any system whose self-protection uses quotas will let usage underestimate demand, and throttle counters are a portable detector; (iii) the reliability hierarchy — isolation &gt; hard caps &gt; soft priorities, with the failures of the latter having mechanism-level explanations (lock-holder preemption, scheduling-credit dynamics, upstream dispatch) rather than being testbed accidents.</w:t>
      </w:r>
    </w:p>
    <w:p>
      <w:r>
        <w:rPr>
          <w:b/>
          <w:i w:val="0"/>
        </w:rPr>
        <w:t>Environment-bound numbers:</w:t>
      </w:r>
      <w:r>
        <w:t xml:space="preserve"> the "3→4" knee is specific to 4 logical cores with 1-core pegged tenants as the worst case; the memory cliff (~13.8 GB tenant residency with 1 GB swap) is bound to 19.5 GiB physical and the swap layout; IO numbers are bound to the virtual disk and the host's </w:t>
      </w:r>
      <w:r>
        <w:rPr>
          <w:rFonts w:ascii="Consolas" w:hAnsi="Consolas"/>
          <w:sz w:val="20"/>
        </w:rPr>
        <w:t>none</w:t>
      </w:r>
      <w:r>
        <w:t xml:space="preserve"> scheduler (no BFQ). The paper reports mechanisms and the relative limit–cost relation; readers should recompute absolute numbers for their own cores and reserves.</w:t>
      </w:r>
    </w:p>
    <w:p>
      <w:pPr>
        <w:pStyle w:val="Heading2"/>
      </w:pPr>
      <w:r>
        <w:t>10.2 SLO Tiers and the Capacity–Quality Curve</w:t>
      </w:r>
    </w:p>
    <w:p>
      <w:r>
        <w:t xml:space="preserve">All experiments use the strict tier P99 ≤ 10 ms. Real cheap-VPS customers have no formal SLO and typically tolerate tens of milliseconds; our own data show that the same ten-tenant mix that violates the 10 ms tier would mostly be fine at ~30 ms. </w:t>
      </w:r>
      <w:r>
        <w:rPr>
          <w:b/>
          <w:i w:val="0"/>
        </w:rPr>
        <w:t>"How much can be sold" is therefore a function of the SLO tier, not a constant</w:t>
      </w:r>
      <w:r>
        <w:t xml:space="preserve"> — providers should make the density–tier relation an explicit product parameter , e.g., economy tier P99 ≤ 50 ms, standard ≤ 20 ms instead of quietly holding everyone to the strictest tier. The sensitivity analysis is on the pre-submission list; the mechanism and initial data are in place.</w:t>
      </w:r>
    </w:p>
    <w:p>
      <w:pPr>
        <w:pStyle w:val="Heading2"/>
      </w:pPr>
      <w:r>
        <w:t>10.3 Design Implications</w:t>
      </w:r>
    </w:p>
    <w:p>
      <w:r>
        <w:t xml:space="preserve">For providers: </w:t>
      </w:r>
      <w:r>
        <w:rPr>
          <w:b/>
          <w:i w:val="0"/>
        </w:rPr>
        <w:t>isolation first, density second</w:t>
      </w:r>
      <w:r>
        <w:t xml:space="preserve"> — one dedicated core for sensitive workloads beats any parameter tuning; backstop memory and IO with the double gate and caps; state the nominal sales envelope separately from the protection envelope (the basis for tiered pricing); feed admission with evidence (throttle counters, time-aligned demand upper quantiles) rather than dashboard numbers. For platform builders: several "intuitive" cgroup v2 semantics need empirical calibration — IO accounting binds to the whole disk rather than the partition; </w:t>
      </w:r>
      <w:r>
        <w:rPr>
          <w:rFonts w:ascii="Consolas" w:hAnsi="Consolas"/>
          <w:sz w:val="20"/>
        </w:rPr>
        <w:t>io.weight</w:t>
      </w:r>
      <w:r>
        <w:t xml:space="preserve"> depends on the IO scheduler being one that honors it (the IO-cost route </w:t>
      </w:r>
      <w:r>
        <w:rPr>
          <w:rFonts w:ascii="Consolas" w:hAnsi="Consolas"/>
          <w:sz w:val="20"/>
        </w:rPr>
        <w:t>io.cost.*</w:t>
      </w:r>
      <w:r>
        <w:t xml:space="preserve"> exists but was not exercised here); </w:t>
      </w:r>
      <w:r>
        <w:rPr>
          <w:rFonts w:ascii="Consolas" w:hAnsi="Consolas"/>
          <w:sz w:val="20"/>
        </w:rPr>
        <w:t>memory.high</w:t>
      </w:r>
      <w:r>
        <w:t xml:space="preserve"> reclaim pressure spills into host swap unless paired with </w:t>
      </w:r>
      <w:r>
        <w:rPr>
          <w:rFonts w:ascii="Consolas" w:hAnsi="Consolas"/>
          <w:sz w:val="20"/>
        </w:rPr>
        <w:t>memory.swap.max</w:t>
      </w:r>
      <w:r>
        <w:t xml:space="preserve"> (or swap disabled), and as a soft threshold it is not an OOM exemption; CPU weight is not a latency-protection tool. These gaps deserve documentation and default-configuration fixes.</w:t>
      </w:r>
    </w:p>
    <w:p>
      <w:pPr>
        <w:pStyle w:val="Heading2"/>
      </w:pPr>
      <w:r>
        <w:t>10.4 Validity and Threats</w:t>
      </w:r>
    </w:p>
    <w:p>
      <w:r>
        <w:rPr>
          <w:b/>
          <w:i w:val="0"/>
        </w:rPr>
        <w:t>Construct validity.</w:t>
      </w:r>
      <w:r>
        <w:t xml:space="preserve"> The "business" services are lightweight HTTP/Redis stand-ins; real services (databases, gateways) have longer and more syscall-dependent paths, which change absolute numbers but not the structure of overlap-driven tails. Tenant loads are synthetic duty-cycle loops without real-application slow paths (lock contention, GC); replication with real application images is future work. </w:t>
      </w:r>
      <w:r>
        <w:rPr>
          <w:b/>
          <w:i w:val="0"/>
        </w:rPr>
        <w:t>Internal validity.</w:t>
      </w:r>
      <w:r>
        <w:t xml:space="preserve"> Nested virtualization adds a scheduling layer; randomized orders and replicates suppress noise, and service-side metrics are stable across synthesis passes. The weight-failure mechanism is not yet localized (a host-side packet-path hypothesis is unverified) and is kept as an open question. The joint validation exposed a further issue: instant sampling of bursty background load carries a phase bias, the full controller (phase profiles + censoring correction + pause guardrail) is implemented and evaluated in the online comparison (Section 7.4.1; the j1 joint pilot is kept as a historical design–implementation gap record); the customer-side canary shows that a tight </w:t>
      </w:r>
      <w:r>
        <w:rPr>
          <w:rFonts w:ascii="Consolas" w:hAnsi="Consolas"/>
          <w:sz w:val="20"/>
        </w:rPr>
        <w:t>memory.high</w:t>
      </w:r>
      <w:r>
        <w:t xml:space="preserve"> gate can cause multi-second stalls, so gate sizing must be an explicitly calibrated product parameter. </w:t>
      </w:r>
      <w:r>
        <w:rPr>
          <w:b/>
          <w:i w:val="0"/>
        </w:rPr>
        <w:t>Control-history boundary (preliminary pilot).</w:t>
      </w:r>
      <w:r>
        <w:t xml:space="preserve"> The observation set validated in this paper is sufficient for capacity decisions under the tested workload family, but it does not identify work-preservation semantics. In a controlled paired pilot (one replaceable/latest-state tenant vs one persistent-queue tenant, matched baseline telemetry of 0.80 vs 0.83 cores, identical 20% quota for 3 min, then release), the throttled-phase host telemetry of the two tenants is indistinguishable (0.200 vs 0.200 cores; throttled 143.2 vs 143.2 s), yet the released futures differ sharply: the replaceable tenant returns to baseline immediately with a recovery ratio kappa = E/D = 0.004 (discarded work never returns), while the persistent tenant stays saturated for about 12 min draining the accumulated debt, kappa = 0.975. Host-side history collected before a control action therefore cannot predict the post-action load for both semantics; evidence validity after control actions is an open boundary of the observation-necessity thesis, and a multi-workload, multi-run study is future work (artifacts: </w:t>
      </w:r>
      <w:r>
        <w:rPr>
          <w:rFonts w:ascii="Consolas" w:hAnsi="Consolas"/>
          <w:sz w:val="20"/>
        </w:rPr>
        <w:t>research_data/debt_pilot/</w:t>
      </w:r>
      <w:r>
        <w:t xml:space="preserve">; model-level executable counterexamples in </w:t>
      </w:r>
      <w:r>
        <w:rPr>
          <w:rFonts w:ascii="Consolas" w:hAnsi="Consolas"/>
          <w:sz w:val="20"/>
        </w:rPr>
        <w:t>tools/control_history_tests.py</w:t>
      </w:r>
      <w:r>
        <w:t>).</w:t>
      </w:r>
    </w:p>
    <w:p>
      <w:r>
        <w:rPr>
          <w:b/>
          <w:i w:val="0"/>
        </w:rPr>
        <w:t>External validity.</w:t>
      </w:r>
      <w:r>
        <w:t xml:space="preserve"> Two testbeds (a 4-vCPU nested bed and a 96-thread bare-metal host) with production telemetry as a realistic anchor; the production-schedule replay (64 real per-minute duty traces; 30-min excerpt plus five-window forward validation) has been run (Section 8.6); production telemetry is minute-level, so the multi-window PPC validation uses </w:t>
      </w:r>
      <w:r>
        <w:rPr>
          <w:b w:val="0"/>
          <w:i/>
        </w:rPr>
        <w:t>reconstructed</w:t>
      </w:r>
      <w:r>
        <w:t xml:space="preserve"> second-level series (model-replay consistency) — independent second-level truth and false-positive/negative rates remain future work; cross-vendor hardware extrapolation remains a follow-up item. </w:t>
      </w:r>
      <w:r>
        <w:rPr>
          <w:b/>
          <w:i w:val="0"/>
        </w:rPr>
        <w:t>Statistics.</w:t>
      </w:r>
      <w:r>
        <w:t xml:space="preserve"> Key conclusions carry mass repeats (knee 50, censoring 90 cycles in 30 rounds, combined-stress 24); the admission comparison v2 (14 rounds), boundary fine scans (multi-cycle, 2 rounds per step) and mixed-phase repeats are running; zero-failure claims are reported with Clopper-Pearson bounds and explicit trial counts, never as long-term guarantees.</w:t>
      </w:r>
    </w:p>
    <w:p>
      <w:pPr>
        <w:pStyle w:val="Heading2"/>
      </w:pPr>
      <w:r>
        <w:t>10.5 Boundary to Hyperscale Approaches</w:t>
      </w:r>
    </w:p>
    <w:p>
      <w:r>
        <w:t>This work does not replace AUDIBLE/Coach-class methods at hyperscale, which solve capacity optimization given long histories and scheduling freedom; it addresses how a history-less, migration-less small host avoids incidents when its measurement interface is structurally biased. The two are composable: censoring correction can produce clean demand evidence at the small-host edge before a platform-scale predictor performs global planning.</w:t>
      </w:r>
    </w:p>
    <w:p>
      <w:pPr>
        <w:pStyle w:val="Heading1"/>
        <w:pageBreakBefore/>
      </w:pPr>
      <w:r>
        <w:t>11 Conclusion</w:t>
      </w:r>
    </w:p>
    <w:p>
      <w:r>
        <w:t xml:space="preserve">This paper targets an operating regime overlooked by large-scale cloud research — small VPS hosts that pack cheap, mostly-idle, occasionally-bursty tenants into a few physical cores — and, using </w:t>
      </w:r>
      <w:r>
        <w:rPr>
          <w:b/>
          <w:i w:val="0"/>
        </w:rPr>
        <w:t>two self-built testbeds</w:t>
      </w:r>
      <w:r>
        <w:t xml:space="preserve"> (a 4-vCPU nested bed and a 96-thread bare-metal host whose 64-VM fleet reproduces the core results, with isolation verified against SMT/NUMA topology), </w:t>
      </w:r>
      <w:r>
        <w:rPr>
          <w:b/>
          <w:i w:val="0"/>
        </w:rPr>
        <w:t>mass repeats at the 50/90/24-round scale</w:t>
      </w:r>
      <w:r>
        <w:t xml:space="preserve"> and read-only telemetry from two production hosts we operate ourselves, recasts "safe oversubscription" as three ordered problems whose organizing thesis is </w:t>
      </w:r>
      <w:r>
        <w:rPr>
          <w:b/>
          <w:i w:val="0"/>
        </w:rPr>
        <w:t>observation necessity</w:t>
      </w:r>
      <w:r>
        <w:t xml:space="preserve"> (Section 3.6): censoring identification, phase resolution and time resolution are each necessary — with (1)(2) directly measured and (3) currently a construction plus indirect evidence — and jointly sufficient as an empirical statement for our target workload family (the policy with all three is the only one in the 14-round comparison combining random-phase capacity (16–20 seats) with the aligned-phase 8-seat stop and random-phase customer compliance; aligned-phase customer P5 ~99% at 8 seats, 4-round ladder).</w:t>
      </w:r>
    </w:p>
    <w:p>
      <w:r>
        <w:rPr>
          <w:b/>
          <w:i w:val="0"/>
        </w:rPr>
        <w:t>Identify.</w:t>
      </w:r>
      <w:r>
        <w:t xml:space="preserve"> Quota censoring makes demand unobservable in aggregate counters: the point estimate equals the running-stretch mean (exact iff the two stretch means agree; constant demand is sufficient but not necessary), the floor q(1+t) is conditional (and, following the counterexample above, explicitly an empirical conservative heuristic rather than a certified bound), and aggregate non-identifiability is constructed. Validation across 90 cycles (30 independent rounds, clustered) shows throttle-corrected estimates match the truth while naive release decisions violate in 90/90; the mixed-occupancy ablation quantifies all five estimators (naive -2.31, quota-scaling +0.01 by coincidence, throttle correction -0.20, full-vCPU +2.70, uncapped -0.16) and isolates the window-dilution effect that multi-resolution throttle sequences will fix.</w:t>
      </w:r>
    </w:p>
    <w:p>
      <w:r>
        <w:rPr>
          <w:b/>
          <w:i w:val="0"/>
        </w:rPr>
        <w:t>Predict.</w:t>
      </w:r>
      <w:r>
        <w:t xml:space="preserve"> Capacity is set by phase structure, not average utilization: random vs aligned safe capacity 28 vs 8 (primary bar P5 ≥ 70%; 3.5x–4x across bars), with the utilization-impossibility counterexample — and the measured inversion (safe fleet reports 66.4-68.0% busy, the collapsing fleet 30.4%). The safe-capacity approximation N* = C/(phi + (1-phi) rho) is stated with explicit assumptions and measured error directions. The Phase-Profile Convolution (PPC) has three artifact-backed modes (parametric simulation, strict three-way joint block bootstrap with a held-out test third, online peak-envelope approximation); iid convolution is provably blind to exactly the axis that decides safety (the marginal illusion), and the C5 intervention shows the axis is controllable (capacity x2/x4 by phase arrangement alone).</w:t>
      </w:r>
    </w:p>
    <w:p>
      <w:r>
        <w:rPr>
          <w:b/>
          <w:i w:val="0"/>
        </w:rPr>
        <w:t>Actuate.</w:t>
      </w:r>
      <w:r>
        <w:t xml:space="preserve"> In the complete 14-round comparison (identical arrival streams and evidence), the phase-aware admission is the only policy combining the verified aligned-phase bracket (8 seats, customer P5 ~99%) with competitive random-phase capacity (16–20); the audible-style and busy-threshold baselines sell 40 in the aligned phase and collapse customer P5 to 16%, and the fixed-oversubscription baseline violates the primary bar at 16 — the phase-blindness of independence assumptions and of utilization criteria, quantified end to end. On the resource-efficiency side (supporting extension, Chapter 9), balloon-free reclaim (KSM 33.4% of fleet RAM; free-page reporting reclaiming 303 MB; zram absorbing 176.8 GB of overflow) raises density without shrinking tenant-visible resources under the </w:t>
      </w:r>
      <w:r>
        <w:rPr>
          <w:b/>
          <w:i w:val="0"/>
        </w:rPr>
        <w:t>domain-scoped</w:t>
      </w:r>
      <w:r>
        <w:t xml:space="preserve"> no-regression definition; micro-period quotas, IO storms and the QoE canary each carry a gain / hidden-cost / visible-regression ledger.</w:t>
      </w:r>
    </w:p>
    <w:p>
      <w:r>
        <w:rPr>
          <w:b/>
          <w:i w:val="0"/>
        </w:rPr>
        <w:t>Limitations.</w:t>
      </w:r>
      <w:r>
        <w:t xml:space="preserve"> Two testbeds, one bare-metal host; synthetic duty-cycle loads dominate, with the production-schedule replay (30-minute real schedule plus five-window forward validation) as a scenario anchor; real mixed application workloads and more arrival-order repeats remain future work; round-level ranges are reported throughout, and the formal bootstrap intervals will be refreshed on the frozen data set. "Jointly sufficient" remains an empirical statement for our target workload family. The study provides small VPS providers with a reproducible "observation design + capacity model + controller" starting point, and adds "identifiability boundaries and phase structure" to the oversubscription research agenda.</w:t>
      </w:r>
    </w:p>
    <w:p>
      <w:pPr>
        <w:pStyle w:val="Heading1"/>
        <w:pageBreakBefore/>
      </w:pPr>
      <w:r>
        <w:t>Appendix A — Formal Statements and Executable Checks</w:t>
      </w:r>
    </w:p>
    <w:p>
      <w:pPr>
        <w:ind w:left="454"/>
      </w:pPr>
      <w:r>
        <w:rPr>
          <w:i/>
        </w:rPr>
        <w:t>Companion to Sections 3.3.1 (Proposition A) and 3.6 (Propositions B1/B2/C). All constructions are</w:t>
      </w:r>
    </w:p>
    <w:p>
      <w:pPr>
        <w:ind w:left="454"/>
      </w:pPr>
      <w:r>
        <w:rPr>
          <w:i/>
        </w:rPr>
        <w:t xml:space="preserve">numerically re-checked by </w:t>
      </w:r>
      <w:r>
        <w:rPr>
          <w:rFonts w:ascii="Consolas" w:hAnsi="Consolas"/>
          <w:i/>
          <w:sz w:val="20"/>
        </w:rPr>
        <w:t>tools/theory_tests.py</w:t>
      </w:r>
      <w:r>
        <w:rPr>
          <w:i/>
        </w:rPr>
        <w:t xml:space="preserve"> (output archived in </w:t>
      </w:r>
      <w:r>
        <w:rPr>
          <w:rFonts w:ascii="Consolas" w:hAnsi="Consolas"/>
          <w:i/>
          <w:sz w:val="20"/>
        </w:rPr>
        <w:t>research_data/theory_checks.txt</w:t>
      </w:r>
      <w:r>
        <w:rPr>
          <w:i/>
        </w:rPr>
        <w:t>;</w:t>
      </w:r>
    </w:p>
    <w:p>
      <w:pPr>
        <w:ind w:left="454"/>
      </w:pPr>
      <w:r>
        <w:rPr>
          <w:i/>
        </w:rPr>
        <w:t>reruns in seconds, no external dependencies).</w:t>
      </w:r>
    </w:p>
    <w:p>
      <w:pPr>
        <w:pStyle w:val="Heading2"/>
      </w:pPr>
      <w:r>
        <w:t>A.1 Proposition A (censoring impossibility)</w:t>
      </w:r>
    </w:p>
    <w:p>
      <w:r>
        <w:rPr>
          <w:b/>
          <w:i w:val="0"/>
        </w:rPr>
        <w:t>Model.</w:t>
      </w:r>
      <w:r>
        <w:t xml:space="preserve"> A single cgroup with bandwidth quota (period </w:t>
      </w:r>
      <m:oMath>
        <m:r>
          <m:t xml:space="preserve">P</m:t>
        </m:r>
      </m:oMath>
      <w:r>
        <w:t xml:space="preserve">, budget </w:t>
      </w:r>
      <m:oMath>
        <m:r>
          <m:t xml:space="preserve">qP</m:t>
        </m:r>
      </m:oMath>
      <w:r>
        <w:t xml:space="preserve">), observation window </w:t>
      </w:r>
      <m:oMath>
        <m:r>
          <m:t xml:space="preserve">W</m:t>
        </m:r>
        <m:r>
          <m:t xml:space="preserve">=</m:t>
        </m:r>
        <m:r>
          <m:t xml:space="preserve">P</m:t>
        </m:r>
      </m:oMath>
      <w:r>
        <w:t xml:space="preserve">; observed quantities </w:t>
      </w:r>
      <m:oMath>
        <m:r>
          <m:t xml:space="preserve">(u,</m:t>
        </m:r>
        <m:r>
          <m:t xml:space="preserve">t)</m:t>
        </m:r>
      </m:oMath>
      <w:r>
        <w:t>.</w:t>
      </w:r>
    </w:p>
    <w:p>
      <w:r>
        <w:rPr>
          <w:b/>
          <w:i w:val="0"/>
        </w:rPr>
        <w:t>Construction.</w:t>
      </w:r>
      <w:r>
        <w:t xml:space="preserve"> </w:t>
      </w:r>
      <m:oMath>
        <m:r>
          <m:t xml:space="preserve">q</m:t>
        </m:r>
        <m:r>
          <m:t xml:space="preserve">=</m:t>
        </m:r>
        <m:r>
          <m:t xml:space="preserve">0.2</m:t>
        </m:r>
      </m:oMath>
      <w:r>
        <w:t xml:space="preserve">. Process A: </w:t>
      </w:r>
      <m:oMath>
        <m:r>
          <m:t xml:space="preserve">d</m:t>
        </m:r>
        <m:r>
          <m:t xml:space="preserve">≡</m:t>
        </m:r>
        <m:r>
          <m:t xml:space="preserve">5/9</m:t>
        </m:r>
      </m:oMath>
      <w:r>
        <w:t xml:space="preserve">; process B: </w:t>
      </w:r>
      <m:oMath>
        <m:r>
          <m:t xml:space="preserve">d</m:t>
        </m:r>
        <m:r>
          <m:t xml:space="preserve">=</m:t>
        </m:r>
        <m:r>
          <m:t xml:space="preserve">1.0</m:t>
        </m:r>
      </m:oMath>
      <w:r>
        <w:t xml:space="preserve"> for 84% of the period, 0 otherwise. </w:t>
      </w:r>
      <w:r>
        <w:rPr>
          <w:b w:val="0"/>
          <w:i/>
        </w:rPr>
        <w:t>A:</w:t>
      </w:r>
      <w:r>
        <w:t xml:space="preserve"> the budget exhausts after </w:t>
      </w:r>
      <m:oMath>
        <m:r>
          <m:t xml:space="preserve">(q/d)P</m:t>
        </m:r>
        <m:r>
          <m:t xml:space="preserve">=</m:t>
        </m:r>
        <m:r>
          <m:t xml:space="preserve">0.36P</m:t>
        </m:r>
      </m:oMath>
      <w:r>
        <w:t xml:space="preserve">; </w:t>
      </w:r>
      <m:oMath>
        <m:r>
          <m:t xml:space="preserve">t</m:t>
        </m:r>
        <m:r>
          <m:t xml:space="preserve">=</m:t>
        </m:r>
        <m:r>
          <m:t xml:space="preserve">1</m:t>
        </m:r>
        <m:r>
          <m:t xml:space="preserve">-</m:t>
        </m:r>
        <m:r>
          <m:t xml:space="preserve">q/d</m:t>
        </m:r>
        <m:r>
          <m:t xml:space="preserve">=</m:t>
        </m:r>
        <m:r>
          <m:t xml:space="preserve">0.64</m:t>
        </m:r>
      </m:oMath>
      <w:r>
        <w:t xml:space="preserve">, </w:t>
      </w:r>
      <m:oMath>
        <m:r>
          <m:t xml:space="preserve">u</m:t>
        </m:r>
        <m:r>
          <m:t xml:space="preserve">=</m:t>
        </m:r>
        <m:r>
          <m:t xml:space="preserve">q</m:t>
        </m:r>
        <m:r>
          <m:t xml:space="preserve">=</m:t>
        </m:r>
        <m:r>
          <m:t xml:space="preserve">0.2</m:t>
        </m:r>
      </m:oMath>
      <w:r>
        <w:t xml:space="preserve">, mean </w:t>
      </w:r>
      <m:oMath>
        <m:r>
          <m:t xml:space="preserve">5/9</m:t>
        </m:r>
      </m:oMath>
      <w:r>
        <w:t xml:space="preserve">. </w:t>
      </w:r>
      <w:r>
        <w:rPr>
          <w:b w:val="0"/>
          <w:i/>
        </w:rPr>
        <w:t>B:</w:t>
      </w:r>
      <w:r>
        <w:t xml:space="preserve"> inside the active stretch the budget exhausts after </w:t>
      </w:r>
      <m:oMath>
        <m:r>
          <m:t xml:space="preserve">0.2P</m:t>
        </m:r>
      </m:oMath>
      <w:r>
        <w:t>; throttling continues until the active stretch ends (</w:t>
      </w:r>
      <m:oMath>
        <m:r>
          <m:t xml:space="preserve">0.84P</m:t>
        </m:r>
      </m:oMath>
      <w:r>
        <w:t xml:space="preserve">); </w:t>
      </w:r>
      <m:oMath>
        <m:r>
          <m:t xml:space="preserve">t</m:t>
        </m:r>
        <m:r>
          <m:t xml:space="preserve">=</m:t>
        </m:r>
        <m:r>
          <m:t xml:space="preserve">0.64</m:t>
        </m:r>
      </m:oMath>
      <w:r>
        <w:t xml:space="preserve">, </w:t>
      </w:r>
      <m:oMath>
        <m:r>
          <m:t xml:space="preserve">u</m:t>
        </m:r>
        <m:r>
          <m:t xml:space="preserve">=</m:t>
        </m:r>
        <m:r>
          <m:t xml:space="preserve">0.2</m:t>
        </m:r>
      </m:oMath>
      <w:r>
        <w:t xml:space="preserve">, mean </w:t>
      </w:r>
      <m:oMath>
        <m:r>
          <m:t xml:space="preserve">0.84</m:t>
        </m:r>
      </m:oMath>
      <w:r>
        <w:t xml:space="preserve">. Hence </w:t>
      </w:r>
      <m:oMath>
        <m:r>
          <m:t xml:space="preserve">(u,t)</m:t>
        </m:r>
        <m:r>
          <m:t xml:space="preserve">=</m:t>
        </m:r>
        <m:r>
          <m:t xml:space="preserve">(0.2,</m:t>
        </m:r>
        <m:r>
          <m:t xml:space="preserve">0.64)</m:t>
        </m:r>
      </m:oMath>
      <w:r>
        <w:t xml:space="preserve"> for </w:t>
      </w:r>
      <w:r>
        <w:rPr>
          <w:b/>
          <w:i w:val="0"/>
        </w:rPr>
        <w:t>both</w:t>
      </w:r>
      <w:r>
        <w:t xml:space="preserve"> processes while the means differ by </w:t>
      </w:r>
      <m:oMath>
        <m:r>
          <m:t xml:space="preserve">0.284</m:t>
        </m:r>
      </m:oMath>
      <w:r>
        <w:t xml:space="preserve">: no estimator that sees only the aggregate counters can be correct for both. This is an </w:t>
      </w:r>
      <w:r>
        <w:rPr>
          <w:b/>
          <w:i w:val="0"/>
        </w:rPr>
        <w:t>identifiability</w:t>
      </w:r>
      <w:r>
        <w:t xml:space="preserve"> impossibility — it holds for any deterministic function of the observations — and is stronger than statistical unbiasedness. ∎</w:t>
      </w:r>
    </w:p>
    <w:p>
      <w:pPr>
        <w:pStyle w:val="Heading2"/>
      </w:pPr>
      <w:r>
        <w:t>A.2 Proposition B1 (capacity is not determined by marginals)</w:t>
      </w:r>
    </w:p>
    <w:p>
      <w:r>
        <w:rPr>
          <w:b/>
          <w:i w:val="0"/>
        </w:rPr>
        <w:t>Construction.</w:t>
      </w:r>
      <w:r>
        <w:t xml:space="preserve"> </w:t>
      </w:r>
      <m:oMath>
        <m:r>
          <m:t xml:space="preserve">N</m:t>
        </m:r>
      </m:oMath>
      <w:r>
        <w:t xml:space="preserve"> tenants, each active for </w:t>
      </w:r>
      <m:oMath>
        <m:r>
          <m:t xml:space="preserve">w</m:t>
        </m:r>
      </m:oMath>
      <w:r>
        <w:t xml:space="preserve"> seconds per period (identical per-tenant marginals), pool </w:t>
      </w:r>
      <m:oMath>
        <m:r>
          <m:t xml:space="preserve">C</m:t>
        </m:r>
        <m:r>
          <m:t xml:space="preserve">=</m:t>
        </m:r>
        <m:r>
          <m:t xml:space="preserve">8</m:t>
        </m:r>
      </m:oMath>
      <w:r>
        <w:t xml:space="preserve">, </w:t>
      </w:r>
      <m:oMath>
        <m:r>
          <m:t xml:space="preserve">ρ</m:t>
        </m:r>
        <m:r>
          <m:t xml:space="preserve">=</m:t>
        </m:r>
        <m:r>
          <m:t xml:space="preserve">w/P</m:t>
        </m:r>
      </m:oMath>
      <w:r>
        <w:t xml:space="preserve">. Aligned: peak concurrency </w:t>
      </w:r>
      <m:oMath>
        <m:r>
          <m:t xml:space="preserve">=</m:t>
        </m:r>
        <m:r>
          <m:t xml:space="preserve">N</m:t>
        </m:r>
      </m:oMath>
      <w:r>
        <w:t xml:space="preserve">, so the capacity is exactly </w:t>
      </w:r>
      <m:oMath>
        <m:r>
          <m:t xml:space="preserve">C</m:t>
        </m:r>
      </m:oMath>
      <w:r>
        <w:t xml:space="preserve">. Random: the mean concurrency is </w:t>
      </w:r>
      <m:oMath>
        <m:r>
          <m:t xml:space="preserve">ρ</m:t>
        </m:r>
        <m:r>
          <m:t xml:space="preserve">N</m:t>
        </m:r>
      </m:oMath>
      <w:r>
        <w:t xml:space="preserve">, and any reasonable safety bar requires the time-average not to overload, i.e. </w:t>
      </w:r>
      <m:oMath>
        <m:r>
          <m:t xml:space="preserve">ρ</m:t>
        </m:r>
        <m:r>
          <m:t xml:space="preserve">N</m:t>
        </m:r>
        <m:r>
          <m:t xml:space="preserve">≤</m:t>
        </m:r>
        <m:r>
          <m:t xml:space="preserve">C</m:t>
        </m:r>
      </m:oMath>
      <w:r>
        <w:t xml:space="preserve">; hence </w:t>
      </w:r>
      <m:oMath>
        <m:r>
          <m:t xml:space="preserve">N</m:t>
        </m:r>
        <m:r>
          <m:t xml:space="preserve">≤</m:t>
        </m:r>
        <m:r>
          <m:t xml:space="preserve">C/</m:t>
        </m:r>
        <m:r>
          <m:t xml:space="preserve">ρ</m:t>
        </m:r>
      </m:oMath>
      <w:r>
        <w:t xml:space="preserve"> is an </w:t>
      </w:r>
      <w:r>
        <w:rPr>
          <w:b/>
          <w:i w:val="0"/>
        </w:rPr>
        <w:t>upper bound</w:t>
      </w:r>
      <w:r>
        <w:t xml:space="preserve"> (peak constraints only tighten it). Therefore the capacity ratio is </w:t>
      </w:r>
      <w:r>
        <w:rPr>
          <w:b/>
          <w:i w:val="0"/>
        </w:rPr>
        <w:t>at most</w:t>
      </w:r>
      <w:r>
        <w:t xml:space="preserve"> </w:t>
      </w:r>
      <m:oMath>
        <m:r>
          <m:t xml:space="preserve">1/</m:t>
        </m:r>
        <m:r>
          <m:t xml:space="preserve">ρ</m:t>
        </m:r>
      </m:oMath>
      <w:r>
        <w:t xml:space="preserve"> (i.e. 5 at </w:t>
      </w:r>
      <m:oMath>
        <m:r>
          <m:t xml:space="preserve">ρ</m:t>
        </m:r>
        <m:r>
          <m:t xml:space="preserve">=</m:t>
        </m:r>
        <m:r>
          <m:t xml:space="preserve">0.2</m:t>
        </m:r>
      </m:oMath>
      <w:r>
        <w:t xml:space="preserve">) for the </w:t>
      </w:r>
      <w:r>
        <w:rPr>
          <w:b/>
          <w:i w:val="0"/>
        </w:rPr>
        <w:t>zero-loss</w:t>
      </w:r>
      <w:r>
        <w:t xml:space="preserve"> notion. </w:t>
      </w:r>
      <w:r>
        <w:rPr>
          <w:b/>
          <w:i w:val="0"/>
        </w:rPr>
        <w:t>Scope of the bound.</w:t>
      </w:r>
      <w:r>
        <w:t xml:space="preserve"> This bound assumes zero performance loss: it requires the time-average delivered demand not to overload the pool (</w:t>
      </w:r>
      <m:oMath>
        <m:r>
          <m:t xml:space="preserve">ρ</m:t>
        </m:r>
        <m:r>
          <m:t xml:space="preserve">N</m:t>
        </m:r>
        <m:r>
          <m:t xml:space="preserve">≤</m:t>
        </m:r>
        <m:r>
          <m:t xml:space="preserve">C</m:t>
        </m:r>
      </m:oMath>
      <w:r>
        <w:t xml:space="preserve">). The operational bar used in this paper (customer work-rate P5 </w:t>
      </w:r>
      <m:oMath>
        <m:r>
          <m:t xml:space="preserve">≥</m:t>
        </m:r>
      </m:oMath>
      <w:r>
        <w:t xml:space="preserve"> 70% of the solo baseline) explicitly permits QoE degradation, so the measured primary-bar capacities are a different, bar-dependent object; </w:t>
      </w:r>
      <m:oMath>
        <m:r>
          <m:t xml:space="preserve">C/</m:t>
        </m:r>
        <m:r>
          <m:t xml:space="preserve">ρ</m:t>
        </m:r>
      </m:oMath>
      <w:r>
        <w:t xml:space="preserve"> bounds only the zero-loss notion and is cited as such. The measured primary-bar capacities are 28 vs 8 (3.5x) — inside that bound (~70% of it); stricter tail bars shrink the ratio further. ∎</w:t>
      </w:r>
    </w:p>
    <w:p>
      <w:pPr>
        <w:pStyle w:val="Heading2"/>
      </w:pPr>
      <w:r>
        <w:t>A.3 Proposition B2 (threshold impossibility; theorem, any window length)</w:t>
      </w:r>
    </w:p>
    <w:p>
      <w:r>
        <w:rPr>
          <w:b/>
          <w:i w:val="0"/>
        </w:rPr>
        <w:t>Theorem.</w:t>
      </w:r>
      <w:r>
        <w:t xml:space="preserve"> For an aligned fleet, the window-mean delivered utilization over any window of length </w:t>
      </w:r>
      <m:oMath>
        <m:r>
          <m:t xml:space="preserve">L</m:t>
        </m:r>
      </m:oMath>
      <w:r>
        <w:t xml:space="preserve"> (possibly spanning multiple periods) is at most </w:t>
      </w:r>
      <m:oMath>
        <m:r>
          <m:t xml:space="preserve">U(L)</m:t>
        </m:r>
        <m:r>
          <m:t xml:space="preserve">=</m:t>
        </m:r>
        <m:r>
          <m:t xml:space="preserve">[</m:t>
        </m:r>
        <m:r>
          <m:t xml:space="preserve">w</m:t>
        </m:r>
        <m:r>
          <m:t xml:space="preserve">⌊</m:t>
        </m:r>
        <m:r>
          <m:t xml:space="preserve">L/P</m:t>
        </m:r>
        <m:r>
          <m:t xml:space="preserve">⌋</m:t>
        </m:r>
        <m:r>
          <m:t xml:space="preserve">+</m:t>
        </m:r>
        <m:r>
          <m:rPr>
            <m:nor/>
          </m:rPr>
          <m:t xml:space="preserve">min</m:t>
        </m:r>
        <m:r>
          <m:t xml:space="preserve">(L</m:t>
        </m:r>
        <m:r>
          <m:rPr>
            <m:nor/>
          </m:rPr>
          <m:t xml:space="preserve">mod</m:t>
        </m:r>
        <m:r>
          <m:t xml:space="preserve">P,</m:t>
        </m:r>
        <m:r>
          <m:t xml:space="preserve">w)</m:t>
        </m:r>
        <m:r>
          <m:t xml:space="preserve">]</m:t>
        </m:r>
        <m:r>
          <m:t xml:space="preserve">/L</m:t>
        </m:r>
      </m:oMath>
      <w:r>
        <w:t>.</w:t>
      </w:r>
    </w:p>
    <w:p>
      <w:r>
        <w:rPr>
          <w:b/>
          <w:i w:val="0"/>
        </w:rPr>
        <w:t>Proof.</w:t>
      </w:r>
      <w:r>
        <w:t xml:space="preserve"> The activity set is periodic with period </w:t>
      </w:r>
      <m:oMath>
        <m:r>
          <m:t xml:space="preserve">P</m:t>
        </m:r>
      </m:oMath>
      <w:r>
        <w:t xml:space="preserve"> and </w:t>
      </w:r>
      <m:oMath>
        <m:r>
          <m:t xml:space="preserve">w</m:t>
        </m:r>
      </m:oMath>
      <w:r>
        <w:t xml:space="preserve"> active seconds per period. Any </w:t>
      </w:r>
      <m:oMath>
        <m:r>
          <m:t xml:space="preserve">L</m:t>
        </m:r>
      </m:oMath>
      <w:r>
        <w:t xml:space="preserve">-second window contains </w:t>
      </w:r>
      <m:oMath>
        <m:r>
          <m:t xml:space="preserve">⌊</m:t>
        </m:r>
        <m:r>
          <m:t xml:space="preserve">L/P</m:t>
        </m:r>
        <m:r>
          <m:t xml:space="preserve">⌋</m:t>
        </m:r>
      </m:oMath>
      <w:r>
        <w:t xml:space="preserve"> full periods (each contributing </w:t>
      </w:r>
      <m:oMath>
        <m:r>
          <m:t xml:space="preserve">w</m:t>
        </m:r>
      </m:oMath>
      <w:r>
        <w:t xml:space="preserve"> seconds of overlap) plus one residual window of length </w:t>
      </w:r>
      <m:oMath>
        <m:r>
          <m:t xml:space="preserve">r</m:t>
        </m:r>
        <m:r>
          <m:t xml:space="preserve">=</m:t>
        </m:r>
        <m:r>
          <m:t xml:space="preserve">L</m:t>
        </m:r>
        <m:r>
          <m:rPr>
            <m:nor/>
          </m:rPr>
          <m:t xml:space="preserve">mod</m:t>
        </m:r>
        <m:r>
          <m:t xml:space="preserve">P</m:t>
        </m:r>
      </m:oMath>
      <w:r>
        <w:t xml:space="preserve"> (overlap at most </w:t>
      </w:r>
      <m:oMath>
        <m:r>
          <m:rPr>
            <m:nor/>
          </m:rPr>
          <m:t xml:space="preserve">min</m:t>
        </m:r>
        <m:r>
          <m:t xml:space="preserve">(r,</m:t>
        </m:r>
        <m:r>
          <m:t xml:space="preserve">w)</m:t>
        </m:r>
      </m:oMath>
      <w:r>
        <w:t xml:space="preserve">). Delivery rate is at most </w:t>
      </w:r>
      <m:oMath>
        <m:r>
          <m:t xml:space="preserve">C</m:t>
        </m:r>
      </m:oMath>
      <w:r>
        <w:t xml:space="preserve">, so the window utilization is at most </w:t>
      </w:r>
      <m:oMath>
        <m:r>
          <m:t xml:space="preserve">U(L)</m:t>
        </m:r>
      </m:oMath>
      <w:r>
        <w:t>. ∎</w:t>
      </w:r>
    </w:p>
    <w:p>
      <w:r>
        <w:rPr>
          <w:b/>
          <w:i w:val="0"/>
        </w:rPr>
        <w:t>Special cases and corollary.</w:t>
      </w:r>
      <w:r>
        <w:t xml:space="preserve"> For </w:t>
      </w:r>
      <m:oMath>
        <m:r>
          <m:t xml:space="preserve">L</m:t>
        </m:r>
        <m:r>
          <m:t xml:space="preserve">≤</m:t>
        </m:r>
        <m:r>
          <m:t xml:space="preserve">P</m:t>
        </m:r>
      </m:oMath>
      <w:r>
        <w:t xml:space="preserve">, </w:t>
      </w:r>
      <m:oMath>
        <m:r>
          <m:t xml:space="preserve">U(L)</m:t>
        </m:r>
        <m:r>
          <m:t xml:space="preserve">=</m:t>
        </m:r>
        <m:r>
          <m:rPr>
            <m:nor/>
          </m:rPr>
          <m:t xml:space="preserve">min</m:t>
        </m:r>
        <m:r>
          <m:t xml:space="preserve">(w,L)/L</m:t>
        </m:r>
      </m:oMath>
      <w:r>
        <w:t xml:space="preserve"> (the 30-s rolling window used by util80: </w:t>
      </w:r>
      <m:oMath>
        <m:r>
          <m:t xml:space="preserve">12/30</m:t>
        </m:r>
        <m:r>
          <m:t xml:space="preserve">=</m:t>
        </m:r>
        <m:r>
          <m:t xml:space="preserve">40</m:t>
        </m:r>
        <m:r>
          <m:rPr>
            <m:nor/>
          </m:rPr>
          <m:t xml:space="preserve"/>
        </m:r>
        <m:r>
          <m:t xml:space="preserve">%</m:t>
        </m:r>
      </m:oMath>
      <w:r>
        <w:t xml:space="preserve">); for </w:t>
      </w:r>
      <m:oMath>
        <m:r>
          <m:t xml:space="preserve">L</m:t>
        </m:r>
      </m:oMath>
      <w:r>
        <w:t xml:space="preserve"> an integer multiple of </w:t>
      </w:r>
      <m:oMath>
        <m:r>
          <m:t xml:space="preserve">P</m:t>
        </m:r>
      </m:oMath>
      <w:r>
        <w:t xml:space="preserve">, </w:t>
      </w:r>
      <m:oMath>
        <m:r>
          <m:t xml:space="preserve">U</m:t>
        </m:r>
        <m:r>
          <m:t xml:space="preserve">=</m:t>
        </m:r>
        <m:r>
          <m:t xml:space="preserve">ρ</m:t>
        </m:r>
      </m:oMath>
      <w:r>
        <w:t xml:space="preserve">; for </w:t>
      </w:r>
      <m:oMath>
        <m:r>
          <m:t xml:space="preserve">L</m:t>
        </m:r>
        <m:r>
          <m:t xml:space="preserve">=</m:t>
        </m:r>
        <m:r>
          <m:t xml:space="preserve">kP</m:t>
        </m:r>
        <m:r>
          <m:t xml:space="preserve">+</m:t>
        </m:r>
        <m:r>
          <m:t xml:space="preserve">r</m:t>
        </m:r>
      </m:oMath>
      <w:r>
        <w:t xml:space="preserve"> with </w:t>
      </w:r>
      <m:oMath>
        <m:r>
          <m:t xml:space="preserve">r</m:t>
        </m:r>
        <m:r>
          <m:t xml:space="preserve">&gt;</m:t>
        </m:r>
        <m:r>
          <m:t xml:space="preserve">0</m:t>
        </m:r>
      </m:oMath>
      <w:r>
        <w:t xml:space="preserve">, </w:t>
      </w:r>
      <m:oMath>
        <m:r>
          <m:t xml:space="preserve">U</m:t>
        </m:r>
      </m:oMath>
      <w:r>
        <w:t xml:space="preserve"> can slightly exceed </w:t>
      </w:r>
      <m:oMath>
        <m:r>
          <m:t xml:space="preserve">ρ</m:t>
        </m:r>
      </m:oMath>
      <w:r>
        <w:t xml:space="preserve"> (e.g. </w:t>
      </w:r>
      <m:oMath>
        <m:r>
          <m:t xml:space="preserve">L</m:t>
        </m:r>
        <m:r>
          <m:t xml:space="preserve">=</m:t>
        </m:r>
        <m:r>
          <m:t xml:space="preserve">90</m:t>
        </m:r>
      </m:oMath>
      <w:r>
        <w:t xml:space="preserve"> s: </w:t>
      </w:r>
      <m:oMath>
        <m:r>
          <m:t xml:space="preserve">24/90</m:t>
        </m:r>
        <m:r>
          <m:t xml:space="preserve">=</m:t>
        </m:r>
        <m:r>
          <m:t xml:space="preserve">26.7</m:t>
        </m:r>
        <m:r>
          <m:rPr>
            <m:nor/>
          </m:rPr>
          <m:t xml:space="preserve"/>
        </m:r>
        <m:r>
          <m:t xml:space="preserve">%</m:t>
        </m:r>
      </m:oMath>
      <w:r>
        <w:t xml:space="preserve">). Any rule "admit while windowed utilization </w:t>
      </w:r>
      <m:oMath>
        <m:r>
          <m:t xml:space="preserve">&lt;</m:t>
        </m:r>
        <m:r>
          <m:t xml:space="preserve">θ</m:t>
        </m:r>
      </m:oMath>
      <w:r>
        <w:t xml:space="preserve">" with </w:t>
      </w:r>
      <m:oMath>
        <m:r>
          <m:t xml:space="preserve">θ</m:t>
        </m:r>
        <m:r>
          <m:t xml:space="preserve">&gt;</m:t>
        </m:r>
        <m:r>
          <m:t xml:space="preserve">U(L)</m:t>
        </m:r>
      </m:oMath>
      <w:r>
        <w:t xml:space="preserve"> admits unbounded </w:t>
      </w:r>
      <m:oMath>
        <m:r>
          <m:t xml:space="preserve">N</m:t>
        </m:r>
      </m:oMath>
      <w:r>
        <w:t xml:space="preserve"> on aligned fleets whose safe capacity is only </w:t>
      </w:r>
      <m:oMath>
        <m:r>
          <m:t xml:space="preserve">C</m:t>
        </m:r>
      </m:oMath>
      <w:r>
        <w:t xml:space="preserve"> (util80: </w:t>
      </w:r>
      <m:oMath>
        <m:r>
          <m:t xml:space="preserve">40</m:t>
        </m:r>
        <m:r>
          <m:rPr>
            <m:nor/>
          </m:rPr>
          <m:t xml:space="preserve"/>
        </m:r>
        <m:r>
          <m:t xml:space="preserve">%</m:t>
        </m:r>
        <m:r>
          <m:t xml:space="preserve">&lt;</m:t>
        </m:r>
        <m:r>
          <m:t xml:space="preserve">θ</m:t>
        </m:r>
        <m:r>
          <m:t xml:space="preserve">=</m:t>
        </m:r>
        <m:r>
          <m:t xml:space="preserve">80</m:t>
        </m:r>
        <m:r>
          <m:rPr>
            <m:nor/>
          </m:rPr>
          <m:t xml:space="preserve"/>
        </m:r>
        <m:r>
          <m:t xml:space="preserve">%</m:t>
        </m:r>
      </m:oMath>
      <w:r>
        <w:t>; it sold to the experiment cap of 40 — Section 7.4.1).</w:t>
      </w:r>
    </w:p>
    <w:p>
      <w:r>
        <w:rPr>
          <w:b/>
          <w:i w:val="0"/>
        </w:rPr>
        <w:t>Executable checks.</w:t>
      </w:r>
      <w:r>
        <w:t xml:space="preserve"> T-B3 (single-period caps) and T-B4 (multi-period formula verified numerically by sliding windows; the earlier single-period formula is demonstrably wrong for </w:t>
      </w:r>
      <m:oMath>
        <m:r>
          <m:t xml:space="preserve">L</m:t>
        </m:r>
        <m:r>
          <m:t xml:space="preserve">∈</m:t>
        </m:r>
        <m:r>
          <m:rPr>
            <m:nor/>
          </m:rPr>
          <m:t xml:space="preserve"/>
        </m:r>
        <m:r>
          <m:t xml:space="preserve">90,</m:t>
        </m:r>
        <m:r>
          <m:t xml:space="preserve">120,</m:t>
        </m:r>
        <m:r>
          <m:t xml:space="preserve">150</m:t>
        </m:r>
        <m:r>
          <m:rPr>
            <m:nor/>
          </m:rPr>
          <m:t xml:space="preserve"/>
        </m:r>
      </m:oMath>
      <w:r>
        <w:t>).</w:t>
      </w:r>
    </w:p>
    <w:p>
      <w:pPr>
        <w:pStyle w:val="Heading2"/>
      </w:pPr>
      <w:r>
        <w:t>A.4 Proposition C (sampling insufficiency)</w:t>
      </w:r>
    </w:p>
    <w:p>
      <w:r>
        <w:rPr>
          <w:b/>
          <w:i w:val="0"/>
        </w:rPr>
        <w:t>Construction.</w:t>
      </w:r>
      <w:r>
        <w:t xml:space="preserve"> Sampler interval </w:t>
      </w:r>
      <m:oMath>
        <m:r>
          <m:t xml:space="preserve">Δ</m:t>
        </m:r>
      </m:oMath>
      <w:r>
        <w:t xml:space="preserve">, burst width </w:t>
      </w:r>
      <m:oMath>
        <m:r>
          <m:t xml:space="preserve">w</m:t>
        </m:r>
        <m:r>
          <m:t xml:space="preserve">&lt;</m:t>
        </m:r>
        <m:r>
          <m:t xml:space="preserve">Δ</m:t>
        </m:r>
      </m:oMath>
      <w:r>
        <w:t xml:space="preserve">, burst window placed between two samples (e.g. </w:t>
      </w:r>
      <m:oMath>
        <m:r>
          <m:t xml:space="preserve">Δ</m:t>
        </m:r>
        <m:r>
          <m:t xml:space="preserve">=</m:t>
        </m:r>
        <m:r>
          <m:t xml:space="preserve">30</m:t>
        </m:r>
      </m:oMath>
      <w:r>
        <w:t xml:space="preserve"> s, sample phase 3 s, burst </w:t>
      </w:r>
      <m:oMath>
        <m:r>
          <m:t xml:space="preserve">[15,</m:t>
        </m:r>
        <m:r>
          <m:t xml:space="preserve">27)</m:t>
        </m:r>
      </m:oMath>
      <w:r>
        <w:t xml:space="preserve">): the bursty fleet and a benign (all-idle) fleet produce </w:t>
      </w:r>
      <w:r>
        <w:rPr>
          <w:b/>
          <w:i w:val="0"/>
        </w:rPr>
        <w:t>identical</w:t>
      </w:r>
      <w:r>
        <w:t xml:space="preserve"> all-zero sample sequences. Positive control: at </w:t>
      </w:r>
      <m:oMath>
        <m:r>
          <m:t xml:space="preserve">Δ</m:t>
        </m:r>
        <m:r>
          <m:t xml:space="preserve">=</m:t>
        </m:r>
        <m:r>
          <m:t xml:space="preserve">10</m:t>
        </m:r>
      </m:oMath>
      <w:r>
        <w:t xml:space="preserve"> s a sample necessarily lands inside the burst. ∎ </w:t>
      </w:r>
      <w:r>
        <w:rPr>
          <w:b/>
          <w:i w:val="0"/>
        </w:rPr>
        <w:t>Corollary.</w:t>
      </w:r>
      <w:r>
        <w:t xml:space="preserve"> The sampling rate must be at least </w:t>
      </w:r>
      <m:oMath>
        <m:r>
          <m:t xml:space="preserve">1/w</m:t>
        </m:r>
      </m:oMath>
      <w:r>
        <w:t xml:space="preserve"> (this paper's online history uses 1 s for 12-s bursts — a 12x margin).</w:t>
      </w:r>
    </w:p>
    <w:p>
      <w:pPr>
        <w:pStyle w:val="Heading2"/>
      </w:pPr>
      <w:r>
        <w:t>A.5 Scope of the formal results</w:t>
      </w:r>
    </w:p>
    <w:p>
      <w:r>
        <w:t xml:space="preserve">The </w:t>
      </w:r>
      <w:r>
        <w:rPr>
          <w:b/>
          <w:i w:val="0"/>
        </w:rPr>
        <w:t>sufficiency</w:t>
      </w:r>
      <w:r>
        <w:t xml:space="preserve"> of the minimal observation set is an empirical statement over the target workload family (the 14-round comparison plus the C5 intervention), not a theorem; its direct checks (aligned-phase customer evidence, anti-aliasing sampling comparison) are reported where available, with the anti-aliasing experiment listed as future work.</w:t>
      </w:r>
    </w:p>
    <w:p>
      <w:pPr>
        <w:pStyle w:val="Heading2"/>
      </w:pPr>
      <w:r>
        <w:t>Statements and Declarations</w:t>
      </w:r>
    </w:p>
    <w:p>
      <w:r>
        <w:rPr>
          <w:b/>
          <w:i w:val="0"/>
        </w:rPr>
        <w:t>Funding.</w:t>
      </w:r>
      <w:r>
        <w:t xml:space="preserve"> Not applicable.</w:t>
      </w:r>
    </w:p>
    <w:p>
      <w:r>
        <w:rPr>
          <w:b/>
          <w:i w:val="0"/>
        </w:rPr>
        <w:t>Competing interests.</w:t>
      </w:r>
      <w:r>
        <w:t xml:space="preserve"> The author declares no competing interests.</w:t>
      </w:r>
    </w:p>
    <w:p>
      <w:r>
        <w:rPr>
          <w:b/>
          <w:i w:val="0"/>
        </w:rPr>
        <w:t>Data availability.</w:t>
      </w:r>
      <w:r>
        <w:t xml:space="preserve"> All code, raw traces and analysis scripts are released in the paper repository (github.com/3257085208/Paper) under </w:t>
      </w:r>
      <w:r>
        <w:rPr>
          <w:rFonts w:ascii="Consolas" w:hAnsi="Consolas"/>
          <w:sz w:val="20"/>
        </w:rPr>
        <w:t>artifacts/</w:t>
      </w:r>
      <w:r>
        <w:t xml:space="preserve"> (experiment drivers and analysis scripts, raw JSONL and probe files, figure scripts, and REPRODUCTION.md). Production telemetry was collected read-only on infrastructure we operate, anonymized (HMAC'd identifiers), and released only in aggregate form.</w:t>
      </w:r>
    </w:p>
    <w:p>
      <w:r>
        <w:rPr>
          <w:b/>
          <w:i w:val="0"/>
        </w:rPr>
        <w:t>Author contributions.</w:t>
      </w:r>
      <w:r>
        <w:t xml:space="preserve"> Single-author work: conceptualization, methodology, software, experiments, analysis, writing - Kaixiang Nie.</w:t>
      </w:r>
    </w:p>
    <w:p>
      <w:r>
        <w:rPr>
          <w:b/>
          <w:i w:val="0"/>
        </w:rPr>
        <w:t>Use of AI-assisted tools.</w:t>
      </w:r>
      <w:r>
        <w:t xml:space="preserve"> AI assistants were used for language editing, code review and manuscript organization during preparation. All experiment design and execution, data verification and scientific claims are the author's own; every reported number was checked against the archived raw logs.</w:t>
      </w:r>
    </w:p>
    <w:p>
      <w:pPr>
        <w:pStyle w:val="Heading1"/>
        <w:pageBreakBefore/>
      </w:pPr>
      <w:r>
        <w:t>References</w:t>
      </w:r>
    </w:p>
    <w:p>
      <w:pPr>
        <w:ind w:left="454" w:hanging="283"/>
      </w:pPr>
      <w:r>
        <w:t xml:space="preserve">1. S. J. Jandaghi, K. Mahdaviani, A. Mirhosseini, S. Elnikety, C. Amza, B. Schroeder. </w:t>
      </w:r>
      <w:r>
        <w:rPr>
          <w:b/>
          <w:i w:val="0"/>
        </w:rPr>
        <w:t>AUDIBLE: A Convolution-Based Resource Allocator for Oversubscribing Burstable Virtual Machines.</w:t>
      </w:r>
      <w:r>
        <w:t xml:space="preserve"> ASPLOS '24, Vol. 3, 14 pages. DOI 10.1145/3620666.3651376.</w:t>
      </w:r>
    </w:p>
    <w:p>
      <w:pPr>
        <w:ind w:left="454" w:hanging="283"/>
      </w:pPr>
      <w:r>
        <w:t xml:space="preserve">2. B. Reidys, P. Zardoshti, Í. Goiri, C. Irvene, D. S. Berger, H. Ma, K. Arya, E. Cortez, T. Stark, E. Bak, M. Iyigun, S. Novaković, L. Hsu, K. Trueba, A. Pan, C. Bansal, S. Rajmohan, J. Huang, R. Bianchini. </w:t>
      </w:r>
      <w:r>
        <w:rPr>
          <w:b/>
          <w:i w:val="0"/>
        </w:rPr>
        <w:t>Coach: Exploiting Temporal Patterns for All-Resource Oversubscription in Cloud Platforms.</w:t>
      </w:r>
      <w:r>
        <w:t xml:space="preserve"> ASPLOS '25, Vol. 1, 18 pages. DOI 10.1145/3669940.3707226.</w:t>
      </w:r>
    </w:p>
    <w:p>
      <w:pPr>
        <w:ind w:left="454" w:hanging="283"/>
      </w:pPr>
      <w:r>
        <w:t xml:space="preserve">3. B. Wang, G. Zhao, H. Xu, S. Wu, Z. Yu, J. Liu, J. Lu, S. Xu, F. Meng. </w:t>
      </w:r>
      <w:r>
        <w:rPr>
          <w:b/>
          <w:i w:val="0"/>
        </w:rPr>
        <w:t>Rethinking Cloud Optimization: Volatility-Driven for Better Outcomes</w:t>
      </w:r>
      <w:r>
        <w:t xml:space="preserve"> (the Hestia framework; MCV volatility metric). SIGCOMM '26, pp. 491–504. DOI 10.1145/3789240.3829141.</w:t>
      </w:r>
    </w:p>
    <w:p>
      <w:pPr>
        <w:ind w:left="454" w:hanging="283"/>
      </w:pPr>
      <w:r>
        <w:t xml:space="preserve">4. S. M. Sajal, L. Marshall, B. Li, S. Zhou, A. Pan, K. Mellou, D. Narayanan, T. Zhu, D. Dion, T. Moscibroda, I. Menache. </w:t>
      </w:r>
      <w:r>
        <w:rPr>
          <w:b/>
          <w:i w:val="0"/>
        </w:rPr>
        <w:t>Kerveros: Efficient and Scalable Cloud Admission Control.</w:t>
      </w:r>
      <w:r>
        <w:t xml:space="preserve"> OSDI '23, pp. 227–245, USENIX.</w:t>
      </w:r>
    </w:p>
    <w:p>
      <w:pPr>
        <w:ind w:left="454" w:hanging="283"/>
      </w:pPr>
      <w:r>
        <w:t xml:space="preserve">5. L. Wang, M. Das, F. Yang, J. Sheng, B. Qiao, H. Dong, S. Qin, V. Rühle, C. Bansal, E. Cortez, Í. Goiri, S. Rajmohan, Q. Lin, D. Zhang. </w:t>
      </w:r>
      <w:r>
        <w:rPr>
          <w:b/>
          <w:i w:val="0"/>
        </w:rPr>
        <w:t>ProtoRAIL: A Risk-cognizant Imitation Agent for Adaptive vCPU Oversubscription in the Cloud.</w:t>
      </w:r>
      <w:r>
        <w:t xml:space="preserve"> Proceedings of Machine Learning and Systems 7 (MLSys 2025). Preprint: ProtoHAIL, arXiv:2401.07033. https://proceedings.mlsys.org/paper_files/paper/2025/hash/42e2b24104bc92d724ce45c0c2f91e1d-Abstract-Conference.html</w:t>
      </w:r>
    </w:p>
    <w:p>
      <w:pPr>
        <w:ind w:left="454" w:hanging="283"/>
      </w:pPr>
      <w:r>
        <w:t xml:space="preserve">6. P. Jacquet, T. Ledoux, R. Rouvoy. </w:t>
      </w:r>
      <w:r>
        <w:rPr>
          <w:b/>
          <w:i w:val="0"/>
        </w:rPr>
        <w:t>SCROOGEVM: Boosting Cloud Resource Utilization With Dynamic Oversubscription.</w:t>
      </w:r>
      <w:r>
        <w:t xml:space="preserve"> IEEE Trans. Sustainable Computing 9(5):754–765, 2024.</w:t>
      </w:r>
    </w:p>
    <w:p>
      <w:pPr>
        <w:ind w:left="454" w:hanging="283"/>
      </w:pPr>
      <w:r>
        <w:t xml:space="preserve">7. S. Chen, S. He, E. Sun. </w:t>
      </w:r>
      <w:r>
        <w:rPr>
          <w:b/>
          <w:i w:val="0"/>
        </w:rPr>
        <w:t>Risk-Bounded GPU Resource Oversubscription via Conformal Demand Envelopes in Production AI Clusters.</w:t>
      </w:r>
      <w:r>
        <w:t xml:space="preserve"> Journal of Advanced Computing Systems 4(5):119–134, 2024.</w:t>
      </w:r>
    </w:p>
    <w:p>
      <w:pPr>
        <w:ind w:left="454" w:hanging="283"/>
      </w:pPr>
      <w:r>
        <w:t xml:space="preserve">8. M. Majd, F. Cheng, A. Pahlevan. </w:t>
      </w:r>
      <w:r>
        <w:rPr>
          <w:b/>
          <w:i w:val="0"/>
        </w:rPr>
        <w:t>Right-sizing Recommendations (RSR): Cloud Workload Conformal Prediction for Virtual Machines in Data Center Operations.</w:t>
      </w:r>
      <w:r>
        <w:t xml:space="preserve"> WI-IAT 2025; arXiv:2607.24773.</w:t>
      </w:r>
    </w:p>
    <w:p>
      <w:pPr>
        <w:ind w:left="454" w:hanging="283"/>
      </w:pPr>
      <w:r>
        <w:t xml:space="preserve">9. S. He, T. Liu, P. Lama, J. Lee, I. K. Kim, W. Wang. </w:t>
      </w:r>
      <w:r>
        <w:rPr>
          <w:b/>
          <w:i w:val="0"/>
        </w:rPr>
        <w:t>Performance Testing for Cloud Computing with Dependent Data Bootstrapping</w:t>
      </w:r>
      <w:r>
        <w:t xml:space="preserve"> (the Metior methodology). ASE 2021, pp. 666–678, IEEE.</w:t>
      </w:r>
    </w:p>
    <w:p>
      <w:pPr>
        <w:ind w:left="454" w:hanging="283"/>
      </w:pPr>
      <w:r>
        <w:t xml:space="preserve">10. InditexTech. </w:t>
      </w:r>
      <w:r>
        <w:rPr>
          <w:b/>
          <w:i w:val="0"/>
        </w:rPr>
        <w:t>k8s-overcommit-operator</w:t>
      </w:r>
      <w:r>
        <w:t xml:space="preserve"> (Kubernetes oversubscription-class operator, Apache-2.0, v1.3.4). https://github.com/InditexTech/k8s-overcommit-operator</w:t>
      </w:r>
    </w:p>
    <w:p>
      <w:pPr>
        <w:ind w:left="454" w:hanging="283"/>
      </w:pPr>
      <w:r>
        <w:t xml:space="preserve">11. Red Hat. </w:t>
      </w:r>
      <w:r>
        <w:rPr>
          <w:b/>
          <w:i w:val="0"/>
        </w:rPr>
        <w:t>ClusterResourceOverride</w:t>
      </w:r>
      <w:r>
        <w:t xml:space="preserve"> (OpenShift admission plug-in controlling node density via request/limit ratios). OpenShift Container Platform documentation, https://docs.openshift.com/</w:t>
      </w:r>
    </w:p>
    <w:p>
      <w:pPr>
        <w:ind w:left="454" w:hanging="283"/>
      </w:pPr>
      <w:r>
        <w:t xml:space="preserve">12. KubeVirt. </w:t>
      </w:r>
      <w:r>
        <w:rPr>
          <w:b/>
          <w:i w:val="0"/>
        </w:rPr>
        <w:t>Per-VM CPU Overcommitment Configuration in KubeVirt</w:t>
      </w:r>
      <w:r>
        <w:t xml:space="preserve"> (issue #15710; opened 2025-09, closed 2026-02: per-VM oversubscription ratios remain unsupported); global </w:t>
      </w:r>
      <w:r>
        <w:rPr>
          <w:rFonts w:ascii="Consolas" w:hAnsi="Consolas"/>
          <w:sz w:val="20"/>
        </w:rPr>
        <w:t>cpuAllocationRatio</w:t>
      </w:r>
      <w:r>
        <w:t xml:space="preserve"> documentation. https://github.com/kubevirt/kubevirt/issues/15710</w:t>
      </w:r>
    </w:p>
    <w:p>
      <w:pPr>
        <w:ind w:left="454" w:hanging="283"/>
      </w:pPr>
      <w:r>
        <w:t xml:space="preserve">13. P. Jacquet, T. Ledoux, R. Rouvoy. </w:t>
      </w:r>
      <w:r>
        <w:rPr>
          <w:b/>
          <w:i w:val="0"/>
        </w:rPr>
        <w:t>SweetSpotVM: Oversubscribing CPU without Sacrificing VM Performance.</w:t>
      </w:r>
      <w:r>
        <w:t xml:space="preserve"> CCGrid 2024, pp. 148–157, IEEE; and </w:t>
      </w:r>
      <w:r>
        <w:rPr>
          <w:b/>
          <w:i w:val="0"/>
        </w:rPr>
        <w:t>SlackVM: Packing Virtual Machines in Oversubscribed Cloud Infrastructures</w:t>
      </w:r>
      <w:r>
        <w:t xml:space="preserve"> (same authors). HAL hal-04636648 / IEEE Xplore 10740881.</w:t>
      </w:r>
    </w:p>
    <w:p>
      <w:pPr>
        <w:ind w:left="454" w:hanging="283"/>
      </w:pPr>
      <w:r>
        <w:t xml:space="preserve">14. Calabi (engineering documentation). </w:t>
      </w:r>
      <w:r>
        <w:rPr>
          <w:b/>
          <w:i w:val="0"/>
        </w:rPr>
        <w:t>Host Resource Management / Host Memory Oversubscription</w:t>
      </w:r>
      <w:r>
        <w:t xml:space="preserve"> (Gold/Silver/Bronze slices, zram/KSM/THP combination, measured CPU oversubscription of 1.72:1). https://gprocunier.github.io/calabi/</w:t>
      </w:r>
    </w:p>
    <w:p>
      <w:pPr>
        <w:ind w:left="454" w:hanging="283"/>
      </w:pPr>
      <w:r>
        <w:t xml:space="preserve">15. Linux kernel documentation. </w:t>
      </w:r>
      <w:r>
        <w:rPr>
          <w:b/>
          <w:i w:val="0"/>
        </w:rPr>
        <w:t>Control Group v2.</w:t>
      </w:r>
      <w:r>
        <w:t xml:space="preserve"> https://docs.kernel.org/admin-guide/cgroup-v2.html</w:t>
      </w:r>
    </w:p>
    <w:p>
      <w:pPr>
        <w:ind w:left="454" w:hanging="283"/>
      </w:pPr>
      <w:r>
        <w:t xml:space="preserve">16. Linux kernel documentation. </w:t>
      </w:r>
      <w:r>
        <w:rPr>
          <w:b/>
          <w:i w:val="0"/>
        </w:rPr>
        <w:t>Pressure Stall Information (PSI).</w:t>
      </w:r>
      <w:r>
        <w:t xml:space="preserve"> https://docs.kernel.org/accounting/psi.html</w:t>
      </w:r>
    </w:p>
    <w:p>
      <w:pPr>
        <w:ind w:left="454" w:hanging="283"/>
      </w:pPr>
      <w:r>
        <w:t xml:space="preserve">17. Linux kernel documentation. </w:t>
      </w:r>
      <w:r>
        <w:rPr>
          <w:b/>
          <w:i w:val="0"/>
        </w:rPr>
        <w:t>cgroup v2 IO controller</w:t>
      </w:r>
      <w:r>
        <w:t xml:space="preserve"> (</w:t>
      </w:r>
      <w:r>
        <w:rPr>
          <w:rFonts w:ascii="Consolas" w:hAnsi="Consolas"/>
          <w:sz w:val="20"/>
        </w:rPr>
        <w:t>io.max</w:t>
      </w:r>
      <w:r>
        <w:t xml:space="preserve"> / </w:t>
      </w:r>
      <w:r>
        <w:rPr>
          <w:rFonts w:ascii="Consolas" w:hAnsi="Consolas"/>
          <w:sz w:val="20"/>
        </w:rPr>
        <w:t>io.weight</w:t>
      </w:r>
      <w:r>
        <w:t xml:space="preserve"> / </w:t>
      </w:r>
      <w:r>
        <w:rPr>
          <w:rFonts w:ascii="Consolas" w:hAnsi="Consolas"/>
          <w:sz w:val="20"/>
        </w:rPr>
        <w:t>io.cost</w:t>
      </w:r>
      <w:r>
        <w:t xml:space="preserve"> / </w:t>
      </w:r>
      <w:r>
        <w:rPr>
          <w:rFonts w:ascii="Consolas" w:hAnsi="Consolas"/>
          <w:sz w:val="20"/>
        </w:rPr>
        <w:t>io.latency</w:t>
      </w:r>
      <w:r>
        <w:t>; see the IO chapter of [15]). https://docs.kernel.org/admin-guide/cgroup-v2.html#io</w:t>
      </w:r>
    </w:p>
    <w:p>
      <w:pPr>
        <w:ind w:left="454" w:hanging="283"/>
      </w:pPr>
      <w:r>
        <w:t>18. KVM scheduling under oversubscription: KVM Forum 2021 (lock-holder preemption and vCPU spinning); and the kernel patch series "[PATCH v2 0/9] sched/kvm: Semantics-aware vCPU scheduling for oversubscribed KVM" (vCPU debooster, IPI-aware directed yield; LKML, 2026). https://lore.kernel.org/all/?q=%22Semantics-aware+vCPU+scheduling%22</w:t>
      </w:r>
    </w:p>
    <w:p>
      <w:pPr>
        <w:ind w:left="454" w:hanging="283"/>
      </w:pPr>
      <w:r>
        <w:t xml:space="preserve">19. Proxmox Server Solutions. </w:t>
      </w:r>
      <w:r>
        <w:rPr>
          <w:b/>
          <w:i w:val="0"/>
        </w:rPr>
        <w:t>Proxmox VE documentation</w:t>
      </w:r>
      <w:r>
        <w:t xml:space="preserve"> (QEMU/KVM configuration and external metric server interface). https://pve.proxmox.com/pve-docs/</w:t>
      </w:r>
    </w:p>
    <w:p>
      <w:pPr>
        <w:ind w:left="454" w:hanging="283"/>
      </w:pPr>
      <w:r>
        <w:t xml:space="preserve">20. QEMU Project. </w:t>
      </w:r>
      <w:r>
        <w:rPr>
          <w:b/>
          <w:i w:val="0"/>
        </w:rPr>
        <w:t>Virtio-Balloon Free Page Reporting.</w:t>
      </w:r>
      <w:r>
        <w:t xml:space="preserve"> https://wiki.qemu.org/Features/FreePageReporting</w:t>
      </w:r>
    </w:p>
    <w:p>
      <w:pPr>
        <w:ind w:left="454" w:hanging="283"/>
      </w:pPr>
      <w:r>
        <w:t xml:space="preserve">21. Linux kernel documentation. </w:t>
      </w:r>
      <w:r>
        <w:rPr>
          <w:b/>
          <w:i w:val="0"/>
        </w:rPr>
        <w:t>Kernel Samepage Merging (KSM).</w:t>
      </w:r>
      <w:r>
        <w:t xml:space="preserve"> https://docs.kernel.org/admin-guide/mm/ksm.html ; </w:t>
      </w:r>
      <w:r>
        <w:rPr>
          <w:b/>
          <w:i w:val="0"/>
        </w:rPr>
        <w:t>zram: Compressed RAM-based block devices.</w:t>
      </w:r>
      <w:r>
        <w:t xml:space="preserve"> https://docs.kernel.org/admin-guide/blockdev/zram.html</w:t>
      </w:r>
    </w:p>
    <w:p>
      <w:pPr>
        <w:ind w:left="454" w:hanging="283"/>
      </w:pPr>
      <w:r>
        <w:t xml:space="preserve">22. S. Lambert, E. Caron, L. Lefèvre, R. Grivel. </w:t>
      </w:r>
      <w:r>
        <w:rPr>
          <w:b/>
          <w:i w:val="0"/>
        </w:rPr>
        <w:t>Consolidation of virtual machines to reduce energy consumption of data centers by using ballooning, sharing and swapping mechanisms</w:t>
      </w:r>
      <w:r>
        <w:t xml:space="preserve"> (ORCA). Future Generation Computer Systems 174:107968, 2026. DOI 10.1016/j.future.2025.107968.</w:t>
      </w:r>
    </w:p>
    <w:sectPr w:rsidR="00FC693F" w:rsidRPr="0006063C" w:rsidSect="00034616">
      <w:footerReference w:type="default" r:id="rId9"/>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