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w:r>
        <w:rPr>
          <w:i/>
        </w:rPr>
        <w:t>d(t)≥ q</w:t>
      </w:r>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Max is the default because the operator's commitment is the worst short-horizon shortfall a tenant can actually observe, and a median guard can smooth away exactly those bursts; thresholds are fixed on validation splits only, and the sensitivity of the operating point to the guard definition is reported here as measured.</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The 24-seat figure comes from the probation variant as a </w:t>
      </w:r>
      <w:r>
        <w:rPr>
          <w:b/>
          <w:i w:val="0"/>
        </w:rPr>
        <w:t>separate configuration</w:t>
      </w:r>
      <w:r>
        <w:t>; integration is design-compatible (probation observations are ordinary usage/throttle samples feeding the same envelope, censoring correction and reserve accounting), but the combined configuration must be re-validated end-to-end, which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18.</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19.</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20.</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21.</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p>
      <w:r>
        <w:rPr>
          <w:b/>
          <w:i w:val="0"/>
        </w:rPr>
        <w:t>Table 22.</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23.</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24.</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w:r>
        <w:rPr>
          <w:i/>
        </w:rPr>
        <w:t>ρ N ≤ C</w:t>
      </w:r>
      <w:r>
        <w:t xml:space="preserve">). The operational bar used in this paper (customer work-rate P5 </w:t>
      </w:r>
      <w:r>
        <w:rPr>
          <w:i/>
        </w:rPr>
        <w:t>≥</w:t>
      </w:r>
      <w:r>
        <w:t xml:space="preserve"> 70% of the solo baseline) explicitly permits QoE degradation, so the measured primary-bar capacities are a different, bar-dependent object; </w:t>
      </w:r>
      <w:r>
        <w:rPr>
          <w:i/>
        </w:rPr>
        <w:t>C/ρ</w:t>
      </w:r>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