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PlantSim 产品需求文档（PRD）</w:t>
      </w:r>
    </w:p>
    <w:p>
      <w:pPr>
        <w:jc w:val="center"/>
      </w:pPr>
      <w:r>
        <w:rPr>
          <w:rFonts w:ascii="Noto Sans CJK SC" w:hAnsi="Noto Sans CJK SC" w:eastAsia="Noto Sans CJK SC"/>
          <w:color w:val="2E6F5E"/>
          <w:sz w:val="26"/>
        </w:rPr>
        <w:t>多 Agent 植物未来模拟与方案评测平台 · Demo 版</w:t>
      </w:r>
    </w:p>
    <w:p>
      <w:pPr>
        <w:jc w:val="center"/>
      </w:pPr>
      <w:r>
        <w:rPr>
          <w:rFonts w:ascii="Noto Sans CJK SC" w:hAnsi="Noto Sans CJK SC" w:eastAsia="Noto Sans CJK SC"/>
          <w:color w:val="787878"/>
          <w:sz w:val="18"/>
        </w:rPr>
        <w:t>版本：V1.0   |   日期：2026-09-03</w:t>
      </w:r>
    </w:p>
    <w:p/>
    <w:p>
      <w:pPr>
        <w:pStyle w:val="Callout"/>
        <w:jc w:val="center"/>
      </w:pPr>
      <w:r>
        <w:t>核心架构：确定性 Workflow + 受控 Agent 推理</w:t>
      </w:r>
    </w:p>
    <w:p>
      <w:r>
        <w:br w:type="page"/>
      </w:r>
    </w:p>
    <w:p>
      <w:pPr>
        <w:pStyle w:val="Heading1"/>
        <w:pBdr>
          <w:bottom w:val="single" w:sz="8" w:space="1" w:color="2E6F5E"/>
        </w:pBdr>
      </w:pPr>
      <w:r>
        <w:t>1. 文档目的与范围</w:t>
      </w:r>
    </w:p>
    <w:p>
      <w:r>
        <w:t>本 PRD 用于统一 PlantSim Demo 的业务目标、用户流程、功能边界、关键交互与验收口径。文档基于已确定的产品方案，并纳入后续补充的异构文件解析、多轮对话、运行日志、节点级回溯、局部恢复、双层评测等能力。</w:t>
      </w:r>
    </w:p>
    <w:p>
      <w:pPr>
        <w:ind w:left="288" w:right="288"/>
        <w:shd w:fill="EEF6F3"/>
      </w:pPr>
      <w:r>
        <w:rPr>
          <w:b/>
          <w:color w:val="2E6F5E"/>
        </w:rPr>
        <w:t>Demo 目标不是证明未来环境“预测准确”，而是证明：系统能把用户目标转成多个有决策价值的未来世界，并在统一规则下持续推演、定位风险、验证修改效果。</w:t>
      </w:r>
    </w:p>
    <w:p>
      <w:pPr>
        <w:pStyle w:val="Heading2"/>
      </w:pPr>
      <w:r>
        <w:t>1.1 产品定位</w:t>
      </w:r>
    </w:p>
    <w:p>
      <w:r>
        <w:t>面向景观植物配置方案的设计、评审与投标场景，将场地、气候、人流、养护和风险事件纳入 2–10 年连续推演，辅助设计师比较方案长期表现、定位关键风险、验证养护与方案调整效果。</w:t>
      </w:r>
    </w:p>
    <w:p>
      <w:pPr>
        <w:pStyle w:val="Heading2"/>
      </w:pPr>
      <w:r>
        <w:t>1.2 核心价值</w:t>
      </w:r>
    </w:p>
    <w:p>
      <w:pPr>
        <w:pStyle w:val="ListBullet"/>
        <w:ind w:left="288" w:hanging="216"/>
      </w:pPr>
      <w:r>
        <w:rPr>
          <w:b/>
        </w:rPr>
        <w:t>长期表现可见：</w:t>
      </w:r>
      <w:r>
        <w:t>把“几年后会怎样”从经验判断转成可追踪的连续模拟。</w:t>
      </w:r>
    </w:p>
    <w:p>
      <w:pPr>
        <w:pStyle w:val="ListBullet"/>
        <w:ind w:left="288" w:hanging="216"/>
      </w:pPr>
      <w:r>
        <w:rPr>
          <w:b/>
        </w:rPr>
        <w:t>复杂未来可比较：</w:t>
      </w:r>
      <w:r>
        <w:t>同一方案可在多个未来蓝图与路径下运行，识别风险边界。</w:t>
      </w:r>
    </w:p>
    <w:p>
      <w:pPr>
        <w:pStyle w:val="ListBullet"/>
        <w:ind w:left="288" w:hanging="216"/>
      </w:pPr>
      <w:r>
        <w:rPr>
          <w:b/>
        </w:rPr>
        <w:t>问题可定位：</w:t>
      </w:r>
      <w:r>
        <w:t>结果落到具体植物、区域、时间与原因，而不是只给“好/不好”。</w:t>
      </w:r>
    </w:p>
    <w:p>
      <w:pPr>
        <w:pStyle w:val="ListBullet"/>
        <w:ind w:left="288" w:hanging="216"/>
      </w:pPr>
      <w:r>
        <w:rPr>
          <w:b/>
        </w:rPr>
        <w:t>修改可验证：</w:t>
      </w:r>
      <w:r>
        <w:t>设计改动后重新模拟，比较修改前后的风险、稳定性与养护差异。</w:t>
      </w:r>
    </w:p>
    <w:p>
      <w:pPr>
        <w:pStyle w:val="ListBullet"/>
        <w:ind w:left="288" w:hanging="216"/>
      </w:pPr>
      <w:r>
        <w:rPr>
          <w:b/>
        </w:rPr>
        <w:t>过程可解释：</w:t>
      </w:r>
      <w:r>
        <w:t>用户可查看关键节点、Agent、工具、状态变化及异常恢复记录。</w:t>
      </w:r>
    </w:p>
    <w:p>
      <w:pPr>
        <w:pStyle w:val="Heading1"/>
        <w:pBdr>
          <w:bottom w:val="single" w:sz="8" w:space="1" w:color="2E6F5E"/>
        </w:pBdr>
      </w:pPr>
      <w:r>
        <w:t>2. 用户与使用场景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872"/>
            <w:shd w:fill="2E6F5E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600"/>
            <w:shd w:fill="2E6F5E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主要任务</w:t>
            </w:r>
          </w:p>
        </w:tc>
        <w:tc>
          <w:tcPr>
            <w:tcW w:type="dxa" w:w="4320"/>
            <w:shd w:fill="2E6F5E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核心诉求</w:t>
            </w:r>
          </w:p>
        </w:tc>
      </w:tr>
      <w:tr>
        <w:tc>
          <w:tcPr>
            <w:tcW w:type="dxa" w:w="1872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植物设计师</w:t>
            </w:r>
          </w:p>
        </w:tc>
        <w:tc>
          <w:tcPr>
            <w:tcW w:type="dxa" w:w="3600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提交方案、发起模拟、调整植物种类/规格/位置</w:t>
            </w:r>
          </w:p>
        </w:tc>
        <w:tc>
          <w:tcPr>
            <w:tcW w:type="dxa" w:w="4320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快速判断长期表现并获得可执行的风险定位</w:t>
            </w:r>
          </w:p>
        </w:tc>
      </w:tr>
      <w:tr>
        <w:tc>
          <w:tcPr>
            <w:tcW w:type="dxa" w:w="1872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景观设计师</w:t>
            </w:r>
          </w:p>
        </w:tc>
        <w:tc>
          <w:tcPr>
            <w:tcW w:type="dxa" w:w="3600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比较方案、查看空间与使用影响</w:t>
            </w:r>
          </w:p>
        </w:tc>
        <w:tc>
          <w:tcPr>
            <w:tcW w:type="dxa" w:w="4320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在景观效果、稳定性、成本、养护间做取舍</w:t>
            </w:r>
          </w:p>
        </w:tc>
      </w:tr>
      <w:tr>
        <w:tc>
          <w:tcPr>
            <w:tcW w:type="dxa" w:w="1872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植物专家/总工</w:t>
            </w:r>
          </w:p>
        </w:tc>
        <w:tc>
          <w:tcPr>
            <w:tcW w:type="dxa" w:w="3600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审核高风险结果、纠正专业判断</w:t>
            </w:r>
          </w:p>
        </w:tc>
        <w:tc>
          <w:tcPr>
            <w:tcW w:type="dxa" w:w="4320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看到证据链，减少从头人工复核</w:t>
            </w:r>
          </w:p>
        </w:tc>
      </w:tr>
      <w:tr>
        <w:tc>
          <w:tcPr>
            <w:tcW w:type="dxa" w:w="1872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项目负责人</w:t>
            </w:r>
          </w:p>
        </w:tc>
        <w:tc>
          <w:tcPr>
            <w:tcW w:type="dxa" w:w="3600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关注效率、采纳、投标与返工价值</w:t>
            </w:r>
          </w:p>
        </w:tc>
        <w:tc>
          <w:tcPr>
            <w:tcW w:type="dxa" w:w="4320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验证产品是否产生业务价值</w:t>
            </w:r>
          </w:p>
        </w:tc>
      </w:tr>
    </w:tbl>
    <w:p/>
    <w:p>
      <w:pPr>
        <w:pStyle w:val="Heading1"/>
        <w:pBdr>
          <w:bottom w:val="single" w:sz="8" w:space="1" w:color="2E6F5E"/>
        </w:pBdr>
      </w:pPr>
      <w:r>
        <w:t>3. 核心业务流程</w:t>
      </w:r>
    </w:p>
    <w:p>
      <w:pPr>
        <w:spacing w:before="80" w:after="120"/>
        <w:ind w:left="360" w:right="216"/>
        <w:shd w:fill="F7F8FA"/>
      </w:pPr>
      <w:r>
        <w:rPr>
          <w:rFonts w:ascii="Noto Sans Mono CJK SC" w:hAnsi="Noto Sans Mono CJK SC" w:eastAsia="Noto Sans Mono CJK SC"/>
          <w:sz w:val="18"/>
        </w:rPr>
        <w:t>导入项目资料</w:t>
        <w:br/>
      </w:r>
      <w:r>
        <w:rPr>
          <w:rFonts w:ascii="Noto Sans Mono CJK SC" w:hAnsi="Noto Sans Mono CJK SC" w:eastAsia="Noto Sans Mono CJK SC"/>
          <w:sz w:val="18"/>
        </w:rPr>
        <w:t>↓</w:t>
        <w:br/>
      </w:r>
      <w:r>
        <w:rPr>
          <w:rFonts w:ascii="Noto Sans Mono CJK SC" w:hAnsi="Noto Sans Mono CJK SC" w:eastAsia="Noto Sans Mono CJK SC"/>
          <w:sz w:val="18"/>
        </w:rPr>
        <w:t>解析并生成项目基线</w:t>
        <w:br/>
      </w:r>
      <w:r>
        <w:rPr>
          <w:rFonts w:ascii="Noto Sans Mono CJK SC" w:hAnsi="Noto Sans Mono CJK SC" w:eastAsia="Noto Sans Mono CJK SC"/>
          <w:sz w:val="18"/>
        </w:rPr>
        <w:t>↓</w:t>
        <w:br/>
      </w:r>
      <w:r>
        <w:rPr>
          <w:rFonts w:ascii="Noto Sans Mono CJK SC" w:hAnsi="Noto Sans Mono CJK SC" w:eastAsia="Noto Sans Mono CJK SC"/>
          <w:sz w:val="18"/>
        </w:rPr>
        <w:t>用户提出模拟目标</w:t>
        <w:br/>
      </w:r>
      <w:r>
        <w:rPr>
          <w:rFonts w:ascii="Noto Sans Mono CJK SC" w:hAnsi="Noto Sans Mono CJK SC" w:eastAsia="Noto Sans Mono CJK SC"/>
          <w:sz w:val="18"/>
        </w:rPr>
        <w:t>↓</w:t>
        <w:br/>
      </w:r>
      <w:r>
        <w:rPr>
          <w:rFonts w:ascii="Noto Sans Mono CJK SC" w:hAnsi="Noto Sans Mono CJK SC" w:eastAsia="Noto Sans Mono CJK SC"/>
          <w:sz w:val="18"/>
        </w:rPr>
        <w:t>目标结构化与确认</w:t>
        <w:br/>
      </w:r>
      <w:r>
        <w:rPr>
          <w:rFonts w:ascii="Noto Sans Mono CJK SC" w:hAnsi="Noto Sans Mono CJK SC" w:eastAsia="Noto Sans Mono CJK SC"/>
          <w:sz w:val="18"/>
        </w:rPr>
        <w:t>↓</w:t>
        <w:br/>
      </w:r>
      <w:r>
        <w:rPr>
          <w:rFonts w:ascii="Noto Sans Mono CJK SC" w:hAnsi="Noto Sans Mono CJK SC" w:eastAsia="Noto Sans Mono CJK SC"/>
          <w:sz w:val="18"/>
        </w:rPr>
        <w:t>生成未来蓝图</w:t>
        <w:br/>
      </w:r>
      <w:r>
        <w:rPr>
          <w:rFonts w:ascii="Noto Sans Mono CJK SC" w:hAnsi="Noto Sans Mono CJK SC" w:eastAsia="Noto Sans Mono CJK SC"/>
          <w:sz w:val="18"/>
        </w:rPr>
        <w:t>↓</w:t>
        <w:br/>
      </w:r>
      <w:r>
        <w:rPr>
          <w:rFonts w:ascii="Noto Sans Mono CJK SC" w:hAnsi="Noto Sans Mono CJK SC" w:eastAsia="Noto Sans Mono CJK SC"/>
          <w:sz w:val="18"/>
        </w:rPr>
        <w:t>蓝图拆解多条未来路径</w:t>
        <w:br/>
      </w:r>
      <w:r>
        <w:rPr>
          <w:rFonts w:ascii="Noto Sans Mono CJK SC" w:hAnsi="Noto Sans Mono CJK SC" w:eastAsia="Noto Sans Mono CJK SC"/>
          <w:sz w:val="18"/>
        </w:rPr>
        <w:t>↓</w:t>
        <w:br/>
      </w:r>
      <w:r>
        <w:rPr>
          <w:rFonts w:ascii="Noto Sans Mono CJK SC" w:hAnsi="Noto Sans Mono CJK SC" w:eastAsia="Noto Sans Mono CJK SC"/>
          <w:sz w:val="18"/>
        </w:rPr>
        <w:t>补充因素关系与约束</w:t>
        <w:br/>
      </w:r>
      <w:r>
        <w:rPr>
          <w:rFonts w:ascii="Noto Sans Mono CJK SC" w:hAnsi="Noto Sans Mono CJK SC" w:eastAsia="Noto Sans Mono CJK SC"/>
          <w:sz w:val="18"/>
        </w:rPr>
        <w:t>↓</w:t>
        <w:br/>
      </w:r>
      <w:r>
        <w:rPr>
          <w:rFonts w:ascii="Noto Sans Mono CJK SC" w:hAnsi="Noto Sans Mono CJK SC" w:eastAsia="Noto Sans Mono CJK SC"/>
          <w:sz w:val="18"/>
        </w:rPr>
        <w:t>生成未来世界任务卡</w:t>
        <w:br/>
      </w:r>
      <w:r>
        <w:rPr>
          <w:rFonts w:ascii="Noto Sans Mono CJK SC" w:hAnsi="Noto Sans Mono CJK SC" w:eastAsia="Noto Sans Mono CJK SC"/>
          <w:sz w:val="18"/>
        </w:rPr>
        <w:t>↓</w:t>
        <w:br/>
      </w:r>
      <w:r>
        <w:rPr>
          <w:rFonts w:ascii="Noto Sans Mono CJK SC" w:hAnsi="Noto Sans Mono CJK SC" w:eastAsia="Noto Sans Mono CJK SC"/>
          <w:sz w:val="18"/>
        </w:rPr>
        <w:t>路径独立启动连续模拟</w:t>
        <w:br/>
      </w:r>
      <w:r>
        <w:rPr>
          <w:rFonts w:ascii="Noto Sans Mono CJK SC" w:hAnsi="Noto Sans Mono CJK SC" w:eastAsia="Noto Sans Mono CJK SC"/>
          <w:sz w:val="18"/>
        </w:rPr>
        <w:t>↓</w:t>
        <w:br/>
      </w:r>
      <w:r>
        <w:rPr>
          <w:rFonts w:ascii="Noto Sans Mono CJK SC" w:hAnsi="Noto Sans Mono CJK SC" w:eastAsia="Noto Sans Mono CJK SC"/>
          <w:sz w:val="18"/>
        </w:rPr>
        <w:t>植物 / 胁迫 / 人流并行模拟</w:t>
        <w:br/>
      </w:r>
      <w:r>
        <w:rPr>
          <w:rFonts w:ascii="Noto Sans Mono CJK SC" w:hAnsi="Noto Sans Mono CJK SC" w:eastAsia="Noto Sans Mono CJK SC"/>
          <w:sz w:val="18"/>
        </w:rPr>
        <w:t>↓</w:t>
        <w:br/>
      </w:r>
      <w:r>
        <w:rPr>
          <w:rFonts w:ascii="Noto Sans Mono CJK SC" w:hAnsi="Noto Sans Mono CJK SC" w:eastAsia="Noto Sans Mono CJK SC"/>
          <w:sz w:val="18"/>
        </w:rPr>
        <w:t>统一状态结算</w:t>
        <w:br/>
      </w:r>
      <w:r>
        <w:rPr>
          <w:rFonts w:ascii="Noto Sans Mono CJK SC" w:hAnsi="Noto Sans Mono CJK SC" w:eastAsia="Noto Sans Mono CJK SC"/>
          <w:sz w:val="18"/>
        </w:rPr>
        <w:t>↓</w:t>
        <w:br/>
      </w:r>
      <w:r>
        <w:rPr>
          <w:rFonts w:ascii="Noto Sans Mono CJK SC" w:hAnsi="Noto Sans Mono CJK SC" w:eastAsia="Noto Sans Mono CJK SC"/>
          <w:sz w:val="18"/>
        </w:rPr>
        <w:t>养护决策与最终结算</w:t>
        <w:br/>
      </w:r>
      <w:r>
        <w:rPr>
          <w:rFonts w:ascii="Noto Sans Mono CJK SC" w:hAnsi="Noto Sans Mono CJK SC" w:eastAsia="Noto Sans Mono CJK SC"/>
          <w:sz w:val="18"/>
        </w:rPr>
        <w:t>↓</w:t>
        <w:br/>
      </w:r>
      <w:r>
        <w:rPr>
          <w:rFonts w:ascii="Noto Sans Mono CJK SC" w:hAnsi="Noto Sans Mono CJK SC" w:eastAsia="Noto Sans Mono CJK SC"/>
          <w:sz w:val="18"/>
        </w:rPr>
        <w:t>进入下一周期</w:t>
        <w:br/>
      </w:r>
      <w:r>
        <w:rPr>
          <w:rFonts w:ascii="Noto Sans Mono CJK SC" w:hAnsi="Noto Sans Mono CJK SC" w:eastAsia="Noto Sans Mono CJK SC"/>
          <w:sz w:val="18"/>
        </w:rPr>
        <w:t>↓</w:t>
        <w:br/>
      </w:r>
      <w:r>
        <w:rPr>
          <w:rFonts w:ascii="Noto Sans Mono CJK SC" w:hAnsi="Noto Sans Mono CJK SC" w:eastAsia="Noto Sans Mono CJK SC"/>
          <w:sz w:val="18"/>
        </w:rPr>
        <w:t>输出风险、趋势、价值与原因</w:t>
        <w:br/>
      </w:r>
      <w:r>
        <w:rPr>
          <w:rFonts w:ascii="Noto Sans Mono CJK SC" w:hAnsi="Noto Sans Mono CJK SC" w:eastAsia="Noto Sans Mono CJK SC"/>
          <w:sz w:val="18"/>
        </w:rPr>
        <w:t>↓</w:t>
        <w:br/>
      </w:r>
      <w:r>
        <w:rPr>
          <w:rFonts w:ascii="Noto Sans Mono CJK SC" w:hAnsi="Noto Sans Mono CJK SC" w:eastAsia="Noto Sans Mono CJK SC"/>
          <w:sz w:val="18"/>
        </w:rPr>
        <w:t>调整方案 / 养护策略</w:t>
        <w:br/>
      </w:r>
      <w:r>
        <w:rPr>
          <w:rFonts w:ascii="Noto Sans Mono CJK SC" w:hAnsi="Noto Sans Mono CJK SC" w:eastAsia="Noto Sans Mono CJK SC"/>
          <w:sz w:val="18"/>
        </w:rPr>
        <w:t>↓</w:t>
        <w:br/>
      </w:r>
      <w:r>
        <w:rPr>
          <w:rFonts w:ascii="Noto Sans Mono CJK SC" w:hAnsi="Noto Sans Mono CJK SC" w:eastAsia="Noto Sans Mono CJK SC"/>
          <w:sz w:val="18"/>
        </w:rPr>
        <w:t>重新模拟并比较</w:t>
        <w:br/>
      </w:r>
      <w:r>
        <w:rPr>
          <w:rFonts w:ascii="Noto Sans Mono CJK SC" w:hAnsi="Noto Sans Mono CJK SC" w:eastAsia="Noto Sans Mono CJK SC"/>
          <w:sz w:val="18"/>
        </w:rPr>
        <w:t>↓</w:t>
        <w:br/>
      </w:r>
      <w:r>
        <w:rPr>
          <w:rFonts w:ascii="Noto Sans Mono CJK SC" w:hAnsi="Noto Sans Mono CJK SC" w:eastAsia="Noto Sans Mono CJK SC"/>
          <w:sz w:val="18"/>
        </w:rPr>
        <w:t>专家审核 / 甲方决策</w:t>
      </w:r>
    </w:p>
    <w:p>
      <w:pPr>
        <w:pStyle w:val="Heading1"/>
        <w:pBdr>
          <w:bottom w:val="single" w:sz="8" w:space="1" w:color="2E6F5E"/>
        </w:pBdr>
      </w:pPr>
      <w:r>
        <w:t>4. 关键产品模块</w:t>
      </w:r>
    </w:p>
    <w:p>
      <w:pPr>
        <w:pStyle w:val="Heading2"/>
      </w:pPr>
      <w:r>
        <w:t>4.1 项目资料导入与基线生成</w:t>
      </w:r>
    </w:p>
    <w:p>
      <w:r>
        <w:t>支持 CAD、GIS、Excel、PDF/Word、场地照片、需求规格文档等异构资料。后续模拟不直接读取原文件，而读取统一的项目数据结构。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728"/>
            <w:shd w:fill="2E6F5E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输入类型</w:t>
            </w:r>
          </w:p>
        </w:tc>
        <w:tc>
          <w:tcPr>
            <w:tcW w:type="dxa" w:w="4608"/>
            <w:shd w:fill="2E6F5E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主要解析内容</w:t>
            </w:r>
          </w:p>
        </w:tc>
        <w:tc>
          <w:tcPr>
            <w:tcW w:type="dxa" w:w="3744"/>
            <w:shd w:fill="2E6F5E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用户可见结果</w:t>
            </w:r>
          </w:p>
        </w:tc>
      </w:tr>
      <w:tr>
        <w:tc>
          <w:tcPr>
            <w:tcW w:type="dxa" w:w="1728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CAD/DXF</w:t>
            </w:r>
          </w:p>
        </w:tc>
        <w:tc>
          <w:tcPr>
            <w:tcW w:type="dxa" w:w="4608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植物点位、边界、图层、坐标</w:t>
            </w:r>
          </w:p>
        </w:tc>
        <w:tc>
          <w:tcPr>
            <w:tcW w:type="dxa" w:w="3744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种植位置、分区、空间关系</w:t>
            </w:r>
          </w:p>
        </w:tc>
      </w:tr>
      <w:tr>
        <w:tc>
          <w:tcPr>
            <w:tcW w:type="dxa" w:w="1728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GIS</w:t>
            </w:r>
          </w:p>
        </w:tc>
        <w:tc>
          <w:tcPr>
            <w:tcW w:type="dxa" w:w="4608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地块、水系、土壤、路径、空间区域</w:t>
            </w:r>
          </w:p>
        </w:tc>
        <w:tc>
          <w:tcPr>
            <w:tcW w:type="dxa" w:w="3744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场地空间基线</w:t>
            </w:r>
          </w:p>
        </w:tc>
      </w:tr>
      <w:tr>
        <w:tc>
          <w:tcPr>
            <w:tcW w:type="dxa" w:w="1728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Excel</w:t>
            </w:r>
          </w:p>
        </w:tc>
        <w:tc>
          <w:tcPr>
            <w:tcW w:type="dxa" w:w="4608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植物清单、数量、规格、编号</w:t>
            </w:r>
          </w:p>
        </w:tc>
        <w:tc>
          <w:tcPr>
            <w:tcW w:type="dxa" w:w="3744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植物主数据</w:t>
            </w:r>
          </w:p>
        </w:tc>
      </w:tr>
      <w:tr>
        <w:tc>
          <w:tcPr>
            <w:tcW w:type="dxa" w:w="1728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PDF/Word</w:t>
            </w:r>
          </w:p>
        </w:tc>
        <w:tc>
          <w:tcPr>
            <w:tcW w:type="dxa" w:w="4608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设计目标、养护要求、风险关注、预算约束</w:t>
            </w:r>
          </w:p>
        </w:tc>
        <w:tc>
          <w:tcPr>
            <w:tcW w:type="dxa" w:w="3744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需求与约束字段</w:t>
            </w:r>
          </w:p>
        </w:tc>
      </w:tr>
      <w:tr>
        <w:tc>
          <w:tcPr>
            <w:tcW w:type="dxa" w:w="1728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场地照片</w:t>
            </w:r>
          </w:p>
        </w:tc>
        <w:tc>
          <w:tcPr>
            <w:tcW w:type="dxa" w:w="4608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铺装、遮挡、现状植被、出入口等</w:t>
            </w:r>
          </w:p>
        </w:tc>
        <w:tc>
          <w:tcPr>
            <w:tcW w:type="dxa" w:w="3744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辅助场地特征</w:t>
            </w:r>
          </w:p>
        </w:tc>
      </w:tr>
      <w:tr>
        <w:tc>
          <w:tcPr>
            <w:tcW w:type="dxa" w:w="1728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需求规格文件</w:t>
            </w:r>
          </w:p>
        </w:tc>
        <w:tc>
          <w:tcPr>
            <w:tcW w:type="dxa" w:w="4608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成本、工期、合规、甲方目标</w:t>
            </w:r>
          </w:p>
        </w:tc>
        <w:tc>
          <w:tcPr>
            <w:tcW w:type="dxa" w:w="3744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项目目标与限制</w:t>
            </w:r>
          </w:p>
        </w:tc>
      </w:tr>
    </w:tbl>
    <w:p/>
    <w:p>
      <w:pPr>
        <w:pStyle w:val="Heading3"/>
      </w:pPr>
      <w:r>
        <w:t>解析后的用户流程</w:t>
      </w:r>
    </w:p>
    <w:p>
      <w:pPr>
        <w:spacing w:before="80" w:after="120"/>
        <w:ind w:left="360" w:right="216"/>
        <w:shd w:fill="F7F8FA"/>
      </w:pPr>
      <w:r>
        <w:rPr>
          <w:rFonts w:ascii="Noto Sans Mono CJK SC" w:hAnsi="Noto Sans Mono CJK SC" w:eastAsia="Noto Sans Mono CJK SC"/>
          <w:sz w:val="18"/>
        </w:rPr>
        <w:t>已上传 → 正在解析 → 字段识别 → 冲突/低置信待确认 → 项目基线生成 → 可进入模拟</w:t>
      </w:r>
    </w:p>
    <w:p>
      <w:pPr>
        <w:pStyle w:val="ListBullet"/>
        <w:ind w:left="288" w:hanging="216"/>
      </w:pPr>
      <w:r>
        <w:t>字段需保留来源文件、位置与置信等级；</w:t>
      </w:r>
    </w:p>
    <w:p>
      <w:pPr>
        <w:pStyle w:val="ListBullet"/>
        <w:ind w:left="288" w:hanging="216"/>
      </w:pPr>
      <w:r>
        <w:t>跨文件冲突（如 Excel 数量与 CAD 点位不一致）必须显式提示；</w:t>
      </w:r>
    </w:p>
    <w:p>
      <w:pPr>
        <w:pStyle w:val="ListBullet"/>
        <w:ind w:left="288" w:hanging="216"/>
      </w:pPr>
      <w:r>
        <w:t>关键字段缺失时由输入 Gate 阻断，非关键字段可使用默认值但必须标记。</w:t>
      </w:r>
    </w:p>
    <w:p>
      <w:pPr>
        <w:pStyle w:val="Heading2"/>
      </w:pPr>
      <w:r>
        <w:t>4.2 模拟目标与多轮对话</w:t>
      </w:r>
    </w:p>
    <w:p>
      <w:r>
        <w:t>用户以自然语言提出模拟目标，系统结构化为时间范围、关注对象、关注结果、重点风险与约束，并允许用户确认或通过后续对话修正。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464"/>
            <w:shd w:fill="2E6F5E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用户输入示例</w:t>
            </w:r>
          </w:p>
        </w:tc>
        <w:tc>
          <w:tcPr>
            <w:tcW w:type="dxa" w:w="5616"/>
            <w:shd w:fill="2E6F5E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结构化结果</w:t>
            </w:r>
          </w:p>
        </w:tc>
      </w:tr>
      <w:tr>
        <w:tc>
          <w:tcPr>
            <w:tcW w:type="dxa" w:w="4464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“未来3年保持稳定遮阴，重点看高温和高人流，养护不要增加。”</w:t>
            </w:r>
          </w:p>
        </w:tc>
        <w:tc>
          <w:tcPr>
            <w:tcW w:type="dxa" w:w="5616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周期=36个月；关注=冠幅/健康/风险/养护；重点因素=高温、人流、水分；养护约束=不增加</w:t>
            </w:r>
          </w:p>
        </w:tc>
      </w:tr>
    </w:tbl>
    <w:p/>
    <w:p>
      <w:pPr>
        <w:pStyle w:val="ListBullet"/>
        <w:ind w:left="288" w:hanging="216"/>
      </w:pPr>
      <w:r>
        <w:t>后续追问需自动关联当前 Simulation Run、未来路径、植物对象与时间节点；</w:t>
      </w:r>
    </w:p>
    <w:p>
      <w:pPr>
        <w:pStyle w:val="ListBullet"/>
        <w:ind w:left="288" w:hanging="216"/>
      </w:pPr>
      <w:r>
        <w:t>用户修正不可覆盖旧版本，应生成新的目标/任务卡/运行版本。</w:t>
      </w:r>
    </w:p>
    <w:p>
      <w:pPr>
        <w:pStyle w:val="Heading2"/>
      </w:pPr>
      <w:r>
        <w:t>4.3 复杂未来编排</w:t>
      </w:r>
    </w:p>
    <w:p>
      <w:r>
        <w:t>未来蓝图叙事智能体负责“造世界”，不负责执行植物模拟。其职责是将模糊目标转成多个有决策差异的未来，并进一步拆为可执行路径。</w:t>
      </w:r>
    </w:p>
    <w:p>
      <w:pPr>
        <w:spacing w:before="80" w:after="120"/>
        <w:ind w:left="360" w:right="216"/>
        <w:shd w:fill="F7F8FA"/>
      </w:pPr>
      <w:r>
        <w:rPr>
          <w:rFonts w:ascii="Noto Sans Mono CJK SC" w:hAnsi="Noto Sans Mono CJK SC" w:eastAsia="Noto Sans Mono CJK SC"/>
          <w:sz w:val="18"/>
        </w:rPr>
        <w:t>用户目标</w:t>
        <w:br/>
      </w:r>
      <w:r>
        <w:rPr>
          <w:rFonts w:ascii="Noto Sans Mono CJK SC" w:hAnsi="Noto Sans Mono CJK SC" w:eastAsia="Noto Sans Mono CJK SC"/>
          <w:sz w:val="18"/>
        </w:rPr>
        <w:t>↓</w:t>
        <w:br/>
      </w:r>
      <w:r>
        <w:rPr>
          <w:rFonts w:ascii="Noto Sans Mono CJK SC" w:hAnsi="Noto Sans Mono CJK SC" w:eastAsia="Noto Sans Mono CJK SC"/>
          <w:sz w:val="18"/>
        </w:rPr>
        <w:t>关键不确定因素</w:t>
        <w:br/>
      </w:r>
      <w:r>
        <w:rPr>
          <w:rFonts w:ascii="Noto Sans Mono CJK SC" w:hAnsi="Noto Sans Mono CJK SC" w:eastAsia="Noto Sans Mono CJK SC"/>
          <w:sz w:val="18"/>
        </w:rPr>
        <w:t>↓</w:t>
        <w:br/>
      </w:r>
      <w:r>
        <w:rPr>
          <w:rFonts w:ascii="Noto Sans Mono CJK SC" w:hAnsi="Noto Sans Mono CJK SC" w:eastAsia="Noto Sans Mono CJK SC"/>
          <w:sz w:val="18"/>
        </w:rPr>
        <w:t>多个未来蓝图</w:t>
        <w:br/>
      </w:r>
      <w:r>
        <w:rPr>
          <w:rFonts w:ascii="Noto Sans Mono CJK SC" w:hAnsi="Noto Sans Mono CJK SC" w:eastAsia="Noto Sans Mono CJK SC"/>
          <w:sz w:val="18"/>
        </w:rPr>
        <w:t>↓</w:t>
        <w:br/>
      </w:r>
      <w:r>
        <w:rPr>
          <w:rFonts w:ascii="Noto Sans Mono CJK SC" w:hAnsi="Noto Sans Mono CJK SC" w:eastAsia="Noto Sans Mono CJK SC"/>
          <w:sz w:val="18"/>
        </w:rPr>
        <w:t>每个蓝图拆分多条路径</w:t>
        <w:br/>
      </w:r>
      <w:r>
        <w:rPr>
          <w:rFonts w:ascii="Noto Sans Mono CJK SC" w:hAnsi="Noto Sans Mono CJK SC" w:eastAsia="Noto Sans Mono CJK SC"/>
          <w:sz w:val="18"/>
        </w:rPr>
        <w:t>↓</w:t>
        <w:br/>
      </w:r>
      <w:r>
        <w:rPr>
          <w:rFonts w:ascii="Noto Sans Mono CJK SC" w:hAnsi="Noto Sans Mono CJK SC" w:eastAsia="Noto Sans Mono CJK SC"/>
          <w:sz w:val="18"/>
        </w:rPr>
        <w:t>查询植物 / 场地 / 环境关系</w:t>
        <w:br/>
      </w:r>
      <w:r>
        <w:rPr>
          <w:rFonts w:ascii="Noto Sans Mono CJK SC" w:hAnsi="Noto Sans Mono CJK SC" w:eastAsia="Noto Sans Mono CJK SC"/>
          <w:sz w:val="18"/>
        </w:rPr>
        <w:t>↓</w:t>
        <w:br/>
      </w:r>
      <w:r>
        <w:rPr>
          <w:rFonts w:ascii="Noto Sans Mono CJK SC" w:hAnsi="Noto Sans Mono CJK SC" w:eastAsia="Noto Sans Mono CJK SC"/>
          <w:sz w:val="18"/>
        </w:rPr>
        <w:t>补充必要因素、因果关系与约束</w:t>
        <w:br/>
      </w:r>
      <w:r>
        <w:rPr>
          <w:rFonts w:ascii="Noto Sans Mono CJK SC" w:hAnsi="Noto Sans Mono CJK SC" w:eastAsia="Noto Sans Mono CJK SC"/>
          <w:sz w:val="18"/>
        </w:rPr>
        <w:t>↓</w:t>
        <w:br/>
      </w:r>
      <w:r>
        <w:rPr>
          <w:rFonts w:ascii="Noto Sans Mono CJK SC" w:hAnsi="Noto Sans Mono CJK SC" w:eastAsia="Noto Sans Mono CJK SC"/>
          <w:sz w:val="18"/>
        </w:rPr>
        <w:t>复杂因素组合</w:t>
        <w:br/>
      </w:r>
      <w:r>
        <w:rPr>
          <w:rFonts w:ascii="Noto Sans Mono CJK SC" w:hAnsi="Noto Sans Mono CJK SC" w:eastAsia="Noto Sans Mono CJK SC"/>
          <w:sz w:val="18"/>
        </w:rPr>
        <w:t>↓</w:t>
        <w:br/>
      </w:r>
      <w:r>
        <w:rPr>
          <w:rFonts w:ascii="Noto Sans Mono CJK SC" w:hAnsi="Noto Sans Mono CJK SC" w:eastAsia="Noto Sans Mono CJK SC"/>
          <w:sz w:val="18"/>
        </w:rPr>
        <w:t>结构化未来世界任务卡</w:t>
        <w:br/>
      </w:r>
      <w:r>
        <w:rPr>
          <w:rFonts w:ascii="Noto Sans Mono CJK SC" w:hAnsi="Noto Sans Mono CJK SC" w:eastAsia="Noto Sans Mono CJK SC"/>
          <w:sz w:val="18"/>
        </w:rPr>
        <w:t>↓</w:t>
        <w:br/>
      </w:r>
      <w:r>
        <w:rPr>
          <w:rFonts w:ascii="Noto Sans Mono CJK SC" w:hAnsi="Noto Sans Mono CJK SC" w:eastAsia="Noto Sans Mono CJK SC"/>
          <w:sz w:val="18"/>
        </w:rPr>
        <w:t>Gate 校验后冻结</w:t>
      </w:r>
    </w:p>
    <w:p>
      <w:pPr>
        <w:pStyle w:val="Heading3"/>
      </w:pPr>
      <w:r>
        <w:t>未来环境条件的生成原则</w:t>
      </w:r>
    </w:p>
    <w:p>
      <w:pPr>
        <w:pStyle w:val="ListBullet"/>
        <w:ind w:left="288" w:hanging="216"/>
      </w:pPr>
      <w:r>
        <w:t>不以 LLM 直接预测某年某日天气；</w:t>
      </w:r>
    </w:p>
    <w:p>
      <w:pPr>
        <w:pStyle w:val="ListBullet"/>
        <w:ind w:left="288" w:hanging="216"/>
      </w:pPr>
      <w:r>
        <w:t>历史天气/环境数据先由后端统计成均值、分位数、极端事件频次、连续高温/少雨等“环境特征包”；</w:t>
      </w:r>
    </w:p>
    <w:p>
      <w:pPr>
        <w:pStyle w:val="ListBullet"/>
        <w:ind w:left="288" w:hanging="216"/>
      </w:pPr>
      <w:r>
        <w:t>编排智能体只读取聚合特征、用户目标与关系约束，生成基准、高温、高温+少雨、高温+高人流等有业务意义的未来路径；</w:t>
      </w:r>
    </w:p>
    <w:p>
      <w:pPr>
        <w:pStyle w:val="ListBullet"/>
        <w:ind w:left="288" w:hanging="216"/>
      </w:pPr>
      <w:r>
        <w:t>长期气候变化场景可后续接入权威气候预测数据。</w:t>
      </w:r>
    </w:p>
    <w:p>
      <w:pPr>
        <w:pStyle w:val="Heading3"/>
      </w:pPr>
      <w:r>
        <w:t>任务卡关键字段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168"/>
            <w:shd w:fill="2E6F5E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6912"/>
            <w:shd w:fill="2E6F5E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168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blueprint_id / path_id</w:t>
            </w:r>
          </w:p>
        </w:tc>
        <w:tc>
          <w:tcPr>
            <w:tcW w:type="dxa" w:w="6912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蓝图与路径唯一标识</w:t>
            </w:r>
          </w:p>
        </w:tc>
      </w:tr>
      <w:tr>
        <w:tc>
          <w:tcPr>
            <w:tcW w:type="dxa" w:w="3168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simulation_horizon</w:t>
            </w:r>
          </w:p>
        </w:tc>
        <w:tc>
          <w:tcPr>
            <w:tcW w:type="dxa" w:w="6912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模拟周期</w:t>
            </w:r>
          </w:p>
        </w:tc>
      </w:tr>
      <w:tr>
        <w:tc>
          <w:tcPr>
            <w:tcW w:type="dxa" w:w="3168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world_conditions</w:t>
            </w:r>
          </w:p>
        </w:tc>
        <w:tc>
          <w:tcPr>
            <w:tcW w:type="dxa" w:w="6912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温度、降水、土壤、人流等世界条件</w:t>
            </w:r>
          </w:p>
        </w:tc>
      </w:tr>
      <w:tr>
        <w:tc>
          <w:tcPr>
            <w:tcW w:type="dxa" w:w="3168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active_factors</w:t>
            </w:r>
          </w:p>
        </w:tc>
        <w:tc>
          <w:tcPr>
            <w:tcW w:type="dxa" w:w="6912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当前路径生效因素</w:t>
            </w:r>
          </w:p>
        </w:tc>
      </w:tr>
      <w:tr>
        <w:tc>
          <w:tcPr>
            <w:tcW w:type="dxa" w:w="3168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risk_context</w:t>
            </w:r>
          </w:p>
        </w:tc>
        <w:tc>
          <w:tcPr>
            <w:tcW w:type="dxa" w:w="6912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重点风险背景</w:t>
            </w:r>
          </w:p>
        </w:tc>
      </w:tr>
      <w:tr>
        <w:tc>
          <w:tcPr>
            <w:tcW w:type="dxa" w:w="3168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maintenance_conditions</w:t>
            </w:r>
          </w:p>
        </w:tc>
        <w:tc>
          <w:tcPr>
            <w:tcW w:type="dxa" w:w="6912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养护资源与约束</w:t>
            </w:r>
          </w:p>
        </w:tc>
      </w:tr>
      <w:tr>
        <w:tc>
          <w:tcPr>
            <w:tcW w:type="dxa" w:w="3168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timeline</w:t>
            </w:r>
          </w:p>
        </w:tc>
        <w:tc>
          <w:tcPr>
            <w:tcW w:type="dxa" w:w="6912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关键事件时间窗口</w:t>
            </w:r>
          </w:p>
        </w:tc>
      </w:tr>
      <w:tr>
        <w:tc>
          <w:tcPr>
            <w:tcW w:type="dxa" w:w="3168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simulation_focus</w:t>
            </w:r>
          </w:p>
        </w:tc>
        <w:tc>
          <w:tcPr>
            <w:tcW w:type="dxa" w:w="6912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本路径需要重点观察的结果</w:t>
            </w:r>
          </w:p>
        </w:tc>
      </w:tr>
      <w:tr>
        <w:tc>
          <w:tcPr>
            <w:tcW w:type="dxa" w:w="3168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constraints</w:t>
            </w:r>
          </w:p>
        </w:tc>
        <w:tc>
          <w:tcPr>
            <w:tcW w:type="dxa" w:w="6912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不可违反的世界约束</w:t>
            </w:r>
          </w:p>
        </w:tc>
      </w:tr>
    </w:tbl>
    <w:p/>
    <w:p>
      <w:pPr>
        <w:pStyle w:val="Heading2"/>
      </w:pPr>
      <w:r>
        <w:t>4.4 连续模拟</w:t>
      </w:r>
    </w:p>
    <w:p>
      <w:r>
        <w:t>每条未来路径状态完全隔离。每个周期内，植物、病虫害与环境胁迫、人流扰动三个模拟智能体从同一周期初状态并行运行，仅输出状态影响包；状态结算器统一生成养护前状态；养护智能体基于中间状态决策，最终结算生成下一周期状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304"/>
            <w:shd w:fill="2E6F5E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4608"/>
            <w:shd w:fill="2E6F5E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核心职责</w:t>
            </w:r>
          </w:p>
        </w:tc>
        <w:tc>
          <w:tcPr>
            <w:tcW w:type="dxa" w:w="3168"/>
            <w:shd w:fill="2E6F5E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禁止行为</w:t>
            </w:r>
          </w:p>
        </w:tc>
      </w:tr>
      <w:tr>
        <w:tc>
          <w:tcPr>
            <w:tcW w:type="dxa" w:w="2304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植物模拟智能体</w:t>
            </w:r>
          </w:p>
        </w:tc>
        <w:tc>
          <w:tcPr>
            <w:tcW w:type="dxa" w:w="4608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物候、正常环境适配、生长、冠幅/根系、竞争</w:t>
            </w:r>
          </w:p>
        </w:tc>
        <w:tc>
          <w:tcPr>
            <w:tcW w:type="dxa" w:w="3168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病虫害事件、人流行为、养护决策、直接改状态</w:t>
            </w:r>
          </w:p>
        </w:tc>
      </w:tr>
      <w:tr>
        <w:tc>
          <w:tcPr>
            <w:tcW w:type="dxa" w:w="2304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病虫害与环境胁迫模拟智能体</w:t>
            </w:r>
          </w:p>
        </w:tc>
        <w:tc>
          <w:tcPr>
            <w:tcW w:type="dxa" w:w="4608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病虫害、极端高温/低温、干旱、洪涝、复合胁迫</w:t>
            </w:r>
          </w:p>
        </w:tc>
        <w:tc>
          <w:tcPr>
            <w:tcW w:type="dxa" w:w="3168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重复计算正常生长、决定养护、直接改状态</w:t>
            </w:r>
          </w:p>
        </w:tc>
      </w:tr>
      <w:tr>
        <w:tc>
          <w:tcPr>
            <w:tcW w:type="dxa" w:w="2304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人流扰动模拟智能体</w:t>
            </w:r>
          </w:p>
        </w:tc>
        <w:tc>
          <w:tcPr>
            <w:tcW w:type="dxa" w:w="4608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活动模式、空间暴露、踩踏、土壤压实、接触</w:t>
            </w:r>
          </w:p>
        </w:tc>
        <w:tc>
          <w:tcPr>
            <w:tcW w:type="dxa" w:w="3168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凭语言估算空间关系、直接改状态</w:t>
            </w:r>
          </w:p>
        </w:tc>
      </w:tr>
      <w:tr>
        <w:tc>
          <w:tcPr>
            <w:tcW w:type="dxa" w:w="2304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养护模拟智能体</w:t>
            </w:r>
          </w:p>
        </w:tc>
        <w:tc>
          <w:tcPr>
            <w:tcW w:type="dxa" w:w="4608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识别需求、比较合法措施、执行/观察/延后/不处理</w:t>
            </w:r>
          </w:p>
        </w:tc>
        <w:tc>
          <w:tcPr>
            <w:tcW w:type="dxa" w:w="3168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创造白名单外措施、修改效果系数、直接改状态</w:t>
            </w:r>
          </w:p>
        </w:tc>
      </w:tr>
      <w:tr>
        <w:tc>
          <w:tcPr>
            <w:tcW w:type="dxa" w:w="2304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状态结算器</w:t>
            </w:r>
          </w:p>
        </w:tc>
        <w:tc>
          <w:tcPr>
            <w:tcW w:type="dxa" w:w="4608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确定性合并 Effect，生成新状态</w:t>
            </w:r>
          </w:p>
        </w:tc>
        <w:tc>
          <w:tcPr>
            <w:tcW w:type="dxa" w:w="3168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使用大模型自由判断</w:t>
            </w:r>
          </w:p>
        </w:tc>
      </w:tr>
    </w:tbl>
    <w:p/>
    <w:p>
      <w:pPr>
        <w:pStyle w:val="Heading2"/>
      </w:pPr>
      <w:r>
        <w:t>4.5 结果与风险页</w:t>
      </w:r>
    </w:p>
    <w:p>
      <w:pPr>
        <w:pStyle w:val="ListBullet"/>
        <w:ind w:left="288" w:hanging="216"/>
      </w:pPr>
      <w:r>
        <w:t>地图/平面：按正常、关注、中风险、高风险标记具体植物与区域；</w:t>
      </w:r>
    </w:p>
    <w:p>
      <w:pPr>
        <w:pStyle w:val="ListBullet"/>
        <w:ind w:left="288" w:hanging="216"/>
      </w:pPr>
      <w:r>
        <w:t>时间线：展示植物状态、风险触发、养护、恢复/恶化节点；</w:t>
      </w:r>
    </w:p>
    <w:p>
      <w:pPr>
        <w:pStyle w:val="ListBullet"/>
        <w:ind w:left="288" w:hanging="216"/>
      </w:pPr>
      <w:r>
        <w:t>风险卡片：植物、区域、时间、严重度、主要原因、关联因素；</w:t>
      </w:r>
    </w:p>
    <w:p>
      <w:pPr>
        <w:pStyle w:val="ListBullet"/>
        <w:ind w:left="288" w:hanging="216"/>
      </w:pPr>
      <w:r>
        <w:t>养护建议：执行 / 观察 / 延后 / 不处理，以及干预后的预计状态变化；</w:t>
      </w:r>
    </w:p>
    <w:p>
      <w:pPr>
        <w:pStyle w:val="ListBullet"/>
        <w:ind w:left="288" w:hanging="216"/>
      </w:pPr>
      <w:r>
        <w:t>原因链：未来条件 → Agent 影响 → 状态结算 → 最终结果。</w:t>
      </w:r>
    </w:p>
    <w:p>
      <w:pPr>
        <w:pStyle w:val="Heading2"/>
      </w:pPr>
      <w:r>
        <w:t>4.6 方案优化与比较</w:t>
      </w:r>
    </w:p>
    <w:p>
      <w:r>
        <w:t>设计师修改植物种类、规格、数量、位置、密度或养护条件后生成 Design Version V2，并在同一组未来路径下重新模拟。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592"/>
            <w:shd w:fill="2E6F5E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比较维度</w:t>
            </w:r>
          </w:p>
        </w:tc>
        <w:tc>
          <w:tcPr>
            <w:tcW w:type="dxa" w:w="7488"/>
            <w:shd w:fill="2E6F5E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2592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景观表现</w:t>
            </w:r>
          </w:p>
        </w:tc>
        <w:tc>
          <w:tcPr>
            <w:tcW w:type="dxa" w:w="7488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冠幅/遮阴、季相、空间效果</w:t>
            </w:r>
          </w:p>
        </w:tc>
      </w:tr>
      <w:tr>
        <w:tc>
          <w:tcPr>
            <w:tcW w:type="dxa" w:w="2592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长期稳定性</w:t>
            </w:r>
          </w:p>
        </w:tc>
        <w:tc>
          <w:tcPr>
            <w:tcW w:type="dxa" w:w="7488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健康趋势、恢复能力、状态波动</w:t>
            </w:r>
          </w:p>
        </w:tc>
      </w:tr>
      <w:tr>
        <w:tc>
          <w:tcPr>
            <w:tcW w:type="dxa" w:w="2592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风险</w:t>
            </w:r>
          </w:p>
        </w:tc>
        <w:tc>
          <w:tcPr>
            <w:tcW w:type="dxa" w:w="7488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高风险植物数、风险等级、风险边界</w:t>
            </w:r>
          </w:p>
        </w:tc>
      </w:tr>
      <w:tr>
        <w:tc>
          <w:tcPr>
            <w:tcW w:type="dxa" w:w="2592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养护压力</w:t>
            </w:r>
          </w:p>
        </w:tc>
        <w:tc>
          <w:tcPr>
            <w:tcW w:type="dxa" w:w="7488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养护频次、资源需求、是否需要额外干预</w:t>
            </w:r>
          </w:p>
        </w:tc>
      </w:tr>
      <w:tr>
        <w:tc>
          <w:tcPr>
            <w:tcW w:type="dxa" w:w="2592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成本</w:t>
            </w:r>
          </w:p>
        </w:tc>
        <w:tc>
          <w:tcPr>
            <w:tcW w:type="dxa" w:w="7488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初始成本、预计养护成本、预计避免返工成本</w:t>
            </w:r>
          </w:p>
        </w:tc>
      </w:tr>
      <w:tr>
        <w:tc>
          <w:tcPr>
            <w:tcW w:type="dxa" w:w="2592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环境承受度</w:t>
            </w:r>
          </w:p>
        </w:tc>
        <w:tc>
          <w:tcPr>
            <w:tcW w:type="dxa" w:w="7488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高温、少雨、人流、病虫害等未来下表现</w:t>
            </w:r>
          </w:p>
        </w:tc>
      </w:tr>
    </w:tbl>
    <w:p/>
    <w:p>
      <w:pPr>
        <w:ind w:left="288" w:right="288"/>
        <w:shd w:fill="EEF6F3"/>
      </w:pPr>
      <w:r>
        <w:rPr>
          <w:b/>
          <w:color w:val="2E6F5E"/>
        </w:rPr>
        <w:t>默认不强制输出“唯一最优方案”。系统展示各维度与指标结果；只有业务方明确权重时才计算综合分。</w:t>
      </w:r>
    </w:p>
    <w:p>
      <w:pPr>
        <w:pStyle w:val="Heading2"/>
      </w:pPr>
      <w:r>
        <w:t>4.7 运行日志、异常解释与节点回溯</w:t>
      </w:r>
    </w:p>
    <w:p>
      <w:pPr>
        <w:pStyle w:val="ListBullet"/>
        <w:ind w:left="288" w:hanging="216"/>
      </w:pPr>
      <w:r>
        <w:t>用户可从结果回看：路径 → 周期 → Agent → Tool → Effect → State Change；</w:t>
      </w:r>
    </w:p>
    <w:p>
      <w:pPr>
        <w:pStyle w:val="ListBullet"/>
        <w:ind w:left="288" w:hanging="216"/>
      </w:pPr>
      <w:r>
        <w:t>异常运行需显示失败节点、错误类型、是否局部修复、Retry 次数与恢复点；</w:t>
      </w:r>
    </w:p>
    <w:p>
      <w:pPr>
        <w:pStyle w:val="ListBullet"/>
        <w:ind w:left="288" w:hanging="216"/>
      </w:pPr>
      <w:r>
        <w:t>支持查看历史 Checkpoint，并在专家/开发模式下从指定节点重新执行；</w:t>
      </w:r>
    </w:p>
    <w:p>
      <w:pPr>
        <w:pStyle w:val="ListBullet"/>
        <w:ind w:left="288" w:hanging="216"/>
      </w:pPr>
      <w:r>
        <w:t>普通业务用户默认只看到简化原因链，技术细节折叠。</w:t>
      </w:r>
    </w:p>
    <w:p>
      <w:pPr>
        <w:pStyle w:val="Heading1"/>
        <w:pBdr>
          <w:bottom w:val="single" w:sz="8" w:space="1" w:color="2E6F5E"/>
        </w:pBdr>
      </w:pPr>
      <w:r>
        <w:t>5. 关键 AI 产品规则</w:t>
      </w:r>
    </w:p>
    <w:p>
      <w:pPr>
        <w:pStyle w:val="Heading2"/>
      </w:pPr>
      <w:r>
        <w:t>5.1 Agent Trigger</w:t>
      </w:r>
    </w:p>
    <w:p>
      <w:r>
        <w:t>固定流程优先使用规则与工具。只有歧义、信息不足、特殊 Case、历史依赖、异常结果或多方案权衡时才触发大模型推理。</w:t>
      </w:r>
    </w:p>
    <w:p>
      <w:pPr>
        <w:pStyle w:val="Heading2"/>
      </w:pPr>
      <w:r>
        <w:t>5.2 Effect Package 状态隔离</w:t>
      </w:r>
    </w:p>
    <w:p>
      <w:r>
        <w:t>任何 Agent 不得直接修改全局植物状态。状态变化必须以 Effect Package 表达，并由 State Resolver 统一应用。</w:t>
      </w:r>
    </w:p>
    <w:p>
      <w:pPr>
        <w:pStyle w:val="Heading2"/>
      </w:pPr>
      <w:r>
        <w:t>5.3 Gate 与 Schema</w:t>
      </w:r>
    </w:p>
    <w:p>
      <w:r>
        <w:t>Gate 是独立确定性校验，不是 Agent 自检。关键节点包括输入后、任务卡生成后、Agent 输出后、Effect 应用前、状态更新后、最终结果输出前。所有结构化输出必须通过 JSON Schema、数值边界与空间约束。</w:t>
      </w:r>
    </w:p>
    <w:p>
      <w:pPr>
        <w:pStyle w:val="Heading1"/>
        <w:pBdr>
          <w:bottom w:val="single" w:sz="8" w:space="1" w:color="2E6F5E"/>
        </w:pBdr>
      </w:pPr>
      <w:r>
        <w:t>6. 错误处理与恢复体验</w:t>
      </w:r>
    </w:p>
    <w:p>
      <w:pPr>
        <w:spacing w:before="80" w:after="120"/>
        <w:ind w:left="360" w:right="216"/>
        <w:shd w:fill="F7F8FA"/>
      </w:pPr>
      <w:r>
        <w:rPr>
          <w:rFonts w:ascii="Noto Sans Mono CJK SC" w:hAnsi="Noto Sans Mono CJK SC" w:eastAsia="Noto Sans Mono CJK SC"/>
          <w:sz w:val="18"/>
        </w:rPr>
        <w:t>问题定位 → 最小回退 → 校验修正 → 恢复执行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160"/>
            <w:shd w:fill="2E6F5E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错误类型</w:t>
            </w:r>
          </w:p>
        </w:tc>
        <w:tc>
          <w:tcPr>
            <w:tcW w:type="dxa" w:w="4608"/>
            <w:shd w:fill="2E6F5E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处理方式</w:t>
            </w:r>
          </w:p>
        </w:tc>
        <w:tc>
          <w:tcPr>
            <w:tcW w:type="dxa" w:w="3600"/>
            <w:shd w:fill="2E6F5E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用户呈现</w:t>
            </w:r>
          </w:p>
        </w:tc>
      </w:tr>
      <w:tr>
        <w:tc>
          <w:tcPr>
            <w:tcW w:type="dxa" w:w="2160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Schema/格式错误</w:t>
            </w:r>
          </w:p>
        </w:tc>
        <w:tc>
          <w:tcPr>
            <w:tcW w:type="dxa" w:w="4608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定位字段，局部修复，重新校验</w:t>
            </w:r>
          </w:p>
        </w:tc>
        <w:tc>
          <w:tcPr>
            <w:tcW w:type="dxa" w:w="3600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显示“已自动修复”，不重跑前序周期</w:t>
            </w:r>
          </w:p>
        </w:tc>
      </w:tr>
      <w:tr>
        <w:tc>
          <w:tcPr>
            <w:tcW w:type="dxa" w:w="2160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Tool 调用错误</w:t>
            </w:r>
          </w:p>
        </w:tc>
        <w:tc>
          <w:tcPr>
            <w:tcW w:type="dxa" w:w="4608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修正参数后有限 Retry</w:t>
            </w:r>
          </w:p>
        </w:tc>
        <w:tc>
          <w:tcPr>
            <w:tcW w:type="dxa" w:w="3600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记录工具失败与恢复</w:t>
            </w:r>
          </w:p>
        </w:tc>
      </w:tr>
      <w:tr>
        <w:tc>
          <w:tcPr>
            <w:tcW w:type="dxa" w:w="2160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数值/空间硬错误</w:t>
            </w:r>
          </w:p>
        </w:tc>
        <w:tc>
          <w:tcPr>
            <w:tcW w:type="dxa" w:w="4608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Gate 阻断</w:t>
            </w:r>
          </w:p>
        </w:tc>
        <w:tc>
          <w:tcPr>
            <w:tcW w:type="dxa" w:w="3600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显示具体违反约束</w:t>
            </w:r>
          </w:p>
        </w:tc>
      </w:tr>
      <w:tr>
        <w:tc>
          <w:tcPr>
            <w:tcW w:type="dxa" w:w="2160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状态污染/结算异常</w:t>
            </w:r>
          </w:p>
        </w:tc>
        <w:tc>
          <w:tcPr>
            <w:tcW w:type="dxa" w:w="4608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回滚最近 Checkpoint</w:t>
            </w:r>
          </w:p>
        </w:tc>
        <w:tc>
          <w:tcPr>
            <w:tcW w:type="dxa" w:w="3600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显示恢复点</w:t>
            </w:r>
          </w:p>
        </w:tc>
      </w:tr>
      <w:tr>
        <w:tc>
          <w:tcPr>
            <w:tcW w:type="dxa" w:w="2160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专业结果有争议</w:t>
            </w:r>
          </w:p>
        </w:tc>
        <w:tc>
          <w:tcPr>
            <w:tcW w:type="dxa" w:w="4608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定位原因链，专家复核</w:t>
            </w:r>
          </w:p>
        </w:tc>
        <w:tc>
          <w:tcPr>
            <w:tcW w:type="dxa" w:w="3600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可标记 Bad Case</w:t>
            </w:r>
          </w:p>
        </w:tc>
      </w:tr>
      <w:tr>
        <w:tc>
          <w:tcPr>
            <w:tcW w:type="dxa" w:w="2160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连续失败</w:t>
            </w:r>
          </w:p>
        </w:tc>
        <w:tc>
          <w:tcPr>
            <w:tcW w:type="dxa" w:w="4608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有限 Retry 后进入 Fallback / Human Review</w:t>
            </w:r>
          </w:p>
        </w:tc>
        <w:tc>
          <w:tcPr>
            <w:tcW w:type="dxa" w:w="3600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显示“需要人工确认”</w:t>
            </w:r>
          </w:p>
        </w:tc>
      </w:tr>
    </w:tbl>
    <w:p/>
    <w:p>
      <w:pPr>
        <w:pStyle w:val="Heading1"/>
        <w:pBdr>
          <w:bottom w:val="single" w:sz="8" w:space="1" w:color="2E6F5E"/>
        </w:pBdr>
      </w:pPr>
      <w:r>
        <w:t>7. 价值评估</w:t>
      </w:r>
    </w:p>
    <w:p>
      <w:pPr>
        <w:pStyle w:val="Heading2"/>
      </w:pPr>
      <w:r>
        <w:t>7.1 方案价值评估</w:t>
      </w:r>
    </w:p>
    <w:p>
      <w:r>
        <w:t>评价维度与指标口径在评测前确定。AI 负责产生模拟与风险结果，评分公式、成本口径与硬约束尽量由独立规则和业务数据决定，避免 AI 同时“产出结论并给自己打高分”。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592"/>
            <w:shd w:fill="2E6F5E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7488"/>
            <w:shd w:fill="2E6F5E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典型指标</w:t>
            </w:r>
          </w:p>
        </w:tc>
      </w:tr>
      <w:tr>
        <w:tc>
          <w:tcPr>
            <w:tcW w:type="dxa" w:w="2592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景观表现</w:t>
            </w:r>
          </w:p>
        </w:tc>
        <w:tc>
          <w:tcPr>
            <w:tcW w:type="dxa" w:w="7488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遮阴/冠幅、季相、关键空间效果</w:t>
            </w:r>
          </w:p>
        </w:tc>
      </w:tr>
      <w:tr>
        <w:tc>
          <w:tcPr>
            <w:tcW w:type="dxa" w:w="2592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成本</w:t>
            </w:r>
          </w:p>
        </w:tc>
        <w:tc>
          <w:tcPr>
            <w:tcW w:type="dxa" w:w="7488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建设成本、养护成本、预计返工成本</w:t>
            </w:r>
          </w:p>
        </w:tc>
      </w:tr>
      <w:tr>
        <w:tc>
          <w:tcPr>
            <w:tcW w:type="dxa" w:w="2592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长期稳定性</w:t>
            </w:r>
          </w:p>
        </w:tc>
        <w:tc>
          <w:tcPr>
            <w:tcW w:type="dxa" w:w="7488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健康状态、波动幅度、恢复能力</w:t>
            </w:r>
          </w:p>
        </w:tc>
      </w:tr>
      <w:tr>
        <w:tc>
          <w:tcPr>
            <w:tcW w:type="dxa" w:w="2592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环境承受度</w:t>
            </w:r>
          </w:p>
        </w:tc>
        <w:tc>
          <w:tcPr>
            <w:tcW w:type="dxa" w:w="7488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不同未来下风险暴露与失效边界</w:t>
            </w:r>
          </w:p>
        </w:tc>
      </w:tr>
      <w:tr>
        <w:tc>
          <w:tcPr>
            <w:tcW w:type="dxa" w:w="2592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风险</w:t>
            </w:r>
          </w:p>
        </w:tc>
        <w:tc>
          <w:tcPr>
            <w:tcW w:type="dxa" w:w="7488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关键风险数量、严重度、提前识别时间</w:t>
            </w:r>
          </w:p>
        </w:tc>
      </w:tr>
      <w:tr>
        <w:tc>
          <w:tcPr>
            <w:tcW w:type="dxa" w:w="2592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养护</w:t>
            </w:r>
          </w:p>
        </w:tc>
        <w:tc>
          <w:tcPr>
            <w:tcW w:type="dxa" w:w="7488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干预次数、额外资源、干预有效性</w:t>
            </w:r>
          </w:p>
        </w:tc>
      </w:tr>
    </w:tbl>
    <w:p/>
    <w:p>
      <w:pPr>
        <w:pStyle w:val="Heading3"/>
      </w:pPr>
      <w:r>
        <w:t>预计返工成本口径</w:t>
      </w:r>
    </w:p>
    <w:p>
      <w:r>
        <w:t>预计返工成本 = Σ（返工事项风险权重/概率 × 标准返工成本）。标准返工成本来自历史项目结算、企业成本库、工程量清单或项目经理确认，不由 LLM 自由生成；优化前后使用同一套冻结口径。</w:t>
      </w:r>
    </w:p>
    <w:p>
      <w:pPr>
        <w:pStyle w:val="Heading2"/>
      </w:pPr>
      <w:r>
        <w:t>7.2 产品业务价值指标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448"/>
            <w:shd w:fill="2E6F5E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7632"/>
            <w:shd w:fill="2E6F5E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指标示例</w:t>
            </w:r>
          </w:p>
        </w:tc>
      </w:tr>
      <w:tr>
        <w:tc>
          <w:tcPr>
            <w:tcW w:type="dxa" w:w="2448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决策采纳</w:t>
            </w:r>
          </w:p>
        </w:tc>
        <w:tc>
          <w:tcPr>
            <w:tcW w:type="dxa" w:w="7632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建议采纳率、决策改变率、风险干预率</w:t>
            </w:r>
          </w:p>
        </w:tc>
      </w:tr>
      <w:tr>
        <w:tc>
          <w:tcPr>
            <w:tcW w:type="dxa" w:w="2448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流程效率</w:t>
            </w:r>
          </w:p>
        </w:tc>
        <w:tc>
          <w:tcPr>
            <w:tcW w:type="dxa" w:w="7632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决策周期、单轮方案迭代时间、专家工作量降低率</w:t>
            </w:r>
          </w:p>
        </w:tc>
      </w:tr>
      <w:tr>
        <w:tc>
          <w:tcPr>
            <w:tcW w:type="dxa" w:w="2448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结果改善</w:t>
            </w:r>
          </w:p>
        </w:tc>
        <w:tc>
          <w:tcPr>
            <w:tcW w:type="dxa" w:w="7632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关键风险预防率、风险提前识别时间、预计/真实返工避免率</w:t>
            </w:r>
          </w:p>
        </w:tc>
      </w:tr>
      <w:tr>
        <w:tc>
          <w:tcPr>
            <w:tcW w:type="dxa" w:w="2448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经济价值</w:t>
            </w:r>
          </w:p>
        </w:tc>
        <w:tc>
          <w:tcPr>
            <w:tcW w:type="dxa" w:w="7632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人工成本降低、预计返工成本降低、预计新方案避免成本</w:t>
            </w:r>
          </w:p>
        </w:tc>
      </w:tr>
    </w:tbl>
    <w:p/>
    <w:p>
      <w:pPr>
        <w:pStyle w:val="Heading1"/>
        <w:pBdr>
          <w:bottom w:val="single" w:sz="8" w:space="1" w:color="2E6F5E"/>
        </w:pBdr>
      </w:pPr>
      <w:r>
        <w:t>8. AI 评测与数据闭环</w:t>
      </w:r>
    </w:p>
    <w:p>
      <w:r>
        <w:t>评测拆为“流程正确性”和“结果可信度”两层，不用单一总分代替。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160"/>
            <w:shd w:fill="2E6F5E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3168"/>
            <w:shd w:fill="2E6F5E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目的</w:t>
            </w:r>
          </w:p>
        </w:tc>
        <w:tc>
          <w:tcPr>
            <w:tcW w:type="dxa" w:w="4752"/>
            <w:shd w:fill="2E6F5E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测试内容</w:t>
            </w:r>
          </w:p>
        </w:tc>
      </w:tr>
      <w:tr>
        <w:tc>
          <w:tcPr>
            <w:tcW w:type="dxa" w:w="2160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流程正确性</w:t>
            </w:r>
          </w:p>
        </w:tc>
        <w:tc>
          <w:tcPr>
            <w:tcW w:type="dxa" w:w="3168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系统是否按设计运行</w:t>
            </w:r>
          </w:p>
        </w:tc>
        <w:tc>
          <w:tcPr>
            <w:tcW w:type="dxa" w:w="4752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Intent、未来因素、Tool Routing、Agent Trigger、权限、Schema、Gate、Resolver、Retry</w:t>
            </w:r>
          </w:p>
        </w:tc>
      </w:tr>
      <w:tr>
        <w:tc>
          <w:tcPr>
            <w:tcW w:type="dxa" w:w="2160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结果可信度</w:t>
            </w:r>
          </w:p>
        </w:tc>
        <w:tc>
          <w:tcPr>
            <w:tcW w:type="dxa" w:w="3168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模拟结果是否专业合理</w:t>
            </w:r>
          </w:p>
        </w:tc>
        <w:tc>
          <w:tcPr>
            <w:tcW w:type="dxa" w:w="4752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历史项目回测、专家评分、风险趋势、养护效果、方案差异</w:t>
            </w:r>
          </w:p>
        </w:tc>
      </w:tr>
    </w:tbl>
    <w:p/>
    <w:p>
      <w:pPr>
        <w:pStyle w:val="ListBullet"/>
        <w:ind w:left="288" w:hanging="216"/>
      </w:pPr>
      <w:r>
        <w:t>Golden Set 来源：真实历史 Case、专家构造 Case、人工边界 Case、线上 Bad Case；</w:t>
      </w:r>
    </w:p>
    <w:p>
      <w:pPr>
        <w:pStyle w:val="ListBullet"/>
        <w:ind w:left="288" w:hanging="216"/>
      </w:pPr>
      <w:r>
        <w:t>专项集用于 Intent、Tool Routing、空间边界、权限、Retry 等定向回归；</w:t>
      </w:r>
    </w:p>
    <w:p>
      <w:pPr>
        <w:pStyle w:val="ListBullet"/>
        <w:ind w:left="288" w:hanging="216"/>
      </w:pPr>
      <w:r>
        <w:t>评测集拆为 Calibration Set 与 Locked Regression Set；</w:t>
      </w:r>
    </w:p>
    <w:p>
      <w:pPr>
        <w:pStyle w:val="ListBullet"/>
        <w:ind w:left="288" w:hanging="216"/>
      </w:pPr>
      <w:r>
        <w:t>Bad Case 经专家确认后进入回归集，避免同类错误重复出现。</w:t>
      </w:r>
    </w:p>
    <w:p>
      <w:pPr>
        <w:pStyle w:val="Heading1"/>
        <w:pBdr>
          <w:bottom w:val="single" w:sz="8" w:space="1" w:color="2E6F5E"/>
        </w:pBdr>
      </w:pPr>
      <w:r>
        <w:t>9. Demo 页面结构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016"/>
            <w:shd w:fill="2E6F5E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5184"/>
            <w:shd w:fill="2E6F5E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核心内容</w:t>
            </w:r>
          </w:p>
        </w:tc>
        <w:tc>
          <w:tcPr>
            <w:tcW w:type="dxa" w:w="2880"/>
            <w:shd w:fill="2E6F5E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关键动作</w:t>
            </w:r>
          </w:p>
        </w:tc>
      </w:tr>
      <w:tr>
        <w:tc>
          <w:tcPr>
            <w:tcW w:type="dxa" w:w="2016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1 项目方案</w:t>
            </w:r>
          </w:p>
        </w:tc>
        <w:tc>
          <w:tcPr>
            <w:tcW w:type="dxa" w:w="5184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项目、植物清单、场地、位置、设计版本</w:t>
            </w:r>
          </w:p>
        </w:tc>
        <w:tc>
          <w:tcPr>
            <w:tcW w:type="dxa" w:w="2880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导入资料 / 生成基线</w:t>
            </w:r>
          </w:p>
        </w:tc>
      </w:tr>
      <w:tr>
        <w:tc>
          <w:tcPr>
            <w:tcW w:type="dxa" w:w="2016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2 模拟目标</w:t>
            </w:r>
          </w:p>
        </w:tc>
        <w:tc>
          <w:tcPr>
            <w:tcW w:type="dxa" w:w="5184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自然语言目标与结构化理解</w:t>
            </w:r>
          </w:p>
        </w:tc>
        <w:tc>
          <w:tcPr>
            <w:tcW w:type="dxa" w:w="2880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确认 / 多轮补充</w:t>
            </w:r>
          </w:p>
        </w:tc>
      </w:tr>
      <w:tr>
        <w:tc>
          <w:tcPr>
            <w:tcW w:type="dxa" w:w="2016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3 未来蓝图</w:t>
            </w:r>
          </w:p>
        </w:tc>
        <w:tc>
          <w:tcPr>
            <w:tcW w:type="dxa" w:w="5184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蓝图、路径、因素关系、任务卡参数</w:t>
            </w:r>
          </w:p>
        </w:tc>
        <w:tc>
          <w:tcPr>
            <w:tcW w:type="dxa" w:w="2880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编辑路径 / 开始模拟</w:t>
            </w:r>
          </w:p>
        </w:tc>
      </w:tr>
      <w:tr>
        <w:tc>
          <w:tcPr>
            <w:tcW w:type="dxa" w:w="2016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4 模拟运行</w:t>
            </w:r>
          </w:p>
        </w:tc>
        <w:tc>
          <w:tcPr>
            <w:tcW w:type="dxa" w:w="5184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时间轴、各节点状态、异常恢复</w:t>
            </w:r>
          </w:p>
        </w:tc>
        <w:tc>
          <w:tcPr>
            <w:tcW w:type="dxa" w:w="2880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查看进度 / 展开运行详情</w:t>
            </w:r>
          </w:p>
        </w:tc>
      </w:tr>
      <w:tr>
        <w:tc>
          <w:tcPr>
            <w:tcW w:type="dxa" w:w="2016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5 结果与风险</w:t>
            </w:r>
          </w:p>
        </w:tc>
        <w:tc>
          <w:tcPr>
            <w:tcW w:type="dxa" w:w="5184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地图、时间线、风险卡、养护结果</w:t>
            </w:r>
          </w:p>
        </w:tc>
        <w:tc>
          <w:tcPr>
            <w:tcW w:type="dxa" w:w="2880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定位问题 / 追问原因</w:t>
            </w:r>
          </w:p>
        </w:tc>
      </w:tr>
      <w:tr>
        <w:tc>
          <w:tcPr>
            <w:tcW w:type="dxa" w:w="2016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6 方案比较</w:t>
            </w:r>
          </w:p>
        </w:tc>
        <w:tc>
          <w:tcPr>
            <w:tcW w:type="dxa" w:w="5184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原方案与优化方案跨未来比较</w:t>
            </w:r>
          </w:p>
        </w:tc>
        <w:tc>
          <w:tcPr>
            <w:tcW w:type="dxa" w:w="2880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修改 / 重新模拟</w:t>
            </w:r>
          </w:p>
        </w:tc>
      </w:tr>
      <w:tr>
        <w:tc>
          <w:tcPr>
            <w:tcW w:type="dxa" w:w="2016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7 运行记录</w:t>
            </w:r>
          </w:p>
        </w:tc>
        <w:tc>
          <w:tcPr>
            <w:tcW w:type="dxa" w:w="5184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Trace、Gate、Tool、Retry、Checkpoint</w:t>
            </w:r>
          </w:p>
        </w:tc>
        <w:tc>
          <w:tcPr>
            <w:tcW w:type="dxa" w:w="2880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回看节点 / 专家模式回溯</w:t>
            </w:r>
          </w:p>
        </w:tc>
      </w:tr>
    </w:tbl>
    <w:p/>
    <w:p>
      <w:pPr>
        <w:pStyle w:val="Heading1"/>
        <w:pBdr>
          <w:bottom w:val="single" w:sz="8" w:space="1" w:color="2E6F5E"/>
        </w:pBdr>
      </w:pPr>
      <w:r>
        <w:t>10. Demo 核心案例</w:t>
      </w:r>
    </w:p>
    <w:p>
      <w:r>
        <w:t>华南某滨水公园入口区：甲方要求未来 3 年形成稳定遮阴，夏季状态不能明显变差，且养护投入不增加。</w:t>
      </w:r>
    </w:p>
    <w:p>
      <w:pPr>
        <w:spacing w:before="80" w:after="120"/>
        <w:ind w:left="360" w:right="216"/>
        <w:shd w:fill="F7F8FA"/>
      </w:pPr>
      <w:r>
        <w:rPr>
          <w:rFonts w:ascii="Noto Sans Mono CJK SC" w:hAnsi="Noto Sans Mono CJK SC" w:eastAsia="Noto Sans Mono CJK SC"/>
          <w:sz w:val="18"/>
        </w:rPr>
        <w:t>目标结构化</w:t>
        <w:br/>
      </w:r>
      <w:r>
        <w:rPr>
          <w:rFonts w:ascii="Noto Sans Mono CJK SC" w:hAnsi="Noto Sans Mono CJK SC" w:eastAsia="Noto Sans Mono CJK SC"/>
          <w:sz w:val="18"/>
        </w:rPr>
        <w:t>→ 生成：正常 / 高温+少雨 / 高温+病害 / 高温+高人流</w:t>
        <w:br/>
      </w:r>
      <w:r>
        <w:rPr>
          <w:rFonts w:ascii="Noto Sans Mono CJK SC" w:hAnsi="Noto Sans Mono CJK SC" w:eastAsia="Noto Sans Mono CJK SC"/>
          <w:sz w:val="18"/>
        </w:rPr>
        <w:t>→ 运行36个月</w:t>
        <w:br/>
      </w:r>
      <w:r>
        <w:rPr>
          <w:rFonts w:ascii="Noto Sans Mono CJK SC" w:hAnsi="Noto Sans Mono CJK SC" w:eastAsia="Noto Sans Mono CJK SC"/>
          <w:sz w:val="18"/>
        </w:rPr>
        <w:t>→ 第2年8月发现入口东侧3株主景乔木在“高温+水分压力+高人流”下风险上升</w:t>
        <w:br/>
      </w:r>
      <w:r>
        <w:rPr>
          <w:rFonts w:ascii="Noto Sans Mono CJK SC" w:hAnsi="Noto Sans Mono CJK SC" w:eastAsia="Noto Sans Mono CJK SC"/>
          <w:sz w:val="18"/>
        </w:rPr>
        <w:t>→ 尝试养护：2株恢复，1株仍恶化</w:t>
        <w:br/>
      </w:r>
      <w:r>
        <w:rPr>
          <w:rFonts w:ascii="Noto Sans Mono CJK SC" w:hAnsi="Noto Sans Mono CJK SC" w:eastAsia="Noto Sans Mono CJK SC"/>
          <w:sz w:val="18"/>
        </w:rPr>
        <w:t>→ 设计师替换3株并调整局部位置</w:t>
        <w:br/>
      </w:r>
      <w:r>
        <w:rPr>
          <w:rFonts w:ascii="Noto Sans Mono CJK SC" w:hAnsi="Noto Sans Mono CJK SC" w:eastAsia="Noto Sans Mono CJK SC"/>
          <w:sz w:val="18"/>
        </w:rPr>
        <w:t>→ 重新模拟</w:t>
        <w:br/>
      </w:r>
      <w:r>
        <w:rPr>
          <w:rFonts w:ascii="Noto Sans Mono CJK SC" w:hAnsi="Noto Sans Mono CJK SC" w:eastAsia="Noto Sans Mono CJK SC"/>
          <w:sz w:val="18"/>
        </w:rPr>
        <w:t>→ 极端未来风险降低、额外养护需求下降</w:t>
        <w:br/>
      </w:r>
      <w:r>
        <w:rPr>
          <w:rFonts w:ascii="Noto Sans Mono CJK SC" w:hAnsi="Noto Sans Mono CJK SC" w:eastAsia="Noto Sans Mono CJK SC"/>
          <w:sz w:val="18"/>
        </w:rPr>
        <w:t>→ 专家与甲方根据多维结果完成取舍</w:t>
      </w:r>
    </w:p>
    <w:p>
      <w:pPr>
        <w:pStyle w:val="Heading1"/>
        <w:pBdr>
          <w:bottom w:val="single" w:sz="8" w:space="1" w:color="2E6F5E"/>
        </w:pBdr>
      </w:pPr>
      <w:r>
        <w:t>11. MVP / Demo 边界</w:t>
      </w:r>
    </w:p>
    <w:p>
      <w:pPr>
        <w:pStyle w:val="Heading2"/>
      </w:pPr>
      <w:r>
        <w:t>11.1 必须真实实现</w:t>
      </w:r>
    </w:p>
    <w:p>
      <w:pPr>
        <w:pStyle w:val="ListBullet"/>
        <w:ind w:left="288" w:hanging="216"/>
      </w:pPr>
      <w:r>
        <w:t>目标结构化、未来蓝图与多路径；</w:t>
      </w:r>
    </w:p>
    <w:p>
      <w:pPr>
        <w:pStyle w:val="ListBullet"/>
        <w:ind w:left="288" w:hanging="216"/>
      </w:pPr>
      <w:r>
        <w:t>参数化未来世界任务卡；</w:t>
      </w:r>
    </w:p>
    <w:p>
      <w:pPr>
        <w:pStyle w:val="ListBullet"/>
        <w:ind w:left="288" w:hanging="216"/>
      </w:pPr>
      <w:r>
        <w:t>Plant / Stress / Human 并行，Maintenance 顺序；</w:t>
      </w:r>
    </w:p>
    <w:p>
      <w:pPr>
        <w:pStyle w:val="ListBullet"/>
        <w:ind w:left="288" w:hanging="216"/>
      </w:pPr>
      <w:r>
        <w:t>Effect Package、State Resolver、Schema、Gate、Agent Trigger；</w:t>
      </w:r>
    </w:p>
    <w:p>
      <w:pPr>
        <w:pStyle w:val="ListBullet"/>
        <w:ind w:left="288" w:hanging="216"/>
      </w:pPr>
      <w:r>
        <w:t>Checkpoint、问题定位、最小回退、有限 Retry、Trace；</w:t>
      </w:r>
    </w:p>
    <w:p>
      <w:pPr>
        <w:pStyle w:val="ListBullet"/>
        <w:ind w:left="288" w:hanging="216"/>
      </w:pPr>
      <w:r>
        <w:t>方案修改后重跑与多方案比较；</w:t>
      </w:r>
    </w:p>
    <w:p>
      <w:pPr>
        <w:pStyle w:val="ListBullet"/>
        <w:ind w:left="288" w:hanging="216"/>
      </w:pPr>
      <w:r>
        <w:t>前端运行日志与节点回看。</w:t>
      </w:r>
    </w:p>
    <w:p>
      <w:pPr>
        <w:pStyle w:val="Heading2"/>
      </w:pPr>
      <w:r>
        <w:t>11.2 可 Mock / 简化</w:t>
      </w:r>
    </w:p>
    <w:p>
      <w:pPr>
        <w:pStyle w:val="ListBullet"/>
        <w:ind w:left="288" w:hanging="216"/>
      </w:pPr>
      <w:r>
        <w:t>复杂 DWG/CAD 自动解析；</w:t>
      </w:r>
    </w:p>
    <w:p>
      <w:pPr>
        <w:pStyle w:val="ListBullet"/>
        <w:ind w:left="288" w:hanging="216"/>
      </w:pPr>
      <w:r>
        <w:t>完整 GIS 与企业系统集成；</w:t>
      </w:r>
    </w:p>
    <w:p>
      <w:pPr>
        <w:pStyle w:val="ListBullet"/>
        <w:ind w:left="288" w:hanging="216"/>
      </w:pPr>
      <w:r>
        <w:t>完整知识图谱平台；</w:t>
      </w:r>
    </w:p>
    <w:p>
      <w:pPr>
        <w:pStyle w:val="ListBullet"/>
        <w:ind w:left="288" w:hanging="216"/>
      </w:pPr>
      <w:r>
        <w:t>真实 10 年天气 API 与完整气候模型；</w:t>
      </w:r>
    </w:p>
    <w:p>
      <w:pPr>
        <w:pStyle w:val="ListBullet"/>
        <w:ind w:left="288" w:hanging="216"/>
      </w:pPr>
      <w:r>
        <w:t>企业级权限、计费、租户隔离。</w:t>
      </w:r>
    </w:p>
    <w:p>
      <w:pPr>
        <w:pStyle w:val="Heading1"/>
        <w:pBdr>
          <w:bottom w:val="single" w:sz="8" w:space="1" w:color="2E6F5E"/>
        </w:pBdr>
      </w:pPr>
      <w:r>
        <w:t>12. 验收原则</w:t>
      </w:r>
    </w:p>
    <w:p>
      <w:pPr>
        <w:pStyle w:val="ListBullet"/>
        <w:ind w:left="288" w:hanging="216"/>
      </w:pPr>
      <w:r>
        <w:t>同一路径内状态只由 State Resolver 更新；</w:t>
      </w:r>
    </w:p>
    <w:p>
      <w:pPr>
        <w:pStyle w:val="ListBullet"/>
        <w:ind w:left="288" w:hanging="216"/>
      </w:pPr>
      <w:r>
        <w:t>不同未来路径状态完全隔离；</w:t>
      </w:r>
    </w:p>
    <w:p>
      <w:pPr>
        <w:pStyle w:val="ListBullet"/>
        <w:ind w:left="288" w:hanging="216"/>
      </w:pPr>
      <w:r>
        <w:t>关键输出结构化且通过 Schema / Gate；</w:t>
      </w:r>
    </w:p>
    <w:p>
      <w:pPr>
        <w:pStyle w:val="ListBullet"/>
        <w:ind w:left="288" w:hanging="216"/>
      </w:pPr>
      <w:r>
        <w:t>异常可定位到 Run / Path / Cycle / Agent / Node / Field；</w:t>
      </w:r>
    </w:p>
    <w:p>
      <w:pPr>
        <w:pStyle w:val="ListBullet"/>
        <w:ind w:left="288" w:hanging="216"/>
      </w:pPr>
      <w:r>
        <w:t>失败优先局部恢复，不能默认整链重跑；</w:t>
      </w:r>
    </w:p>
    <w:p>
      <w:pPr>
        <w:pStyle w:val="ListBullet"/>
        <w:ind w:left="288" w:hanging="216"/>
      </w:pPr>
      <w:r>
        <w:t>用户能够从最终风险回溯到关键判断与状态变化；</w:t>
      </w:r>
    </w:p>
    <w:p>
      <w:pPr>
        <w:pStyle w:val="ListBullet"/>
        <w:ind w:left="288" w:hanging="216"/>
      </w:pPr>
      <w:r>
        <w:t>修改方案后可在相同未来条件下进行公平比较。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969696"/>
        <w:sz w:val="16"/>
      </w:rPr>
      <w:t>内部设计稿 · 用于 Demo 开发与面试说明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828282"/>
        <w:sz w:val="16"/>
      </w:rPr>
      <w:t>PlantSim · Demo 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Noto Sans CJK SC" w:hAnsi="Noto Sans CJK SC" w:eastAsia="Noto Sans CJK SC"/>
      <w:color w:val="2632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6F5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6323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557C9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26323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Small">
    <w:name w:val="Caption Small"/>
    <w:pPr>
      <w:spacing w:after="80"/>
    </w:pPr>
    <w:rPr>
      <w:rFonts w:ascii="Noto Sans CJK SC" w:hAnsi="Noto Sans CJK SC" w:eastAsia="Noto Sans CJK SC"/>
      <w:color w:val="646464"/>
      <w:sz w:val="17"/>
    </w:rPr>
  </w:style>
  <w:style w:type="paragraph" w:customStyle="1" w:styleId="Callout">
    <w:name w:val="Callout"/>
    <w:pPr>
      <w:spacing w:before="120" w:after="120"/>
      <w:ind w:left="259"/>
    </w:pPr>
    <w:rPr>
      <w:rFonts w:ascii="Noto Sans CJK SC" w:hAnsi="Noto Sans CJK SC" w:eastAsia="Noto Sans CJK SC"/>
      <w:b/>
      <w:color w:val="2E6F5E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