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CB26" w14:textId="77777777" w:rsidR="006C0798" w:rsidRPr="006C0798" w:rsidRDefault="006C0798" w:rsidP="006C0798">
      <w:pPr>
        <w:jc w:val="center"/>
        <w:rPr>
          <w:b/>
          <w:bCs/>
          <w:sz w:val="32"/>
          <w:szCs w:val="32"/>
        </w:rPr>
      </w:pPr>
      <w:r w:rsidRPr="006C0798">
        <w:rPr>
          <w:b/>
          <w:bCs/>
          <w:sz w:val="32"/>
          <w:szCs w:val="32"/>
        </w:rPr>
        <w:t>B. PREMIUM PRICING MODEL</w:t>
      </w:r>
    </w:p>
    <w:p w14:paraId="4B4553B6" w14:textId="77777777" w:rsidR="006C0798" w:rsidRPr="006C0798" w:rsidRDefault="006C0798" w:rsidP="006C0798">
      <w:pPr>
        <w:rPr>
          <w:b/>
          <w:bCs/>
        </w:rPr>
      </w:pPr>
      <w:r w:rsidRPr="006C0798">
        <w:rPr>
          <w:b/>
          <w:bCs/>
        </w:rPr>
        <w:t>Parametric Income Protection for Gig Delivery Workers</w:t>
      </w:r>
    </w:p>
    <w:p w14:paraId="3DA93DF7" w14:textId="77777777" w:rsidR="006C0798" w:rsidRPr="006C0798" w:rsidRDefault="00286812" w:rsidP="006C0798">
      <w:r w:rsidRPr="006C0798">
        <w:rPr>
          <w:noProof/>
        </w:rPr>
        <w:pict w14:anchorId="18EF24E1">
          <v:rect id="_x0000_i1052" style="width:0;height:1.5pt" o:hralign="center" o:hrstd="t" o:hr="t" fillcolor="#a0a0a0" stroked="f"/>
        </w:pict>
      </w:r>
    </w:p>
    <w:p w14:paraId="20BB0632" w14:textId="77777777" w:rsidR="006C0798" w:rsidRPr="006C0798" w:rsidRDefault="006C0798" w:rsidP="006C0798">
      <w:pPr>
        <w:rPr>
          <w:b/>
          <w:bCs/>
        </w:rPr>
      </w:pPr>
      <w:r w:rsidRPr="006C0798">
        <w:rPr>
          <w:b/>
          <w:bCs/>
        </w:rPr>
        <w:t>1. Pricing Objective</w:t>
      </w:r>
    </w:p>
    <w:p w14:paraId="41E9815C" w14:textId="77777777" w:rsidR="006C0798" w:rsidRPr="006C0798" w:rsidRDefault="006C0798" w:rsidP="006C0798">
      <w:r w:rsidRPr="006C0798">
        <w:t>The premium pricing model is designed to estimate the </w:t>
      </w:r>
      <w:r w:rsidRPr="006C0798">
        <w:rPr>
          <w:b/>
          <w:bCs/>
        </w:rPr>
        <w:t>financial risk associated with income loss</w:t>
      </w:r>
      <w:r w:rsidRPr="006C0798">
        <w:t> due to external disruptions and convert this risk into a </w:t>
      </w:r>
      <w:r w:rsidRPr="006C0798">
        <w:rPr>
          <w:b/>
          <w:bCs/>
        </w:rPr>
        <w:t>weekly insurance premium</w:t>
      </w:r>
      <w:r w:rsidRPr="006C0798">
        <w:t>.</w:t>
      </w:r>
    </w:p>
    <w:p w14:paraId="36146E0E" w14:textId="77777777" w:rsidR="006C0798" w:rsidRPr="006C0798" w:rsidRDefault="006C0798" w:rsidP="006C0798">
      <w:r w:rsidRPr="006C0798">
        <w:t>The model ensures:</w:t>
      </w:r>
    </w:p>
    <w:p w14:paraId="48CEDB70" w14:textId="77777777" w:rsidR="006C0798" w:rsidRPr="006C0798" w:rsidRDefault="006C0798" w:rsidP="006C0798">
      <w:pPr>
        <w:numPr>
          <w:ilvl w:val="0"/>
          <w:numId w:val="1"/>
        </w:numPr>
      </w:pPr>
      <w:r w:rsidRPr="006C0798">
        <w:t>actuarial soundness (expected loss coverage)</w:t>
      </w:r>
    </w:p>
    <w:p w14:paraId="42C5350C" w14:textId="77777777" w:rsidR="006C0798" w:rsidRPr="006C0798" w:rsidRDefault="006C0798" w:rsidP="006C0798">
      <w:pPr>
        <w:numPr>
          <w:ilvl w:val="0"/>
          <w:numId w:val="1"/>
        </w:numPr>
      </w:pPr>
      <w:r w:rsidRPr="006C0798">
        <w:t>affordability for gig workers</w:t>
      </w:r>
    </w:p>
    <w:p w14:paraId="2290F3A3" w14:textId="77777777" w:rsidR="006C0798" w:rsidRPr="006C0798" w:rsidRDefault="006C0798" w:rsidP="006C0798">
      <w:pPr>
        <w:numPr>
          <w:ilvl w:val="0"/>
          <w:numId w:val="1"/>
        </w:numPr>
      </w:pPr>
      <w:r w:rsidRPr="006C0798">
        <w:t>financial sustainability for the insurer</w:t>
      </w:r>
    </w:p>
    <w:p w14:paraId="2DDF8BBC" w14:textId="77777777" w:rsidR="006C0798" w:rsidRPr="006C0798" w:rsidRDefault="006C0798" w:rsidP="006C0798">
      <w:r w:rsidRPr="006C0798">
        <w:t>The pricing approach follows </w:t>
      </w:r>
      <w:r w:rsidRPr="006C0798">
        <w:rPr>
          <w:b/>
          <w:bCs/>
        </w:rPr>
        <w:t>standard actuarial ratemaking principles</w:t>
      </w:r>
      <w:r w:rsidRPr="006C0798">
        <w:t>, where premiums are derived from expected future losses and associated costs.</w:t>
      </w:r>
    </w:p>
    <w:p w14:paraId="740064C4" w14:textId="77777777" w:rsidR="006C0798" w:rsidRPr="006C0798" w:rsidRDefault="00286812" w:rsidP="006C0798">
      <w:r w:rsidRPr="00286812">
        <w:rPr>
          <w:noProof/>
        </w:rPr>
        <w:pict w14:anchorId="706325BA">
          <v:rect id="_x0000_i1051" alt="" style="width:451.3pt;height:.05pt;mso-width-percent:0;mso-height-percent:0;mso-width-percent:0;mso-height-percent:0" o:hralign="center" o:hrstd="t" o:hr="t" fillcolor="#a0a0a0" stroked="f"/>
        </w:pict>
      </w:r>
    </w:p>
    <w:p w14:paraId="4E269941" w14:textId="77777777" w:rsidR="006C0798" w:rsidRPr="006C0798" w:rsidRDefault="006C0798" w:rsidP="006C0798">
      <w:pPr>
        <w:rPr>
          <w:b/>
          <w:bCs/>
        </w:rPr>
      </w:pPr>
      <w:r w:rsidRPr="006C0798">
        <w:rPr>
          <w:b/>
          <w:bCs/>
        </w:rPr>
        <w:t>2. Actuarial Pricing Framework</w:t>
      </w:r>
    </w:p>
    <w:p w14:paraId="39D23B97" w14:textId="77777777" w:rsidR="006C0798" w:rsidRPr="006C0798" w:rsidRDefault="006C0798" w:rsidP="006C0798">
      <w:pPr>
        <w:rPr>
          <w:b/>
          <w:bCs/>
        </w:rPr>
      </w:pPr>
      <w:r w:rsidRPr="006C0798">
        <w:rPr>
          <w:b/>
          <w:bCs/>
        </w:rPr>
        <w:t>2.1 Fundamental Pricing Equation</w:t>
      </w:r>
    </w:p>
    <w:p w14:paraId="5144D5B0" w14:textId="191252BA" w:rsidR="006C0798" w:rsidRPr="006C0798" w:rsidRDefault="006C0798" w:rsidP="006C0798">
      <m:oMathPara>
        <m:oMath>
          <m:r>
            <m:rPr>
              <m:nor/>
            </m:rPr>
            <m:t>Premium</m:t>
          </m:r>
          <m:r>
            <w:rPr>
              <w:rFonts w:ascii="Cambria Math" w:hAnsi="Cambria Math"/>
            </w:rPr>
            <m:t>=</m:t>
          </m:r>
          <m:r>
            <m:rPr>
              <m:nor/>
            </m:rPr>
            <m:t>Expected Loss</m:t>
          </m:r>
          <m:r>
            <w:rPr>
              <w:rFonts w:ascii="Cambria Math" w:hAnsi="Cambria Math"/>
            </w:rPr>
            <m:t>+</m:t>
          </m:r>
          <m:r>
            <m:rPr>
              <m:nor/>
            </m:rPr>
            <m:t>Expense Loading</m:t>
          </m:r>
          <m:r>
            <w:rPr>
              <w:rFonts w:ascii="Cambria Math" w:hAnsi="Cambria Math"/>
            </w:rPr>
            <m:t>+</m:t>
          </m:r>
          <m:r>
            <m:rPr>
              <m:nor/>
            </m:rPr>
            <m:t>Risk Margin</m:t>
          </m:r>
          <m:r>
            <w:br/>
          </m:r>
        </m:oMath>
      </m:oMathPara>
    </w:p>
    <w:p w14:paraId="58C6A5DD" w14:textId="77777777" w:rsidR="006C0798" w:rsidRPr="006C0798" w:rsidRDefault="006C0798" w:rsidP="006C0798">
      <w:r w:rsidRPr="006C0798">
        <w:t>This formulation is widely used in actuarial science, where:</w:t>
      </w:r>
    </w:p>
    <w:p w14:paraId="57D602D3" w14:textId="77777777" w:rsidR="006C0798" w:rsidRPr="006C0798" w:rsidRDefault="006C0798" w:rsidP="006C0798">
      <w:pPr>
        <w:numPr>
          <w:ilvl w:val="0"/>
          <w:numId w:val="2"/>
        </w:numPr>
      </w:pPr>
      <w:r w:rsidRPr="006C0798">
        <w:t>the </w:t>
      </w:r>
      <w:r w:rsidRPr="006C0798">
        <w:rPr>
          <w:b/>
          <w:bCs/>
        </w:rPr>
        <w:t>pure premium</w:t>
      </w:r>
      <w:r w:rsidRPr="006C0798">
        <w:t> represents expected loss</w:t>
      </w:r>
    </w:p>
    <w:p w14:paraId="483735F0" w14:textId="77777777" w:rsidR="006C0798" w:rsidRPr="006C0798" w:rsidRDefault="006C0798" w:rsidP="006C0798">
      <w:pPr>
        <w:numPr>
          <w:ilvl w:val="0"/>
          <w:numId w:val="2"/>
        </w:numPr>
      </w:pPr>
      <w:r w:rsidRPr="006C0798">
        <w:t>additional loadings account for uncertainty and operational expenses</w:t>
      </w:r>
    </w:p>
    <w:p w14:paraId="091D1780" w14:textId="77777777" w:rsidR="006C0798" w:rsidRPr="006C0798" w:rsidRDefault="006C0798" w:rsidP="006C0798">
      <w:r w:rsidRPr="006C0798">
        <w:t>The pure premium is defined as:</w:t>
      </w:r>
    </w:p>
    <w:p w14:paraId="3C1B3EC6" w14:textId="5FD4D2FD" w:rsidR="006C0798" w:rsidRPr="006C0798" w:rsidRDefault="006C0798" w:rsidP="006C0798">
      <m:oMathPara>
        <m:oMath>
          <m:r>
            <m:rPr>
              <m:nor/>
            </m:rPr>
            <m:t>Expected Loss</m:t>
          </m:r>
          <m:r>
            <w:rPr>
              <w:rFonts w:ascii="Cambria Math" w:hAnsi="Cambria Math"/>
            </w:rPr>
            <m:t>=</m:t>
          </m:r>
          <m:r>
            <m:rPr>
              <m:nor/>
            </m:rPr>
            <m:t>Frequency of Loss</m:t>
          </m:r>
          <m:r>
            <w:rPr>
              <w:rFonts w:ascii="Cambria Math" w:hAnsi="Cambria Math"/>
            </w:rPr>
            <m:t>×</m:t>
          </m:r>
          <m:r>
            <m:rPr>
              <m:nor/>
            </m:rPr>
            <m:t>Severity of Loss</m:t>
          </m:r>
          <m:r>
            <w:br/>
          </m:r>
        </m:oMath>
      </m:oMathPara>
    </w:p>
    <w:p w14:paraId="7C441163" w14:textId="77777777" w:rsidR="006C0798" w:rsidRPr="006C0798" w:rsidRDefault="006C0798" w:rsidP="006C0798">
      <w:r w:rsidRPr="006C0798">
        <w:t>This principle is standard in insurance pricing theory [1][2].</w:t>
      </w:r>
    </w:p>
    <w:p w14:paraId="5A5BEC8A" w14:textId="77777777" w:rsidR="006C0798" w:rsidRPr="006C0798" w:rsidRDefault="00286812" w:rsidP="006C0798">
      <w:r w:rsidRPr="006C0798">
        <w:rPr>
          <w:noProof/>
        </w:rPr>
        <w:pict w14:anchorId="6AEAB55A">
          <v:rect id="_x0000_i1050" alt="" style="width:451.3pt;height:.05pt;mso-width-percent:0;mso-height-percent:0;mso-width-percent:0;mso-height-percent:0" o:hralign="center" o:hrstd="t" o:hr="t" fillcolor="#a0a0a0" stroked="f"/>
        </w:pict>
      </w:r>
    </w:p>
    <w:p w14:paraId="138E416D" w14:textId="77777777" w:rsidR="006C0798" w:rsidRPr="006C0798" w:rsidRDefault="006C0798" w:rsidP="006C0798">
      <w:pPr>
        <w:rPr>
          <w:b/>
          <w:bCs/>
        </w:rPr>
      </w:pPr>
      <w:r w:rsidRPr="006C0798">
        <w:rPr>
          <w:b/>
          <w:bCs/>
        </w:rPr>
        <w:t>2.2 Expected Loss Definition</w:t>
      </w:r>
    </w:p>
    <w:p w14:paraId="5370BD86" w14:textId="77777777" w:rsidR="006C0798" w:rsidRPr="006C0798" w:rsidRDefault="006C0798" w:rsidP="006C0798">
      <w:r w:rsidRPr="006C0798">
        <w:t>Expected loss represents the </w:t>
      </w:r>
      <w:r w:rsidRPr="006C0798">
        <w:rPr>
          <w:b/>
          <w:bCs/>
        </w:rPr>
        <w:t>average payout per policyholder over a defined period</w:t>
      </w:r>
      <w:r w:rsidRPr="006C0798">
        <w:t>, calculated using probability and historical data.</w:t>
      </w:r>
    </w:p>
    <w:p w14:paraId="2723B019" w14:textId="50FBCBDE" w:rsidR="006C0798" w:rsidRPr="006C0798" w:rsidRDefault="006C0798" w:rsidP="006C0798">
      <m:oMathPara>
        <m:oMath>
          <m:r>
            <w:rPr>
              <w:rFonts w:ascii="Cambria Math" w:hAnsi="Cambria Math"/>
            </w:rPr>
            <w:lastRenderedPageBreak/>
            <m:t>E[L]=P(</m:t>
          </m:r>
          <m:r>
            <m:rPr>
              <m:nor/>
            </m:rPr>
            <m:t>Loss Event</m:t>
          </m:r>
          <m:r>
            <w:rPr>
              <w:rFonts w:ascii="Cambria Math" w:hAnsi="Cambria Math"/>
            </w:rPr>
            <m:t>)×</m:t>
          </m:r>
          <m:r>
            <m:rPr>
              <m:nor/>
            </m:rPr>
            <m:t>Loss Amount</m:t>
          </m:r>
          <m:r>
            <w:br/>
          </m:r>
        </m:oMath>
      </m:oMathPara>
    </w:p>
    <w:p w14:paraId="1F277092" w14:textId="77777777" w:rsidR="006C0798" w:rsidRPr="006C0798" w:rsidRDefault="006C0798" w:rsidP="006C0798">
      <w:r w:rsidRPr="006C0798">
        <w:t>Actuarial literature defines this as the </w:t>
      </w:r>
      <w:r w:rsidRPr="006C0798">
        <w:rPr>
          <w:b/>
          <w:bCs/>
        </w:rPr>
        <w:t>expected value of future claims</w:t>
      </w:r>
      <w:r w:rsidRPr="006C0798">
        <w:t>, forming the foundation of premium calculation [3][4].</w:t>
      </w:r>
    </w:p>
    <w:p w14:paraId="47166170" w14:textId="77777777" w:rsidR="006C0798" w:rsidRPr="006C0798" w:rsidRDefault="00286812" w:rsidP="006C0798">
      <w:r w:rsidRPr="006C0798">
        <w:rPr>
          <w:noProof/>
        </w:rPr>
        <w:pict w14:anchorId="67DE5514">
          <v:rect id="_x0000_i1049" style="width:0;height:1.5pt" o:hralign="center" o:hrstd="t" o:hr="t" fillcolor="#a0a0a0" stroked="f"/>
        </w:pict>
      </w:r>
    </w:p>
    <w:p w14:paraId="40A4DBB5" w14:textId="77777777" w:rsidR="006C0798" w:rsidRPr="006C0798" w:rsidRDefault="006C0798" w:rsidP="006C0798">
      <w:pPr>
        <w:rPr>
          <w:b/>
          <w:bCs/>
        </w:rPr>
      </w:pPr>
      <w:r w:rsidRPr="006C0798">
        <w:rPr>
          <w:b/>
          <w:bCs/>
        </w:rPr>
        <w:t>3. Parametric Insurance Pricing Characteristics</w:t>
      </w:r>
    </w:p>
    <w:p w14:paraId="0F8D7650" w14:textId="77777777" w:rsidR="006C0798" w:rsidRPr="006C0798" w:rsidRDefault="006C0798" w:rsidP="006C0798">
      <w:r w:rsidRPr="006C0798">
        <w:t>Parametric insurance differs from traditional indemnity insurance in that:</w:t>
      </w:r>
    </w:p>
    <w:p w14:paraId="4100A072" w14:textId="77777777" w:rsidR="006C0798" w:rsidRPr="006C0798" w:rsidRDefault="006C0798" w:rsidP="006C0798">
      <w:pPr>
        <w:numPr>
          <w:ilvl w:val="0"/>
          <w:numId w:val="3"/>
        </w:numPr>
      </w:pPr>
      <w:r w:rsidRPr="006C0798">
        <w:t>payouts are triggered by </w:t>
      </w:r>
      <w:r w:rsidRPr="006C0798">
        <w:rPr>
          <w:b/>
          <w:bCs/>
        </w:rPr>
        <w:t>predefined measurable parameters</w:t>
      </w:r>
    </w:p>
    <w:p w14:paraId="501816E5" w14:textId="77777777" w:rsidR="006C0798" w:rsidRPr="006C0798" w:rsidRDefault="006C0798" w:rsidP="006C0798">
      <w:pPr>
        <w:numPr>
          <w:ilvl w:val="0"/>
          <w:numId w:val="3"/>
        </w:numPr>
      </w:pPr>
      <w:r w:rsidRPr="006C0798">
        <w:t>no post-event loss verification is required</w:t>
      </w:r>
    </w:p>
    <w:p w14:paraId="47333518" w14:textId="77777777" w:rsidR="006C0798" w:rsidRPr="006C0798" w:rsidRDefault="006C0798" w:rsidP="006C0798">
      <w:r w:rsidRPr="006C0798">
        <w:t>In such systems, pricing depends on:</w:t>
      </w:r>
    </w:p>
    <w:p w14:paraId="1288B4C2" w14:textId="77777777" w:rsidR="006C0798" w:rsidRPr="006C0798" w:rsidRDefault="006C0798" w:rsidP="006C0798">
      <w:pPr>
        <w:numPr>
          <w:ilvl w:val="0"/>
          <w:numId w:val="4"/>
        </w:numPr>
      </w:pPr>
      <w:r w:rsidRPr="006C0798">
        <w:t>probability of trigger occurrence</w:t>
      </w:r>
    </w:p>
    <w:p w14:paraId="218B448E" w14:textId="77777777" w:rsidR="006C0798" w:rsidRPr="006C0798" w:rsidRDefault="006C0798" w:rsidP="006C0798">
      <w:pPr>
        <w:numPr>
          <w:ilvl w:val="0"/>
          <w:numId w:val="4"/>
        </w:numPr>
      </w:pPr>
      <w:r w:rsidRPr="006C0798">
        <w:t>predefined payout amount</w:t>
      </w:r>
    </w:p>
    <w:p w14:paraId="76D1B966" w14:textId="77777777" w:rsidR="006C0798" w:rsidRPr="006C0798" w:rsidRDefault="006C0798" w:rsidP="006C0798">
      <w:r w:rsidRPr="006C0798">
        <w:t>Parametric insurance pricing therefore relies directly on </w:t>
      </w:r>
      <w:r w:rsidRPr="006C0798">
        <w:rPr>
          <w:b/>
          <w:bCs/>
        </w:rPr>
        <w:t>event frequency and payout structure</w:t>
      </w:r>
      <w:r w:rsidRPr="006C0798">
        <w:t>, rather than claim assessment [5][6].</w:t>
      </w:r>
    </w:p>
    <w:p w14:paraId="66C278A3" w14:textId="77777777" w:rsidR="006C0798" w:rsidRPr="006C0798" w:rsidRDefault="00286812" w:rsidP="006C0798">
      <w:r w:rsidRPr="006C0798">
        <w:rPr>
          <w:noProof/>
        </w:rPr>
        <w:pict w14:anchorId="5E30D2CC">
          <v:rect id="_x0000_i1048" style="width:0;height:1.5pt" o:hralign="center" o:hrstd="t" o:hr="t" fillcolor="#a0a0a0" stroked="f"/>
        </w:pict>
      </w:r>
    </w:p>
    <w:p w14:paraId="4D9AE559" w14:textId="77777777" w:rsidR="006C0798" w:rsidRPr="006C0798" w:rsidRDefault="006C0798" w:rsidP="006C0798">
      <w:pPr>
        <w:rPr>
          <w:b/>
          <w:bCs/>
        </w:rPr>
      </w:pPr>
      <w:r w:rsidRPr="006C0798">
        <w:rPr>
          <w:b/>
          <w:bCs/>
        </w:rPr>
        <w:t>3.1 Operational Efficiency Advantage</w:t>
      </w:r>
    </w:p>
    <w:p w14:paraId="4A5D62E5" w14:textId="77777777" w:rsidR="006C0798" w:rsidRPr="006C0798" w:rsidRDefault="006C0798" w:rsidP="006C0798">
      <w:r w:rsidRPr="006C0798">
        <w:t>Parametric models eliminate:</w:t>
      </w:r>
    </w:p>
    <w:p w14:paraId="7BA7C3AE" w14:textId="77777777" w:rsidR="006C0798" w:rsidRPr="006C0798" w:rsidRDefault="006C0798" w:rsidP="006C0798">
      <w:pPr>
        <w:numPr>
          <w:ilvl w:val="0"/>
          <w:numId w:val="5"/>
        </w:numPr>
      </w:pPr>
      <w:r w:rsidRPr="006C0798">
        <w:t>claim investigation costs</w:t>
      </w:r>
    </w:p>
    <w:p w14:paraId="6E0AD7E7" w14:textId="77777777" w:rsidR="006C0798" w:rsidRPr="006C0798" w:rsidRDefault="006C0798" w:rsidP="006C0798">
      <w:pPr>
        <w:numPr>
          <w:ilvl w:val="0"/>
          <w:numId w:val="5"/>
        </w:numPr>
      </w:pPr>
      <w:r w:rsidRPr="006C0798">
        <w:t>loss assessment uncertainty</w:t>
      </w:r>
    </w:p>
    <w:p w14:paraId="3109B620" w14:textId="77777777" w:rsidR="006C0798" w:rsidRPr="006C0798" w:rsidRDefault="006C0798" w:rsidP="006C0798">
      <w:r w:rsidRPr="006C0798">
        <w:t>This reduces operational expenses and simplifies pricing structures compared to traditional insurance models [6].</w:t>
      </w:r>
    </w:p>
    <w:p w14:paraId="5C9CB12E" w14:textId="77777777" w:rsidR="006C0798" w:rsidRPr="006C0798" w:rsidRDefault="00286812" w:rsidP="006C0798">
      <w:r w:rsidRPr="006C0798">
        <w:rPr>
          <w:noProof/>
        </w:rPr>
        <w:pict w14:anchorId="49094B04">
          <v:rect id="_x0000_i1047" alt="" style="width:451.3pt;height:.05pt;mso-width-percent:0;mso-height-percent:0;mso-width-percent:0;mso-height-percent:0" o:hralign="center" o:hrstd="t" o:hr="t" fillcolor="#a0a0a0" stroked="f"/>
        </w:pict>
      </w:r>
    </w:p>
    <w:p w14:paraId="02461D76" w14:textId="77777777" w:rsidR="006C0798" w:rsidRPr="006C0798" w:rsidRDefault="006C0798" w:rsidP="006C0798">
      <w:pPr>
        <w:rPr>
          <w:b/>
          <w:bCs/>
        </w:rPr>
      </w:pPr>
      <w:r w:rsidRPr="006C0798">
        <w:rPr>
          <w:b/>
          <w:bCs/>
        </w:rPr>
        <w:t>4. Expected Loss Estimation for Gig Workers</w:t>
      </w:r>
    </w:p>
    <w:p w14:paraId="56E4F2FC" w14:textId="77777777" w:rsidR="006C0798" w:rsidRPr="006C0798" w:rsidRDefault="00286812" w:rsidP="006C0798">
      <w:r w:rsidRPr="006C0798">
        <w:rPr>
          <w:noProof/>
        </w:rPr>
        <w:pict w14:anchorId="198F98FB">
          <v:rect id="_x0000_i1046" style="width:0;height:1.5pt" o:hralign="center" o:hrstd="t" o:hr="t" fillcolor="#a0a0a0" stroked="f"/>
        </w:pict>
      </w:r>
    </w:p>
    <w:p w14:paraId="284A9374" w14:textId="77777777" w:rsidR="006C0798" w:rsidRPr="006C0798" w:rsidRDefault="006C0798" w:rsidP="006C0798">
      <w:pPr>
        <w:rPr>
          <w:b/>
          <w:bCs/>
        </w:rPr>
      </w:pPr>
      <w:r w:rsidRPr="006C0798">
        <w:rPr>
          <w:b/>
          <w:bCs/>
        </w:rPr>
        <w:t>4.1 Baseline Income (From Dataset)</w:t>
      </w:r>
    </w:p>
    <w:p w14:paraId="500794D1" w14:textId="77777777" w:rsidR="006C0798" w:rsidRPr="006C0798" w:rsidRDefault="006C0798" w:rsidP="006C0798">
      <w:r w:rsidRPr="006C0798">
        <w:t>From the cross-platform dataset:</w:t>
      </w:r>
    </w:p>
    <w:p w14:paraId="4DE5014C" w14:textId="77777777" w:rsidR="006C0798" w:rsidRPr="006C0798" w:rsidRDefault="006C0798" w:rsidP="006C0798">
      <w:pPr>
        <w:numPr>
          <w:ilvl w:val="0"/>
          <w:numId w:val="6"/>
        </w:numPr>
      </w:pPr>
      <w:r w:rsidRPr="006C0798">
        <w:t>Daily income range: ₹560 – ₹3000 [7]</w:t>
      </w:r>
    </w:p>
    <w:p w14:paraId="656FA59C" w14:textId="77777777" w:rsidR="006C0798" w:rsidRPr="006C0798" w:rsidRDefault="006C0798" w:rsidP="006C0798">
      <w:pPr>
        <w:numPr>
          <w:ilvl w:val="0"/>
          <w:numId w:val="6"/>
        </w:numPr>
      </w:pPr>
      <w:r w:rsidRPr="006C0798">
        <w:t>Average daily income: ₹1350 [7]</w:t>
      </w:r>
    </w:p>
    <w:p w14:paraId="07314C2F" w14:textId="77777777" w:rsidR="006C0798" w:rsidRPr="006C0798" w:rsidRDefault="00286812" w:rsidP="006C0798">
      <w:r w:rsidRPr="006C0798">
        <w:rPr>
          <w:noProof/>
        </w:rPr>
        <w:pict w14:anchorId="3FD4A1BF">
          <v:rect id="_x0000_i1045" style="width:0;height:1.5pt" o:hralign="center" o:hrstd="t" o:hr="t" fillcolor="#a0a0a0" stroked="f"/>
        </w:pict>
      </w:r>
    </w:p>
    <w:p w14:paraId="094459E1" w14:textId="77777777" w:rsidR="006C0798" w:rsidRPr="006C0798" w:rsidRDefault="006C0798" w:rsidP="006C0798">
      <w:pPr>
        <w:rPr>
          <w:b/>
          <w:bCs/>
        </w:rPr>
      </w:pPr>
      <w:r w:rsidRPr="006C0798">
        <w:rPr>
          <w:b/>
          <w:bCs/>
        </w:rPr>
        <w:t>4.2 Income Loss per Disruption</w:t>
      </w:r>
    </w:p>
    <w:p w14:paraId="1E38C610" w14:textId="77777777" w:rsidR="006C0798" w:rsidRPr="006C0798" w:rsidRDefault="006C0798" w:rsidP="006C0798">
      <w:r w:rsidRPr="006C0798">
        <w:lastRenderedPageBreak/>
        <w:t>Empirical observations across platforms show:</w:t>
      </w:r>
    </w:p>
    <w:p w14:paraId="03130592" w14:textId="77777777" w:rsidR="006C0798" w:rsidRPr="006C0798" w:rsidRDefault="006C0798" w:rsidP="006C0798">
      <w:pPr>
        <w:numPr>
          <w:ilvl w:val="0"/>
          <w:numId w:val="7"/>
        </w:numPr>
      </w:pPr>
      <w:r w:rsidRPr="006C0798">
        <w:t>income reduction of </w:t>
      </w:r>
      <w:r w:rsidRPr="006C0798">
        <w:rPr>
          <w:b/>
          <w:bCs/>
        </w:rPr>
        <w:t>30%–60%</w:t>
      </w:r>
      <w:r w:rsidRPr="006C0798">
        <w:t> during disruptions</w:t>
      </w:r>
    </w:p>
    <w:p w14:paraId="0BC95688" w14:textId="77777777" w:rsidR="006C0798" w:rsidRPr="006C0798" w:rsidRDefault="006C0798" w:rsidP="006C0798">
      <w:pPr>
        <w:numPr>
          <w:ilvl w:val="0"/>
          <w:numId w:val="7"/>
        </w:numPr>
      </w:pPr>
      <w:r w:rsidRPr="006C0798">
        <w:t>resulting loss range: ₹400 – ₹900 per day [8][9][10]</w:t>
      </w:r>
    </w:p>
    <w:p w14:paraId="4609647E" w14:textId="77777777" w:rsidR="006C0798" w:rsidRPr="006C0798" w:rsidRDefault="00286812" w:rsidP="006C0798">
      <w:r w:rsidRPr="006C0798">
        <w:rPr>
          <w:noProof/>
        </w:rPr>
        <w:pict w14:anchorId="0A381DB5">
          <v:rect id="_x0000_i1044" style="width:0;height:1.5pt" o:hralign="center" o:hrstd="t" o:hr="t" fillcolor="#a0a0a0" stroked="f"/>
        </w:pict>
      </w:r>
    </w:p>
    <w:p w14:paraId="7161125F" w14:textId="77777777" w:rsidR="006C0798" w:rsidRPr="006C0798" w:rsidRDefault="006C0798" w:rsidP="006C0798">
      <w:pPr>
        <w:rPr>
          <w:b/>
          <w:bCs/>
        </w:rPr>
      </w:pPr>
      <w:r w:rsidRPr="006C0798">
        <w:rPr>
          <w:b/>
          <w:bCs/>
        </w:rPr>
        <w:t>4.3 Disruption Probability</w:t>
      </w:r>
    </w:p>
    <w:p w14:paraId="340ACAE9" w14:textId="77777777" w:rsidR="006C0798" w:rsidRPr="006C0798" w:rsidRDefault="006C0798" w:rsidP="006C0798">
      <w:r w:rsidRPr="006C0798">
        <w:t>Using environmental and operational risk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4028"/>
        <w:gridCol w:w="2720"/>
      </w:tblGrid>
      <w:tr w:rsidR="006C0798" w:rsidRPr="006C0798" w14:paraId="43EF97F7" w14:textId="77777777">
        <w:trPr>
          <w:tblHeader/>
          <w:tblCellSpacing w:w="15" w:type="dxa"/>
        </w:trPr>
        <w:tc>
          <w:tcPr>
            <w:tcW w:w="0" w:type="auto"/>
            <w:vAlign w:val="center"/>
            <w:hideMark/>
          </w:tcPr>
          <w:p w14:paraId="1D1724FD" w14:textId="77777777" w:rsidR="006C0798" w:rsidRPr="006C0798" w:rsidRDefault="006C0798" w:rsidP="006C0798">
            <w:pPr>
              <w:rPr>
                <w:b/>
                <w:bCs/>
              </w:rPr>
            </w:pPr>
            <w:r w:rsidRPr="006C0798">
              <w:rPr>
                <w:b/>
                <w:bCs/>
              </w:rPr>
              <w:t>Disruption Type</w:t>
            </w:r>
          </w:p>
        </w:tc>
        <w:tc>
          <w:tcPr>
            <w:tcW w:w="0" w:type="auto"/>
            <w:vAlign w:val="center"/>
            <w:hideMark/>
          </w:tcPr>
          <w:p w14:paraId="1BF2B74F" w14:textId="77777777" w:rsidR="006C0798" w:rsidRPr="006C0798" w:rsidRDefault="006C0798" w:rsidP="006C0798">
            <w:pPr>
              <w:rPr>
                <w:b/>
                <w:bCs/>
              </w:rPr>
            </w:pPr>
            <w:r w:rsidRPr="006C0798">
              <w:rPr>
                <w:b/>
                <w:bCs/>
              </w:rPr>
              <w:t>Weekly Probability (Assumed Range)</w:t>
            </w:r>
          </w:p>
        </w:tc>
        <w:tc>
          <w:tcPr>
            <w:tcW w:w="0" w:type="auto"/>
            <w:vAlign w:val="center"/>
            <w:hideMark/>
          </w:tcPr>
          <w:p w14:paraId="496F0A6B" w14:textId="77777777" w:rsidR="006C0798" w:rsidRPr="006C0798" w:rsidRDefault="006C0798" w:rsidP="006C0798">
            <w:pPr>
              <w:rPr>
                <w:b/>
                <w:bCs/>
              </w:rPr>
            </w:pPr>
            <w:r w:rsidRPr="006C0798">
              <w:rPr>
                <w:b/>
                <w:bCs/>
              </w:rPr>
              <w:t>Justification</w:t>
            </w:r>
          </w:p>
        </w:tc>
      </w:tr>
      <w:tr w:rsidR="006C0798" w:rsidRPr="006C0798" w14:paraId="1E7D171E" w14:textId="77777777">
        <w:trPr>
          <w:tblCellSpacing w:w="15" w:type="dxa"/>
        </w:trPr>
        <w:tc>
          <w:tcPr>
            <w:tcW w:w="0" w:type="auto"/>
            <w:vAlign w:val="center"/>
            <w:hideMark/>
          </w:tcPr>
          <w:p w14:paraId="59A5CA8D" w14:textId="77777777" w:rsidR="006C0798" w:rsidRPr="006C0798" w:rsidRDefault="006C0798" w:rsidP="006C0798">
            <w:r w:rsidRPr="006C0798">
              <w:t>Heavy Rain</w:t>
            </w:r>
          </w:p>
        </w:tc>
        <w:tc>
          <w:tcPr>
            <w:tcW w:w="0" w:type="auto"/>
            <w:vAlign w:val="center"/>
            <w:hideMark/>
          </w:tcPr>
          <w:p w14:paraId="48586BAC" w14:textId="77777777" w:rsidR="006C0798" w:rsidRPr="006C0798" w:rsidRDefault="006C0798" w:rsidP="006C0798">
            <w:r w:rsidRPr="006C0798">
              <w:t>0.15 – 0.25</w:t>
            </w:r>
          </w:p>
        </w:tc>
        <w:tc>
          <w:tcPr>
            <w:tcW w:w="0" w:type="auto"/>
            <w:vAlign w:val="center"/>
            <w:hideMark/>
          </w:tcPr>
          <w:p w14:paraId="03278745" w14:textId="77777777" w:rsidR="006C0798" w:rsidRPr="006C0798" w:rsidRDefault="006C0798" w:rsidP="006C0798">
            <w:r w:rsidRPr="006C0798">
              <w:t>frequent monsoon events</w:t>
            </w:r>
          </w:p>
        </w:tc>
      </w:tr>
      <w:tr w:rsidR="006C0798" w:rsidRPr="006C0798" w14:paraId="20A0795D" w14:textId="77777777">
        <w:trPr>
          <w:tblCellSpacing w:w="15" w:type="dxa"/>
        </w:trPr>
        <w:tc>
          <w:tcPr>
            <w:tcW w:w="0" w:type="auto"/>
            <w:vAlign w:val="center"/>
            <w:hideMark/>
          </w:tcPr>
          <w:p w14:paraId="3FECA474" w14:textId="77777777" w:rsidR="006C0798" w:rsidRPr="006C0798" w:rsidRDefault="006C0798" w:rsidP="006C0798">
            <w:r w:rsidRPr="006C0798">
              <w:t>Extreme Heat</w:t>
            </w:r>
          </w:p>
        </w:tc>
        <w:tc>
          <w:tcPr>
            <w:tcW w:w="0" w:type="auto"/>
            <w:vAlign w:val="center"/>
            <w:hideMark/>
          </w:tcPr>
          <w:p w14:paraId="746DDCB7" w14:textId="77777777" w:rsidR="006C0798" w:rsidRPr="006C0798" w:rsidRDefault="006C0798" w:rsidP="006C0798">
            <w:r w:rsidRPr="006C0798">
              <w:t>0.10 – 0.20</w:t>
            </w:r>
          </w:p>
        </w:tc>
        <w:tc>
          <w:tcPr>
            <w:tcW w:w="0" w:type="auto"/>
            <w:vAlign w:val="center"/>
            <w:hideMark/>
          </w:tcPr>
          <w:p w14:paraId="35B94BDF" w14:textId="77777777" w:rsidR="006C0798" w:rsidRPr="006C0798" w:rsidRDefault="006C0798" w:rsidP="006C0798">
            <w:r w:rsidRPr="006C0798">
              <w:t>seasonal heatwaves</w:t>
            </w:r>
          </w:p>
        </w:tc>
      </w:tr>
      <w:tr w:rsidR="006C0798" w:rsidRPr="006C0798" w14:paraId="10B6E205" w14:textId="77777777">
        <w:trPr>
          <w:tblCellSpacing w:w="15" w:type="dxa"/>
        </w:trPr>
        <w:tc>
          <w:tcPr>
            <w:tcW w:w="0" w:type="auto"/>
            <w:vAlign w:val="center"/>
            <w:hideMark/>
          </w:tcPr>
          <w:p w14:paraId="475CA5F9" w14:textId="77777777" w:rsidR="006C0798" w:rsidRPr="006C0798" w:rsidRDefault="006C0798" w:rsidP="006C0798">
            <w:r w:rsidRPr="006C0798">
              <w:t>High AQI</w:t>
            </w:r>
          </w:p>
        </w:tc>
        <w:tc>
          <w:tcPr>
            <w:tcW w:w="0" w:type="auto"/>
            <w:vAlign w:val="center"/>
            <w:hideMark/>
          </w:tcPr>
          <w:p w14:paraId="48581C58" w14:textId="77777777" w:rsidR="006C0798" w:rsidRPr="006C0798" w:rsidRDefault="006C0798" w:rsidP="006C0798">
            <w:r w:rsidRPr="006C0798">
              <w:t>0.05 – 0.15</w:t>
            </w:r>
          </w:p>
        </w:tc>
        <w:tc>
          <w:tcPr>
            <w:tcW w:w="0" w:type="auto"/>
            <w:vAlign w:val="center"/>
            <w:hideMark/>
          </w:tcPr>
          <w:p w14:paraId="77444278" w14:textId="77777777" w:rsidR="006C0798" w:rsidRPr="006C0798" w:rsidRDefault="006C0798" w:rsidP="006C0798">
            <w:r w:rsidRPr="006C0798">
              <w:t>urban pollution exposure</w:t>
            </w:r>
          </w:p>
        </w:tc>
      </w:tr>
    </w:tbl>
    <w:p w14:paraId="530986FF" w14:textId="77777777" w:rsidR="006C0798" w:rsidRPr="006C0798" w:rsidRDefault="006C0798" w:rsidP="006C0798">
      <w:r w:rsidRPr="006C0798">
        <w:t>These probabilities represent </w:t>
      </w:r>
      <w:r w:rsidRPr="006C0798">
        <w:rPr>
          <w:b/>
          <w:bCs/>
        </w:rPr>
        <w:t>event frequency estimates</w:t>
      </w:r>
      <w:r w:rsidRPr="006C0798">
        <w:t>, which are required inputs for actuarial expected loss modeling [3].</w:t>
      </w:r>
    </w:p>
    <w:p w14:paraId="2F8CD2C8" w14:textId="77777777" w:rsidR="006C0798" w:rsidRPr="006C0798" w:rsidRDefault="00286812" w:rsidP="006C0798">
      <w:r w:rsidRPr="006C0798">
        <w:rPr>
          <w:noProof/>
        </w:rPr>
        <w:pict w14:anchorId="7F0F2995">
          <v:rect id="_x0000_i1043" style="width:0;height:1.5pt" o:hralign="center" o:hrstd="t" o:hr="t" fillcolor="#a0a0a0" stroked="f"/>
        </w:pict>
      </w:r>
    </w:p>
    <w:p w14:paraId="487F1CF2" w14:textId="77777777" w:rsidR="006C0798" w:rsidRPr="006C0798" w:rsidRDefault="006C0798" w:rsidP="006C0798">
      <w:pPr>
        <w:rPr>
          <w:b/>
          <w:bCs/>
        </w:rPr>
      </w:pPr>
      <w:r w:rsidRPr="006C0798">
        <w:rPr>
          <w:b/>
          <w:bCs/>
        </w:rPr>
        <w:t>4.4 Expected Weekly Loss Calculation</w:t>
      </w:r>
    </w:p>
    <w:p w14:paraId="4F864508" w14:textId="77777777" w:rsidR="006C0798" w:rsidRPr="006C0798" w:rsidRDefault="006C0798" w:rsidP="006C0798">
      <w:r w:rsidRPr="006C0798">
        <w:t>Using representative values:</w:t>
      </w:r>
    </w:p>
    <w:p w14:paraId="6D132AEE" w14:textId="77777777" w:rsidR="006C0798" w:rsidRPr="006C0798" w:rsidRDefault="006C0798" w:rsidP="006C0798">
      <w:pPr>
        <w:numPr>
          <w:ilvl w:val="0"/>
          <w:numId w:val="8"/>
        </w:numPr>
      </w:pPr>
      <w:r w:rsidRPr="006C0798">
        <w:t>Average loss per event = ₹600</w:t>
      </w:r>
    </w:p>
    <w:p w14:paraId="1362E34D" w14:textId="77777777" w:rsidR="006C0798" w:rsidRPr="006C0798" w:rsidRDefault="006C0798" w:rsidP="006C0798">
      <w:pPr>
        <w:numPr>
          <w:ilvl w:val="0"/>
          <w:numId w:val="8"/>
        </w:numPr>
      </w:pPr>
      <w:r w:rsidRPr="006C0798">
        <w:t>Combined disruption probability ≈ 0.30–0.40</w:t>
      </w:r>
    </w:p>
    <w:p w14:paraId="53B6B798" w14:textId="24C3BAAF" w:rsidR="006C0798" w:rsidRPr="006C0798" w:rsidRDefault="006C0798" w:rsidP="006C0798">
      <m:oMathPara>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weekly</m:t>
              </m:r>
            </m:sub>
          </m:sSub>
          <m:r>
            <w:rPr>
              <w:rFonts w:ascii="Cambria Math" w:hAnsi="Cambria Math"/>
            </w:rPr>
            <m:t>]=0.35×600=</m:t>
          </m:r>
          <m:r>
            <m:rPr>
              <m:nor/>
            </m:rPr>
            <m:t>₹</m:t>
          </m:r>
          <m:r>
            <w:rPr>
              <w:rFonts w:ascii="Cambria Math" w:hAnsi="Cambria Math"/>
            </w:rPr>
            <m:t>210</m:t>
          </m:r>
          <m:r>
            <w:rPr>
              <w:i/>
            </w:rPr>
            <w:br/>
          </m:r>
        </m:oMath>
      </m:oMathPara>
    </w:p>
    <w:p w14:paraId="23AE2C05" w14:textId="77777777" w:rsidR="006C0798" w:rsidRPr="006C0798" w:rsidRDefault="00286812" w:rsidP="006C0798">
      <w:r w:rsidRPr="006C0798">
        <w:rPr>
          <w:noProof/>
        </w:rPr>
        <w:pict w14:anchorId="607E28EE">
          <v:rect id="_x0000_i1042" alt="" style="width:451.3pt;height:.05pt;mso-width-percent:0;mso-height-percent:0;mso-width-percent:0;mso-height-percent:0" o:hralign="center" o:hrstd="t" o:hr="t" fillcolor="#a0a0a0" stroked="f"/>
        </w:pict>
      </w:r>
    </w:p>
    <w:p w14:paraId="6BDB8193" w14:textId="77777777" w:rsidR="006C0798" w:rsidRPr="006C0798" w:rsidRDefault="006C0798" w:rsidP="006C0798">
      <w:pPr>
        <w:rPr>
          <w:b/>
          <w:bCs/>
        </w:rPr>
      </w:pPr>
      <w:r w:rsidRPr="006C0798">
        <w:rPr>
          <w:b/>
          <w:bCs/>
        </w:rPr>
        <w:t>4.5 Interpretation</w:t>
      </w:r>
    </w:p>
    <w:p w14:paraId="5F06C25C" w14:textId="77777777" w:rsidR="006C0798" w:rsidRPr="006C0798" w:rsidRDefault="006C0798" w:rsidP="006C0798">
      <w:r w:rsidRPr="006C0798">
        <w:t>This value represents the </w:t>
      </w:r>
      <w:r w:rsidRPr="006C0798">
        <w:rPr>
          <w:b/>
          <w:bCs/>
        </w:rPr>
        <w:t>pure premium</w:t>
      </w:r>
      <w:r w:rsidRPr="006C0798">
        <w:t>, i.e., the amount required to cover expected payouts without margins or expenses.</w:t>
      </w:r>
    </w:p>
    <w:p w14:paraId="215B3B16" w14:textId="77777777" w:rsidR="006C0798" w:rsidRPr="006C0798" w:rsidRDefault="00286812" w:rsidP="006C0798">
      <w:r w:rsidRPr="006C0798">
        <w:rPr>
          <w:noProof/>
        </w:rPr>
        <w:pict w14:anchorId="64E2F543">
          <v:rect id="_x0000_i1041" style="width:0;height:1.5pt" o:hralign="center" o:hrstd="t" o:hr="t" fillcolor="#a0a0a0" stroked="f"/>
        </w:pict>
      </w:r>
    </w:p>
    <w:p w14:paraId="43F6718A" w14:textId="77777777" w:rsidR="006C0798" w:rsidRPr="006C0798" w:rsidRDefault="006C0798" w:rsidP="006C0798">
      <w:pPr>
        <w:rPr>
          <w:b/>
          <w:bCs/>
        </w:rPr>
      </w:pPr>
      <w:r w:rsidRPr="006C0798">
        <w:rPr>
          <w:b/>
          <w:bCs/>
        </w:rPr>
        <w:t>5. Coverage Design</w:t>
      </w:r>
    </w:p>
    <w:p w14:paraId="606E9DF6" w14:textId="77777777" w:rsidR="006C0798" w:rsidRPr="006C0798" w:rsidRDefault="00286812" w:rsidP="006C0798">
      <w:r w:rsidRPr="006C0798">
        <w:rPr>
          <w:noProof/>
        </w:rPr>
        <w:pict w14:anchorId="64296887">
          <v:rect id="_x0000_i1040" style="width:0;height:1.5pt" o:hralign="center" o:hrstd="t" o:hr="t" fillcolor="#a0a0a0" stroked="f"/>
        </w:pict>
      </w:r>
    </w:p>
    <w:p w14:paraId="0EAED69D" w14:textId="77777777" w:rsidR="006C0798" w:rsidRPr="006C0798" w:rsidRDefault="006C0798" w:rsidP="006C0798">
      <w:pPr>
        <w:rPr>
          <w:b/>
          <w:bCs/>
        </w:rPr>
      </w:pPr>
      <w:r w:rsidRPr="006C0798">
        <w:rPr>
          <w:b/>
          <w:bCs/>
        </w:rPr>
        <w:t>5.1 Coverage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1422"/>
        <w:gridCol w:w="3596"/>
      </w:tblGrid>
      <w:tr w:rsidR="006C0798" w:rsidRPr="006C0798" w14:paraId="4350184C" w14:textId="77777777">
        <w:trPr>
          <w:tblHeader/>
          <w:tblCellSpacing w:w="15" w:type="dxa"/>
        </w:trPr>
        <w:tc>
          <w:tcPr>
            <w:tcW w:w="0" w:type="auto"/>
            <w:vAlign w:val="center"/>
            <w:hideMark/>
          </w:tcPr>
          <w:p w14:paraId="646BFC41" w14:textId="77777777" w:rsidR="006C0798" w:rsidRPr="006C0798" w:rsidRDefault="006C0798" w:rsidP="006C0798">
            <w:pPr>
              <w:rPr>
                <w:b/>
                <w:bCs/>
              </w:rPr>
            </w:pPr>
            <w:r w:rsidRPr="006C0798">
              <w:rPr>
                <w:b/>
                <w:bCs/>
              </w:rPr>
              <w:lastRenderedPageBreak/>
              <w:t>Parameter</w:t>
            </w:r>
          </w:p>
        </w:tc>
        <w:tc>
          <w:tcPr>
            <w:tcW w:w="0" w:type="auto"/>
            <w:vAlign w:val="center"/>
            <w:hideMark/>
          </w:tcPr>
          <w:p w14:paraId="1DB944CC" w14:textId="77777777" w:rsidR="006C0798" w:rsidRPr="006C0798" w:rsidRDefault="006C0798" w:rsidP="006C0798">
            <w:pPr>
              <w:rPr>
                <w:b/>
                <w:bCs/>
              </w:rPr>
            </w:pPr>
            <w:r w:rsidRPr="006C0798">
              <w:rPr>
                <w:b/>
                <w:bCs/>
              </w:rPr>
              <w:t>Value</w:t>
            </w:r>
          </w:p>
        </w:tc>
        <w:tc>
          <w:tcPr>
            <w:tcW w:w="0" w:type="auto"/>
            <w:vAlign w:val="center"/>
            <w:hideMark/>
          </w:tcPr>
          <w:p w14:paraId="67911143" w14:textId="77777777" w:rsidR="006C0798" w:rsidRPr="006C0798" w:rsidRDefault="006C0798" w:rsidP="006C0798">
            <w:pPr>
              <w:rPr>
                <w:b/>
                <w:bCs/>
              </w:rPr>
            </w:pPr>
            <w:r w:rsidRPr="006C0798">
              <w:rPr>
                <w:b/>
                <w:bCs/>
              </w:rPr>
              <w:t>Justification</w:t>
            </w:r>
          </w:p>
        </w:tc>
      </w:tr>
      <w:tr w:rsidR="006C0798" w:rsidRPr="006C0798" w14:paraId="4E0BC362" w14:textId="77777777">
        <w:trPr>
          <w:tblCellSpacing w:w="15" w:type="dxa"/>
        </w:trPr>
        <w:tc>
          <w:tcPr>
            <w:tcW w:w="0" w:type="auto"/>
            <w:vAlign w:val="center"/>
            <w:hideMark/>
          </w:tcPr>
          <w:p w14:paraId="72C0F718" w14:textId="77777777" w:rsidR="006C0798" w:rsidRPr="006C0798" w:rsidRDefault="006C0798" w:rsidP="006C0798">
            <w:r w:rsidRPr="006C0798">
              <w:t>Payout per event</w:t>
            </w:r>
          </w:p>
        </w:tc>
        <w:tc>
          <w:tcPr>
            <w:tcW w:w="0" w:type="auto"/>
            <w:vAlign w:val="center"/>
            <w:hideMark/>
          </w:tcPr>
          <w:p w14:paraId="6FD44B9A" w14:textId="77777777" w:rsidR="006C0798" w:rsidRPr="006C0798" w:rsidRDefault="006C0798" w:rsidP="006C0798">
            <w:r w:rsidRPr="006C0798">
              <w:t>₹300 – ₹600</w:t>
            </w:r>
          </w:p>
        </w:tc>
        <w:tc>
          <w:tcPr>
            <w:tcW w:w="0" w:type="auto"/>
            <w:vAlign w:val="center"/>
            <w:hideMark/>
          </w:tcPr>
          <w:p w14:paraId="3E6544C3" w14:textId="77777777" w:rsidR="006C0798" w:rsidRPr="006C0798" w:rsidRDefault="006C0798" w:rsidP="006C0798">
            <w:r w:rsidRPr="006C0798">
              <w:t>aligns with observed loss range [8]</w:t>
            </w:r>
          </w:p>
        </w:tc>
      </w:tr>
      <w:tr w:rsidR="006C0798" w:rsidRPr="006C0798" w14:paraId="6DFC8084" w14:textId="77777777">
        <w:trPr>
          <w:tblCellSpacing w:w="15" w:type="dxa"/>
        </w:trPr>
        <w:tc>
          <w:tcPr>
            <w:tcW w:w="0" w:type="auto"/>
            <w:vAlign w:val="center"/>
            <w:hideMark/>
          </w:tcPr>
          <w:p w14:paraId="34535893" w14:textId="77777777" w:rsidR="006C0798" w:rsidRPr="006C0798" w:rsidRDefault="006C0798" w:rsidP="006C0798">
            <w:r w:rsidRPr="006C0798">
              <w:t>Maximum events/week</w:t>
            </w:r>
          </w:p>
        </w:tc>
        <w:tc>
          <w:tcPr>
            <w:tcW w:w="0" w:type="auto"/>
            <w:vAlign w:val="center"/>
            <w:hideMark/>
          </w:tcPr>
          <w:p w14:paraId="7C79CE4C" w14:textId="77777777" w:rsidR="006C0798" w:rsidRPr="006C0798" w:rsidRDefault="006C0798" w:rsidP="006C0798">
            <w:r w:rsidRPr="006C0798">
              <w:t>2</w:t>
            </w:r>
          </w:p>
        </w:tc>
        <w:tc>
          <w:tcPr>
            <w:tcW w:w="0" w:type="auto"/>
            <w:vAlign w:val="center"/>
            <w:hideMark/>
          </w:tcPr>
          <w:p w14:paraId="67EC4413" w14:textId="77777777" w:rsidR="006C0798" w:rsidRPr="006C0798" w:rsidRDefault="006C0798" w:rsidP="006C0798">
            <w:r w:rsidRPr="006C0798">
              <w:t>limits insurer exposure</w:t>
            </w:r>
          </w:p>
        </w:tc>
      </w:tr>
      <w:tr w:rsidR="006C0798" w:rsidRPr="006C0798" w14:paraId="679C08BF" w14:textId="77777777">
        <w:trPr>
          <w:tblCellSpacing w:w="15" w:type="dxa"/>
        </w:trPr>
        <w:tc>
          <w:tcPr>
            <w:tcW w:w="0" w:type="auto"/>
            <w:vAlign w:val="center"/>
            <w:hideMark/>
          </w:tcPr>
          <w:p w14:paraId="0ADB2C36" w14:textId="77777777" w:rsidR="006C0798" w:rsidRPr="006C0798" w:rsidRDefault="006C0798" w:rsidP="006C0798">
            <w:r w:rsidRPr="006C0798">
              <w:t>Maximum weekly payout</w:t>
            </w:r>
          </w:p>
        </w:tc>
        <w:tc>
          <w:tcPr>
            <w:tcW w:w="0" w:type="auto"/>
            <w:vAlign w:val="center"/>
            <w:hideMark/>
          </w:tcPr>
          <w:p w14:paraId="153BC872" w14:textId="77777777" w:rsidR="006C0798" w:rsidRPr="006C0798" w:rsidRDefault="006C0798" w:rsidP="006C0798">
            <w:r w:rsidRPr="006C0798">
              <w:t>₹600 – ₹1200</w:t>
            </w:r>
          </w:p>
        </w:tc>
        <w:tc>
          <w:tcPr>
            <w:tcW w:w="0" w:type="auto"/>
            <w:vAlign w:val="center"/>
            <w:hideMark/>
          </w:tcPr>
          <w:p w14:paraId="31857310" w14:textId="77777777" w:rsidR="006C0798" w:rsidRPr="006C0798" w:rsidRDefault="006C0798" w:rsidP="006C0798">
            <w:r w:rsidRPr="006C0798">
              <w:t>consistent with income variability</w:t>
            </w:r>
          </w:p>
        </w:tc>
      </w:tr>
    </w:tbl>
    <w:p w14:paraId="680882B7" w14:textId="77777777" w:rsidR="006C0798" w:rsidRPr="006C0798" w:rsidRDefault="00286812" w:rsidP="006C0798">
      <w:r w:rsidRPr="006C0798">
        <w:rPr>
          <w:noProof/>
        </w:rPr>
        <w:pict w14:anchorId="553B4ED9">
          <v:rect id="_x0000_i1039" style="width:0;height:1.5pt" o:hralign="center" o:hrstd="t" o:hr="t" fillcolor="#a0a0a0" stroked="f"/>
        </w:pict>
      </w:r>
    </w:p>
    <w:p w14:paraId="298BA5EF" w14:textId="77777777" w:rsidR="006C0798" w:rsidRPr="006C0798" w:rsidRDefault="006C0798" w:rsidP="006C0798">
      <w:pPr>
        <w:rPr>
          <w:b/>
          <w:bCs/>
        </w:rPr>
      </w:pPr>
      <w:r w:rsidRPr="006C0798">
        <w:rPr>
          <w:b/>
          <w:bCs/>
        </w:rPr>
        <w:t>5.2 Rationale</w:t>
      </w:r>
    </w:p>
    <w:p w14:paraId="6D699A89" w14:textId="77777777" w:rsidR="006C0798" w:rsidRPr="006C0798" w:rsidRDefault="006C0798" w:rsidP="006C0798">
      <w:pPr>
        <w:numPr>
          <w:ilvl w:val="0"/>
          <w:numId w:val="9"/>
        </w:numPr>
      </w:pPr>
      <w:r w:rsidRPr="006C0798">
        <w:t>Lower than full loss coverage → reduces moral hazard</w:t>
      </w:r>
    </w:p>
    <w:p w14:paraId="075A7C60" w14:textId="77777777" w:rsidR="006C0798" w:rsidRPr="006C0798" w:rsidRDefault="006C0798" w:rsidP="006C0798">
      <w:pPr>
        <w:numPr>
          <w:ilvl w:val="0"/>
          <w:numId w:val="9"/>
        </w:numPr>
      </w:pPr>
      <w:r w:rsidRPr="006C0798">
        <w:t>Event cap → prevents excessive claim frequency</w:t>
      </w:r>
    </w:p>
    <w:p w14:paraId="35621311" w14:textId="77777777" w:rsidR="006C0798" w:rsidRPr="006C0798" w:rsidRDefault="006C0798" w:rsidP="006C0798">
      <w:pPr>
        <w:numPr>
          <w:ilvl w:val="0"/>
          <w:numId w:val="9"/>
        </w:numPr>
      </w:pPr>
      <w:r w:rsidRPr="006C0798">
        <w:t>Fixed payout → enables parametric automation</w:t>
      </w:r>
    </w:p>
    <w:p w14:paraId="0E8242C1" w14:textId="77777777" w:rsidR="006C0798" w:rsidRPr="006C0798" w:rsidRDefault="006C0798" w:rsidP="006C0798">
      <w:r w:rsidRPr="006C0798">
        <w:t>Parametric insurance schemes rely on predefined payouts to ensure pricing consistency and predictability [5].</w:t>
      </w:r>
    </w:p>
    <w:p w14:paraId="364795D8" w14:textId="77777777" w:rsidR="006C0798" w:rsidRPr="006C0798" w:rsidRDefault="00286812" w:rsidP="006C0798">
      <w:r w:rsidRPr="006C0798">
        <w:rPr>
          <w:noProof/>
        </w:rPr>
        <w:pict w14:anchorId="5D3B9AD7">
          <v:rect id="_x0000_i1038" style="width:0;height:1.5pt" o:hralign="center" o:hrstd="t" o:hr="t" fillcolor="#a0a0a0" stroked="f"/>
        </w:pict>
      </w:r>
    </w:p>
    <w:p w14:paraId="734C4DFE" w14:textId="77777777" w:rsidR="006C0798" w:rsidRPr="006C0798" w:rsidRDefault="006C0798" w:rsidP="006C0798">
      <w:pPr>
        <w:rPr>
          <w:b/>
          <w:bCs/>
        </w:rPr>
      </w:pPr>
      <w:r w:rsidRPr="006C0798">
        <w:rPr>
          <w:b/>
          <w:bCs/>
        </w:rPr>
        <w:t>6. Weekly Premium Calculation</w:t>
      </w:r>
    </w:p>
    <w:p w14:paraId="5158F0E6" w14:textId="77777777" w:rsidR="006C0798" w:rsidRPr="006C0798" w:rsidRDefault="00286812" w:rsidP="006C0798">
      <w:r w:rsidRPr="006C0798">
        <w:rPr>
          <w:noProof/>
        </w:rPr>
        <w:pict w14:anchorId="0B83D9E3">
          <v:rect id="_x0000_i1037" style="width:0;height:1.5pt" o:hralign="center" o:hrstd="t" o:hr="t" fillcolor="#a0a0a0" stroked="f"/>
        </w:pict>
      </w:r>
    </w:p>
    <w:p w14:paraId="5C1E897C" w14:textId="77777777" w:rsidR="006C0798" w:rsidRPr="006C0798" w:rsidRDefault="006C0798" w:rsidP="006C0798">
      <w:pPr>
        <w:rPr>
          <w:b/>
          <w:bCs/>
        </w:rPr>
      </w:pPr>
      <w:r w:rsidRPr="006C0798">
        <w:rPr>
          <w:b/>
          <w:bCs/>
        </w:rPr>
        <w:t>6.1 Expense Loading</w:t>
      </w:r>
    </w:p>
    <w:p w14:paraId="1A8D4366" w14:textId="77777777" w:rsidR="006C0798" w:rsidRPr="006C0798" w:rsidRDefault="006C0798" w:rsidP="006C0798">
      <w:r w:rsidRPr="006C0798">
        <w:t>Insurance pricing includes operational costs such as:</w:t>
      </w:r>
    </w:p>
    <w:p w14:paraId="385F625E" w14:textId="77777777" w:rsidR="006C0798" w:rsidRPr="006C0798" w:rsidRDefault="006C0798" w:rsidP="006C0798">
      <w:pPr>
        <w:numPr>
          <w:ilvl w:val="0"/>
          <w:numId w:val="10"/>
        </w:numPr>
      </w:pPr>
      <w:r w:rsidRPr="006C0798">
        <w:t>platform infrastructure</w:t>
      </w:r>
    </w:p>
    <w:p w14:paraId="3E4D8079" w14:textId="77777777" w:rsidR="006C0798" w:rsidRPr="006C0798" w:rsidRDefault="006C0798" w:rsidP="006C0798">
      <w:pPr>
        <w:numPr>
          <w:ilvl w:val="0"/>
          <w:numId w:val="10"/>
        </w:numPr>
      </w:pPr>
      <w:r w:rsidRPr="006C0798">
        <w:t>API usage</w:t>
      </w:r>
    </w:p>
    <w:p w14:paraId="3E467102" w14:textId="77777777" w:rsidR="006C0798" w:rsidRPr="006C0798" w:rsidRDefault="006C0798" w:rsidP="006C0798">
      <w:pPr>
        <w:numPr>
          <w:ilvl w:val="0"/>
          <w:numId w:val="10"/>
        </w:numPr>
      </w:pPr>
      <w:r w:rsidRPr="006C0798">
        <w:t>payment processing</w:t>
      </w:r>
    </w:p>
    <w:p w14:paraId="2F6A2568" w14:textId="77777777" w:rsidR="006C0798" w:rsidRPr="006C0798" w:rsidRDefault="006C0798" w:rsidP="006C0798">
      <w:r w:rsidRPr="006C0798">
        <w:t>Expense loading is typically added as a percentage of expected loss [2].</w:t>
      </w:r>
    </w:p>
    <w:p w14:paraId="1629CBCB" w14:textId="77777777" w:rsidR="006C0798" w:rsidRPr="006C0798" w:rsidRDefault="006C0798" w:rsidP="006C0798">
      <w:r w:rsidRPr="006C0798">
        <w:t>Assumption:</w:t>
      </w:r>
    </w:p>
    <w:p w14:paraId="5C7BE962" w14:textId="029D152D" w:rsidR="006C0798" w:rsidRPr="006C0798" w:rsidRDefault="006C0798" w:rsidP="006C0798">
      <m:oMathPara>
        <m:oMath>
          <m:r>
            <m:rPr>
              <m:nor/>
            </m:rPr>
            <m:t>Expense Loading</m:t>
          </m:r>
          <m:r>
            <w:rPr>
              <w:rFonts w:ascii="Cambria Math" w:hAnsi="Cambria Math"/>
            </w:rPr>
            <m:t>≈10</m:t>
          </m:r>
          <m:r>
            <m:rPr>
              <m:sty m:val="p"/>
            </m:rPr>
            <w:rPr>
              <w:rFonts w:ascii="Cambria Math" w:hAnsi="Cambria Math"/>
            </w:rPr>
            <m:t>%</m:t>
          </m:r>
          <m:r>
            <m:rPr>
              <m:nor/>
            </m:rPr>
            <m:t>–</m:t>
          </m:r>
          <m:r>
            <w:rPr>
              <w:rFonts w:ascii="Cambria Math" w:hAnsi="Cambria Math"/>
            </w:rPr>
            <m:t>15</m:t>
          </m:r>
          <m:r>
            <m:rPr>
              <m:sty m:val="p"/>
            </m:rPr>
            <w:rPr>
              <w:rFonts w:ascii="Cambria Math" w:hAnsi="Cambria Math"/>
            </w:rPr>
            <m:t>%</m:t>
          </m:r>
          <m:r>
            <w:br/>
          </m:r>
        </m:oMath>
      </m:oMathPara>
    </w:p>
    <w:p w14:paraId="18B54F1D" w14:textId="77777777" w:rsidR="006C0798" w:rsidRPr="006C0798" w:rsidRDefault="00286812" w:rsidP="006C0798">
      <w:r w:rsidRPr="006C0798">
        <w:rPr>
          <w:noProof/>
        </w:rPr>
        <w:pict w14:anchorId="60F72905">
          <v:rect id="_x0000_i1036" style="width:0;height:1.5pt" o:hralign="center" o:hrstd="t" o:hr="t" fillcolor="#a0a0a0" stroked="f"/>
        </w:pict>
      </w:r>
    </w:p>
    <w:p w14:paraId="7EA8BE55" w14:textId="77777777" w:rsidR="006C0798" w:rsidRPr="006C0798" w:rsidRDefault="006C0798" w:rsidP="006C0798">
      <w:pPr>
        <w:rPr>
          <w:b/>
          <w:bCs/>
        </w:rPr>
      </w:pPr>
      <w:r w:rsidRPr="006C0798">
        <w:rPr>
          <w:b/>
          <w:bCs/>
        </w:rPr>
        <w:t>6.2 Risk Margin</w:t>
      </w:r>
    </w:p>
    <w:p w14:paraId="2A9AC8ED" w14:textId="77777777" w:rsidR="006C0798" w:rsidRPr="006C0798" w:rsidRDefault="006C0798" w:rsidP="006C0798">
      <w:r w:rsidRPr="006C0798">
        <w:t>Risk margin accounts for:</w:t>
      </w:r>
    </w:p>
    <w:p w14:paraId="0F1B044B" w14:textId="77777777" w:rsidR="006C0798" w:rsidRPr="006C0798" w:rsidRDefault="006C0798" w:rsidP="006C0798">
      <w:pPr>
        <w:numPr>
          <w:ilvl w:val="0"/>
          <w:numId w:val="11"/>
        </w:numPr>
      </w:pPr>
      <w:r w:rsidRPr="006C0798">
        <w:t>uncertainty in loss estimates</w:t>
      </w:r>
    </w:p>
    <w:p w14:paraId="1A805CB5" w14:textId="77777777" w:rsidR="006C0798" w:rsidRPr="006C0798" w:rsidRDefault="006C0798" w:rsidP="006C0798">
      <w:pPr>
        <w:numPr>
          <w:ilvl w:val="0"/>
          <w:numId w:val="11"/>
        </w:numPr>
      </w:pPr>
      <w:r w:rsidRPr="006C0798">
        <w:t>variability in claim frequency</w:t>
      </w:r>
    </w:p>
    <w:p w14:paraId="49714CB7" w14:textId="77777777" w:rsidR="006C0798" w:rsidRPr="006C0798" w:rsidRDefault="006C0798" w:rsidP="006C0798">
      <w:r w:rsidRPr="006C0798">
        <w:lastRenderedPageBreak/>
        <w:t>Actuarial frameworks include a </w:t>
      </w:r>
      <w:r w:rsidRPr="006C0798">
        <w:rPr>
          <w:b/>
          <w:bCs/>
        </w:rPr>
        <w:t>risk loading factor</w:t>
      </w:r>
      <w:r w:rsidRPr="006C0798">
        <w:t> to ensure solvency [1].</w:t>
      </w:r>
    </w:p>
    <w:p w14:paraId="1A98F4D4" w14:textId="77777777" w:rsidR="006C0798" w:rsidRPr="006C0798" w:rsidRDefault="006C0798" w:rsidP="006C0798">
      <w:r w:rsidRPr="006C0798">
        <w:t>Assumption:</w:t>
      </w:r>
    </w:p>
    <w:p w14:paraId="78F53584" w14:textId="38DA31C4" w:rsidR="006C0798" w:rsidRPr="006C0798" w:rsidRDefault="006C0798" w:rsidP="006C0798">
      <m:oMathPara>
        <m:oMath>
          <m:r>
            <m:rPr>
              <m:nor/>
            </m:rPr>
            <m:t>Risk Margin</m:t>
          </m:r>
          <m:r>
            <w:rPr>
              <w:rFonts w:ascii="Cambria Math" w:hAnsi="Cambria Math"/>
            </w:rPr>
            <m:t>≈20</m:t>
          </m:r>
          <m:r>
            <m:rPr>
              <m:sty m:val="p"/>
            </m:rPr>
            <w:rPr>
              <w:rFonts w:ascii="Cambria Math" w:hAnsi="Cambria Math"/>
            </w:rPr>
            <m:t>%</m:t>
          </m:r>
          <m:r>
            <m:rPr>
              <m:nor/>
            </m:rPr>
            <m:t>–</m:t>
          </m:r>
          <m:r>
            <w:rPr>
              <w:rFonts w:ascii="Cambria Math" w:hAnsi="Cambria Math"/>
            </w:rPr>
            <m:t>30</m:t>
          </m:r>
          <m:r>
            <m:rPr>
              <m:sty m:val="p"/>
            </m:rPr>
            <w:rPr>
              <w:rFonts w:ascii="Cambria Math" w:hAnsi="Cambria Math"/>
            </w:rPr>
            <m:t>%</m:t>
          </m:r>
          <m:r>
            <w:br/>
          </m:r>
        </m:oMath>
      </m:oMathPara>
    </w:p>
    <w:p w14:paraId="7212F43F" w14:textId="77777777" w:rsidR="006C0798" w:rsidRPr="006C0798" w:rsidRDefault="00286812" w:rsidP="006C0798">
      <w:r w:rsidRPr="006C0798">
        <w:rPr>
          <w:noProof/>
        </w:rPr>
        <w:pict w14:anchorId="04E1F71C">
          <v:rect id="_x0000_i1035" style="width:0;height:1.5pt" o:hralign="center" o:hrstd="t" o:hr="t" fillcolor="#a0a0a0" stroked="f"/>
        </w:pict>
      </w:r>
    </w:p>
    <w:p w14:paraId="5C311949" w14:textId="77777777" w:rsidR="006C0798" w:rsidRPr="006C0798" w:rsidRDefault="006C0798" w:rsidP="006C0798">
      <w:pPr>
        <w:rPr>
          <w:b/>
          <w:bCs/>
        </w:rPr>
      </w:pPr>
      <w:r w:rsidRPr="006C0798">
        <w:rPr>
          <w:b/>
          <w:bCs/>
        </w:rPr>
        <w:t>6.3 Final Premium Formula</w:t>
      </w:r>
    </w:p>
    <w:p w14:paraId="62A3DDDC" w14:textId="26D0643E" w:rsidR="006C0798" w:rsidRPr="006C0798" w:rsidRDefault="006C0798" w:rsidP="006C0798">
      <m:oMathPara>
        <m:oMath>
          <m:r>
            <m:rPr>
              <m:nor/>
            </m:rPr>
            <m:t>Weekly Premium</m:t>
          </m:r>
          <m:r>
            <w:rPr>
              <w:rFonts w:ascii="Cambria Math" w:hAnsi="Cambria Math"/>
            </w:rPr>
            <m:t>=E[L]+</m:t>
          </m:r>
          <m:r>
            <m:rPr>
              <m:nor/>
            </m:rPr>
            <m:t>Expense</m:t>
          </m:r>
          <m:r>
            <w:rPr>
              <w:rFonts w:ascii="Cambria Math" w:hAnsi="Cambria Math"/>
            </w:rPr>
            <m:t>+</m:t>
          </m:r>
          <m:r>
            <m:rPr>
              <m:nor/>
            </m:rPr>
            <m:t>Risk Margin</m:t>
          </m:r>
          <m:r>
            <w:br/>
          </m:r>
        </m:oMath>
      </m:oMathPara>
    </w:p>
    <w:p w14:paraId="438320AE" w14:textId="77777777" w:rsidR="006C0798" w:rsidRPr="006C0798" w:rsidRDefault="00286812" w:rsidP="006C0798">
      <w:r w:rsidRPr="006C0798">
        <w:rPr>
          <w:noProof/>
        </w:rPr>
        <w:pict w14:anchorId="50EA2D3A">
          <v:rect id="_x0000_i1034" style="width:0;height:1.5pt" o:hralign="center" o:hrstd="t" o:hr="t" fillcolor="#a0a0a0" stroked="f"/>
        </w:pict>
      </w:r>
    </w:p>
    <w:p w14:paraId="1889924C" w14:textId="77777777" w:rsidR="006C0798" w:rsidRPr="006C0798" w:rsidRDefault="006C0798" w:rsidP="006C0798">
      <w:pPr>
        <w:rPr>
          <w:b/>
          <w:bCs/>
        </w:rPr>
      </w:pPr>
      <w:r w:rsidRPr="006C0798">
        <w:rPr>
          <w:b/>
          <w:bCs/>
        </w:rPr>
        <w:t>6.4 Numerical Calculation</w:t>
      </w:r>
    </w:p>
    <w:p w14:paraId="70BE3457" w14:textId="77777777" w:rsidR="006C0798" w:rsidRPr="006C0798" w:rsidRDefault="006C0798" w:rsidP="006C0798">
      <w:r w:rsidRPr="006C0798">
        <w:t>Using:</w:t>
      </w:r>
    </w:p>
    <w:p w14:paraId="4BEAD96D" w14:textId="77777777" w:rsidR="006C0798" w:rsidRPr="006C0798" w:rsidRDefault="006C0798" w:rsidP="006C0798">
      <w:pPr>
        <w:numPr>
          <w:ilvl w:val="0"/>
          <w:numId w:val="12"/>
        </w:numPr>
      </w:pPr>
      <w:r w:rsidRPr="006C0798">
        <w:t>Expected loss = ₹210</w:t>
      </w:r>
    </w:p>
    <w:p w14:paraId="0BA41320" w14:textId="77777777" w:rsidR="006C0798" w:rsidRPr="006C0798" w:rsidRDefault="006C0798" w:rsidP="006C0798">
      <w:pPr>
        <w:numPr>
          <w:ilvl w:val="0"/>
          <w:numId w:val="12"/>
        </w:numPr>
      </w:pPr>
      <w:r w:rsidRPr="006C0798">
        <w:t>Expense loading (10%) = ₹21</w:t>
      </w:r>
    </w:p>
    <w:p w14:paraId="307E7503" w14:textId="77777777" w:rsidR="006C0798" w:rsidRPr="006C0798" w:rsidRDefault="006C0798" w:rsidP="006C0798">
      <w:pPr>
        <w:numPr>
          <w:ilvl w:val="0"/>
          <w:numId w:val="12"/>
        </w:numPr>
      </w:pPr>
      <w:r w:rsidRPr="006C0798">
        <w:t>Risk margin (25%) = ₹52</w:t>
      </w:r>
    </w:p>
    <w:p w14:paraId="7E5BCB61" w14:textId="2794894F" w:rsidR="006C0798" w:rsidRPr="006C0798" w:rsidRDefault="006C0798" w:rsidP="006C0798">
      <m:oMathPara>
        <m:oMath>
          <m:r>
            <m:rPr>
              <m:nor/>
            </m:rPr>
            <m:t>Premium</m:t>
          </m:r>
          <m:r>
            <w:rPr>
              <w:rFonts w:ascii="Cambria Math" w:hAnsi="Cambria Math"/>
            </w:rPr>
            <m:t>=210+21+52=</m:t>
          </m:r>
          <m:r>
            <m:rPr>
              <m:nor/>
            </m:rPr>
            <m:t>₹</m:t>
          </m:r>
          <m:r>
            <w:rPr>
              <w:rFonts w:ascii="Cambria Math" w:hAnsi="Cambria Math"/>
            </w:rPr>
            <m:t>283</m:t>
          </m:r>
          <m:r>
            <m:rPr>
              <m:sty m:val="p"/>
            </m:rPr>
            <w:rPr>
              <w:rFonts w:ascii="Cambria Math" w:hAnsi="Cambria Math"/>
            </w:rPr>
            <m:t>/</m:t>
          </m:r>
          <m:r>
            <w:rPr>
              <w:rFonts w:ascii="Cambria Math" w:hAnsi="Cambria Math"/>
            </w:rPr>
            <m:t>week</m:t>
          </m:r>
          <m:r>
            <w:rPr>
              <w:i/>
            </w:rPr>
            <w:br/>
          </m:r>
        </m:oMath>
      </m:oMathPara>
    </w:p>
    <w:p w14:paraId="22963988" w14:textId="77777777" w:rsidR="006C0798" w:rsidRPr="006C0798" w:rsidRDefault="00286812" w:rsidP="006C0798">
      <w:r w:rsidRPr="006C0798">
        <w:rPr>
          <w:noProof/>
        </w:rPr>
        <w:pict w14:anchorId="1E18A217">
          <v:rect id="_x0000_i1033" style="width:0;height:1.5pt" o:hralign="center" o:hrstd="t" o:hr="t" fillcolor="#a0a0a0" stroked="f"/>
        </w:pict>
      </w:r>
    </w:p>
    <w:p w14:paraId="7829E275" w14:textId="77777777" w:rsidR="006C0798" w:rsidRPr="006C0798" w:rsidRDefault="006C0798" w:rsidP="006C0798">
      <w:pPr>
        <w:rPr>
          <w:b/>
          <w:bCs/>
        </w:rPr>
      </w:pPr>
      <w:r w:rsidRPr="006C0798">
        <w:rPr>
          <w:b/>
          <w:bCs/>
        </w:rPr>
        <w:t>7. Premium Optimization for Affordability</w:t>
      </w:r>
    </w:p>
    <w:p w14:paraId="79E18A5A" w14:textId="77777777" w:rsidR="006C0798" w:rsidRPr="006C0798" w:rsidRDefault="00286812" w:rsidP="006C0798">
      <w:r w:rsidRPr="006C0798">
        <w:rPr>
          <w:noProof/>
        </w:rPr>
        <w:pict w14:anchorId="7B66F917">
          <v:rect id="_x0000_i1032" style="width:0;height:1.5pt" o:hralign="center" o:hrstd="t" o:hr="t" fillcolor="#a0a0a0" stroked="f"/>
        </w:pict>
      </w:r>
    </w:p>
    <w:p w14:paraId="5C859575" w14:textId="77777777" w:rsidR="006C0798" w:rsidRPr="006C0798" w:rsidRDefault="006C0798" w:rsidP="006C0798">
      <w:pPr>
        <w:rPr>
          <w:b/>
          <w:bCs/>
        </w:rPr>
      </w:pPr>
      <w:r w:rsidRPr="006C0798">
        <w:rPr>
          <w:b/>
          <w:bCs/>
        </w:rPr>
        <w:t>7.1 Constraint</w:t>
      </w:r>
    </w:p>
    <w:p w14:paraId="0BC37F9A" w14:textId="77777777" w:rsidR="006C0798" w:rsidRPr="006C0798" w:rsidRDefault="006C0798" w:rsidP="006C0798">
      <w:r w:rsidRPr="006C0798">
        <w:t>Gig workers operate in a </w:t>
      </w:r>
      <w:r w:rsidRPr="006C0798">
        <w:rPr>
          <w:b/>
          <w:bCs/>
        </w:rPr>
        <w:t>low-income, high-frequency earning cycle</w:t>
      </w:r>
      <w:r w:rsidRPr="006C0798">
        <w:t>, requiring affordable pricing.</w:t>
      </w:r>
    </w:p>
    <w:p w14:paraId="6602DF1B" w14:textId="77777777" w:rsidR="006C0798" w:rsidRPr="006C0798" w:rsidRDefault="00286812" w:rsidP="006C0798">
      <w:r w:rsidRPr="006C0798">
        <w:rPr>
          <w:noProof/>
        </w:rPr>
        <w:pict w14:anchorId="3DED79D6">
          <v:rect id="_x0000_i1031" style="width:0;height:1.5pt" o:hralign="center" o:hrstd="t" o:hr="t" fillcolor="#a0a0a0" stroked="f"/>
        </w:pict>
      </w:r>
    </w:p>
    <w:p w14:paraId="1735F670" w14:textId="77777777" w:rsidR="006C0798" w:rsidRPr="006C0798" w:rsidRDefault="006C0798" w:rsidP="006C0798">
      <w:pPr>
        <w:rPr>
          <w:b/>
          <w:bCs/>
        </w:rPr>
      </w:pPr>
      <w:r w:rsidRPr="006C0798">
        <w:rPr>
          <w:b/>
          <w:bCs/>
        </w:rPr>
        <w:t>7.2 Adjustment Strategy</w:t>
      </w:r>
    </w:p>
    <w:p w14:paraId="0C3BE22F" w14:textId="77777777" w:rsidR="006C0798" w:rsidRPr="006C0798" w:rsidRDefault="006C0798" w:rsidP="006C0798">
      <w:r w:rsidRPr="006C0798">
        <w:t>To reduce premium:</w:t>
      </w:r>
    </w:p>
    <w:p w14:paraId="7060E117" w14:textId="77777777" w:rsidR="006C0798" w:rsidRPr="006C0798" w:rsidRDefault="006C0798" w:rsidP="006C0798">
      <w:pPr>
        <w:numPr>
          <w:ilvl w:val="0"/>
          <w:numId w:val="13"/>
        </w:numPr>
      </w:pPr>
      <w:r w:rsidRPr="006C0798">
        <w:t>reduce payout per event</w:t>
      </w:r>
    </w:p>
    <w:p w14:paraId="4FA81C27" w14:textId="77777777" w:rsidR="006C0798" w:rsidRPr="006C0798" w:rsidRDefault="006C0798" w:rsidP="006C0798">
      <w:pPr>
        <w:numPr>
          <w:ilvl w:val="0"/>
          <w:numId w:val="13"/>
        </w:numPr>
      </w:pPr>
      <w:r w:rsidRPr="006C0798">
        <w:t>limit number of payable events</w:t>
      </w:r>
    </w:p>
    <w:p w14:paraId="7F4CD41D" w14:textId="77777777" w:rsidR="006C0798" w:rsidRPr="006C0798" w:rsidRDefault="006C0798" w:rsidP="006C0798">
      <w:pPr>
        <w:numPr>
          <w:ilvl w:val="0"/>
          <w:numId w:val="13"/>
        </w:numPr>
      </w:pPr>
      <w:r w:rsidRPr="006C0798">
        <w:t>reduce expected loss exposure</w:t>
      </w:r>
    </w:p>
    <w:p w14:paraId="41725578" w14:textId="77777777" w:rsidR="006C0798" w:rsidRPr="006C0798" w:rsidRDefault="00286812" w:rsidP="006C0798">
      <w:r w:rsidRPr="006C0798">
        <w:rPr>
          <w:noProof/>
        </w:rPr>
        <w:pict w14:anchorId="3CF89123">
          <v:rect id="_x0000_i1030" style="width:0;height:1.5pt" o:hralign="center" o:hrstd="t" o:hr="t" fillcolor="#a0a0a0" stroked="f"/>
        </w:pict>
      </w:r>
    </w:p>
    <w:p w14:paraId="5A45BCE0" w14:textId="77777777" w:rsidR="006C0798" w:rsidRPr="006C0798" w:rsidRDefault="006C0798" w:rsidP="006C0798">
      <w:pPr>
        <w:rPr>
          <w:b/>
          <w:bCs/>
        </w:rPr>
      </w:pPr>
      <w:r w:rsidRPr="006C0798">
        <w:rPr>
          <w:b/>
          <w:bCs/>
        </w:rPr>
        <w:lastRenderedPageBreak/>
        <w:t>7.3 Adjusted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1309"/>
      </w:tblGrid>
      <w:tr w:rsidR="006C0798" w:rsidRPr="006C0798" w14:paraId="3D307535" w14:textId="77777777">
        <w:trPr>
          <w:tblHeader/>
          <w:tblCellSpacing w:w="15" w:type="dxa"/>
        </w:trPr>
        <w:tc>
          <w:tcPr>
            <w:tcW w:w="0" w:type="auto"/>
            <w:vAlign w:val="center"/>
            <w:hideMark/>
          </w:tcPr>
          <w:p w14:paraId="406BC6E0" w14:textId="77777777" w:rsidR="006C0798" w:rsidRPr="006C0798" w:rsidRDefault="006C0798" w:rsidP="006C0798">
            <w:pPr>
              <w:rPr>
                <w:b/>
                <w:bCs/>
              </w:rPr>
            </w:pPr>
            <w:r w:rsidRPr="006C0798">
              <w:rPr>
                <w:b/>
                <w:bCs/>
              </w:rPr>
              <w:t>Parameter</w:t>
            </w:r>
          </w:p>
        </w:tc>
        <w:tc>
          <w:tcPr>
            <w:tcW w:w="0" w:type="auto"/>
            <w:vAlign w:val="center"/>
            <w:hideMark/>
          </w:tcPr>
          <w:p w14:paraId="01B94FA1" w14:textId="77777777" w:rsidR="006C0798" w:rsidRPr="006C0798" w:rsidRDefault="006C0798" w:rsidP="006C0798">
            <w:pPr>
              <w:rPr>
                <w:b/>
                <w:bCs/>
              </w:rPr>
            </w:pPr>
            <w:r w:rsidRPr="006C0798">
              <w:rPr>
                <w:b/>
                <w:bCs/>
              </w:rPr>
              <w:t>Value</w:t>
            </w:r>
          </w:p>
        </w:tc>
      </w:tr>
      <w:tr w:rsidR="006C0798" w:rsidRPr="006C0798" w14:paraId="38F20EAB" w14:textId="77777777">
        <w:trPr>
          <w:tblCellSpacing w:w="15" w:type="dxa"/>
        </w:trPr>
        <w:tc>
          <w:tcPr>
            <w:tcW w:w="0" w:type="auto"/>
            <w:vAlign w:val="center"/>
            <w:hideMark/>
          </w:tcPr>
          <w:p w14:paraId="070D420F" w14:textId="77777777" w:rsidR="006C0798" w:rsidRPr="006C0798" w:rsidRDefault="006C0798" w:rsidP="006C0798">
            <w:r w:rsidRPr="006C0798">
              <w:t>Payout/event</w:t>
            </w:r>
          </w:p>
        </w:tc>
        <w:tc>
          <w:tcPr>
            <w:tcW w:w="0" w:type="auto"/>
            <w:vAlign w:val="center"/>
            <w:hideMark/>
          </w:tcPr>
          <w:p w14:paraId="22ABEEBA" w14:textId="77777777" w:rsidR="006C0798" w:rsidRPr="006C0798" w:rsidRDefault="006C0798" w:rsidP="006C0798">
            <w:r w:rsidRPr="006C0798">
              <w:t>₹300</w:t>
            </w:r>
          </w:p>
        </w:tc>
      </w:tr>
      <w:tr w:rsidR="006C0798" w:rsidRPr="006C0798" w14:paraId="0638480C" w14:textId="77777777">
        <w:trPr>
          <w:tblCellSpacing w:w="15" w:type="dxa"/>
        </w:trPr>
        <w:tc>
          <w:tcPr>
            <w:tcW w:w="0" w:type="auto"/>
            <w:vAlign w:val="center"/>
            <w:hideMark/>
          </w:tcPr>
          <w:p w14:paraId="39297955" w14:textId="77777777" w:rsidR="006C0798" w:rsidRPr="006C0798" w:rsidRDefault="006C0798" w:rsidP="006C0798">
            <w:r w:rsidRPr="006C0798">
              <w:t>Max events/week</w:t>
            </w:r>
          </w:p>
        </w:tc>
        <w:tc>
          <w:tcPr>
            <w:tcW w:w="0" w:type="auto"/>
            <w:vAlign w:val="center"/>
            <w:hideMark/>
          </w:tcPr>
          <w:p w14:paraId="07208919" w14:textId="77777777" w:rsidR="006C0798" w:rsidRPr="006C0798" w:rsidRDefault="006C0798" w:rsidP="006C0798">
            <w:r w:rsidRPr="006C0798">
              <w:t>2</w:t>
            </w:r>
          </w:p>
        </w:tc>
      </w:tr>
      <w:tr w:rsidR="006C0798" w:rsidRPr="006C0798" w14:paraId="351FF601" w14:textId="77777777">
        <w:trPr>
          <w:tblCellSpacing w:w="15" w:type="dxa"/>
        </w:trPr>
        <w:tc>
          <w:tcPr>
            <w:tcW w:w="0" w:type="auto"/>
            <w:vAlign w:val="center"/>
            <w:hideMark/>
          </w:tcPr>
          <w:p w14:paraId="38309E2C" w14:textId="77777777" w:rsidR="006C0798" w:rsidRPr="006C0798" w:rsidRDefault="006C0798" w:rsidP="006C0798">
            <w:r w:rsidRPr="006C0798">
              <w:t>Expected loss</w:t>
            </w:r>
          </w:p>
        </w:tc>
        <w:tc>
          <w:tcPr>
            <w:tcW w:w="0" w:type="auto"/>
            <w:vAlign w:val="center"/>
            <w:hideMark/>
          </w:tcPr>
          <w:p w14:paraId="3C30BF19" w14:textId="77777777" w:rsidR="006C0798" w:rsidRPr="006C0798" w:rsidRDefault="006C0798" w:rsidP="006C0798">
            <w:r w:rsidRPr="006C0798">
              <w:t>₹120 – ₹180</w:t>
            </w:r>
          </w:p>
        </w:tc>
      </w:tr>
    </w:tbl>
    <w:p w14:paraId="262D48A0" w14:textId="77777777" w:rsidR="006C0798" w:rsidRPr="006C0798" w:rsidRDefault="00286812" w:rsidP="006C0798">
      <w:r w:rsidRPr="006C0798">
        <w:rPr>
          <w:noProof/>
        </w:rPr>
        <w:pict w14:anchorId="1E184D8F">
          <v:rect id="_x0000_i1029" alt="" style="width:451.3pt;height:.05pt;mso-width-percent:0;mso-height-percent:0;mso-width-percent:0;mso-height-percent:0" o:hralign="center" o:hrstd="t" o:hr="t" fillcolor="#a0a0a0" stroked="f"/>
        </w:pict>
      </w:r>
    </w:p>
    <w:p w14:paraId="3247E7CF" w14:textId="77777777" w:rsidR="006C0798" w:rsidRPr="006C0798" w:rsidRDefault="006C0798" w:rsidP="006C0798">
      <w:pPr>
        <w:rPr>
          <w:b/>
          <w:bCs/>
        </w:rPr>
      </w:pPr>
      <w:r w:rsidRPr="006C0798">
        <w:rPr>
          <w:b/>
          <w:bCs/>
        </w:rPr>
        <w:t>7.4 Final Premium Range</w:t>
      </w:r>
    </w:p>
    <w:p w14:paraId="0B94C732" w14:textId="6031290B" w:rsidR="006C0798" w:rsidRPr="006C0798" w:rsidRDefault="006C0798" w:rsidP="006C0798">
      <m:oMathPara>
        <m:oMath>
          <m:r>
            <m:rPr>
              <m:nor/>
            </m:rPr>
            <m:t>₹</m:t>
          </m:r>
          <m:r>
            <w:rPr>
              <w:rFonts w:ascii="Cambria Math" w:hAnsi="Cambria Math"/>
            </w:rPr>
            <m:t>50</m:t>
          </m:r>
          <m:r>
            <m:rPr>
              <m:nor/>
            </m:rPr>
            <m:t>–₹</m:t>
          </m:r>
          <m:r>
            <w:rPr>
              <w:rFonts w:ascii="Cambria Math" w:hAnsi="Cambria Math"/>
            </w:rPr>
            <m:t>120</m:t>
          </m:r>
          <m:r>
            <m:rPr>
              <m:nor/>
            </m:rPr>
            <m:t xml:space="preserve"> per week</m:t>
          </m:r>
          <m:r>
            <w:br/>
          </m:r>
        </m:oMath>
      </m:oMathPara>
    </w:p>
    <w:p w14:paraId="65AA7838" w14:textId="77777777" w:rsidR="006C0798" w:rsidRPr="006C0798" w:rsidRDefault="00286812" w:rsidP="006C0798">
      <w:r w:rsidRPr="006C0798">
        <w:rPr>
          <w:noProof/>
        </w:rPr>
        <w:pict w14:anchorId="007D478C">
          <v:rect id="_x0000_i1028" alt="" style="width:451.3pt;height:.05pt;mso-width-percent:0;mso-height-percent:0;mso-width-percent:0;mso-height-percent:0" o:hralign="center" o:hrstd="t" o:hr="t" fillcolor="#a0a0a0" stroked="f"/>
        </w:pict>
      </w:r>
    </w:p>
    <w:p w14:paraId="57D2D8E1" w14:textId="77777777" w:rsidR="006C0798" w:rsidRPr="006C0798" w:rsidRDefault="006C0798" w:rsidP="006C0798">
      <w:pPr>
        <w:rPr>
          <w:b/>
          <w:bCs/>
        </w:rPr>
      </w:pPr>
      <w:r w:rsidRPr="006C0798">
        <w:rPr>
          <w:b/>
          <w:bCs/>
        </w:rPr>
        <w:t>7.5 Tiered Pricing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902"/>
        <w:gridCol w:w="1224"/>
      </w:tblGrid>
      <w:tr w:rsidR="006C0798" w:rsidRPr="006C0798" w14:paraId="5BA05D5A" w14:textId="77777777">
        <w:trPr>
          <w:tblHeader/>
          <w:tblCellSpacing w:w="15" w:type="dxa"/>
        </w:trPr>
        <w:tc>
          <w:tcPr>
            <w:tcW w:w="0" w:type="auto"/>
            <w:vAlign w:val="center"/>
            <w:hideMark/>
          </w:tcPr>
          <w:p w14:paraId="4ED71617" w14:textId="77777777" w:rsidR="006C0798" w:rsidRPr="006C0798" w:rsidRDefault="006C0798" w:rsidP="006C0798">
            <w:pPr>
              <w:rPr>
                <w:b/>
                <w:bCs/>
              </w:rPr>
            </w:pPr>
            <w:r w:rsidRPr="006C0798">
              <w:rPr>
                <w:b/>
                <w:bCs/>
              </w:rPr>
              <w:t>Plan</w:t>
            </w:r>
          </w:p>
        </w:tc>
        <w:tc>
          <w:tcPr>
            <w:tcW w:w="0" w:type="auto"/>
            <w:vAlign w:val="center"/>
            <w:hideMark/>
          </w:tcPr>
          <w:p w14:paraId="2C774ED7" w14:textId="77777777" w:rsidR="006C0798" w:rsidRPr="006C0798" w:rsidRDefault="006C0798" w:rsidP="006C0798">
            <w:pPr>
              <w:rPr>
                <w:b/>
                <w:bCs/>
              </w:rPr>
            </w:pPr>
            <w:r w:rsidRPr="006C0798">
              <w:rPr>
                <w:b/>
                <w:bCs/>
              </w:rPr>
              <w:t>Weekly Premium</w:t>
            </w:r>
          </w:p>
        </w:tc>
        <w:tc>
          <w:tcPr>
            <w:tcW w:w="0" w:type="auto"/>
            <w:vAlign w:val="center"/>
            <w:hideMark/>
          </w:tcPr>
          <w:p w14:paraId="781869D1" w14:textId="77777777" w:rsidR="006C0798" w:rsidRPr="006C0798" w:rsidRDefault="006C0798" w:rsidP="006C0798">
            <w:pPr>
              <w:rPr>
                <w:b/>
                <w:bCs/>
              </w:rPr>
            </w:pPr>
            <w:r w:rsidRPr="006C0798">
              <w:rPr>
                <w:b/>
                <w:bCs/>
              </w:rPr>
              <w:t>Coverage</w:t>
            </w:r>
          </w:p>
        </w:tc>
      </w:tr>
      <w:tr w:rsidR="006C0798" w:rsidRPr="006C0798" w14:paraId="260EC0E9" w14:textId="77777777">
        <w:trPr>
          <w:tblCellSpacing w:w="15" w:type="dxa"/>
        </w:trPr>
        <w:tc>
          <w:tcPr>
            <w:tcW w:w="0" w:type="auto"/>
            <w:vAlign w:val="center"/>
            <w:hideMark/>
          </w:tcPr>
          <w:p w14:paraId="322A2B39" w14:textId="77777777" w:rsidR="006C0798" w:rsidRPr="006C0798" w:rsidRDefault="006C0798" w:rsidP="006C0798">
            <w:r w:rsidRPr="006C0798">
              <w:t>Basic</w:t>
            </w:r>
          </w:p>
        </w:tc>
        <w:tc>
          <w:tcPr>
            <w:tcW w:w="0" w:type="auto"/>
            <w:vAlign w:val="center"/>
            <w:hideMark/>
          </w:tcPr>
          <w:p w14:paraId="16C90845" w14:textId="77777777" w:rsidR="006C0798" w:rsidRPr="006C0798" w:rsidRDefault="006C0798" w:rsidP="006C0798">
            <w:r w:rsidRPr="006C0798">
              <w:t>₹49</w:t>
            </w:r>
          </w:p>
        </w:tc>
        <w:tc>
          <w:tcPr>
            <w:tcW w:w="0" w:type="auto"/>
            <w:vAlign w:val="center"/>
            <w:hideMark/>
          </w:tcPr>
          <w:p w14:paraId="394EFB62" w14:textId="77777777" w:rsidR="006C0798" w:rsidRPr="006C0798" w:rsidRDefault="006C0798" w:rsidP="006C0798">
            <w:r w:rsidRPr="006C0798">
              <w:t>₹300/event</w:t>
            </w:r>
          </w:p>
        </w:tc>
      </w:tr>
      <w:tr w:rsidR="006C0798" w:rsidRPr="006C0798" w14:paraId="6A2D6AA5" w14:textId="77777777">
        <w:trPr>
          <w:tblCellSpacing w:w="15" w:type="dxa"/>
        </w:trPr>
        <w:tc>
          <w:tcPr>
            <w:tcW w:w="0" w:type="auto"/>
            <w:vAlign w:val="center"/>
            <w:hideMark/>
          </w:tcPr>
          <w:p w14:paraId="1F0B6A1C" w14:textId="77777777" w:rsidR="006C0798" w:rsidRPr="006C0798" w:rsidRDefault="006C0798" w:rsidP="006C0798">
            <w:r w:rsidRPr="006C0798">
              <w:t>Standard</w:t>
            </w:r>
          </w:p>
        </w:tc>
        <w:tc>
          <w:tcPr>
            <w:tcW w:w="0" w:type="auto"/>
            <w:vAlign w:val="center"/>
            <w:hideMark/>
          </w:tcPr>
          <w:p w14:paraId="13F2883F" w14:textId="77777777" w:rsidR="006C0798" w:rsidRPr="006C0798" w:rsidRDefault="006C0798" w:rsidP="006C0798">
            <w:r w:rsidRPr="006C0798">
              <w:t>₹79</w:t>
            </w:r>
          </w:p>
        </w:tc>
        <w:tc>
          <w:tcPr>
            <w:tcW w:w="0" w:type="auto"/>
            <w:vAlign w:val="center"/>
            <w:hideMark/>
          </w:tcPr>
          <w:p w14:paraId="5A6184B8" w14:textId="77777777" w:rsidR="006C0798" w:rsidRPr="006C0798" w:rsidRDefault="006C0798" w:rsidP="006C0798">
            <w:r w:rsidRPr="006C0798">
              <w:t>₹400/event</w:t>
            </w:r>
          </w:p>
        </w:tc>
      </w:tr>
      <w:tr w:rsidR="006C0798" w:rsidRPr="006C0798" w14:paraId="58368AA5" w14:textId="77777777">
        <w:trPr>
          <w:tblCellSpacing w:w="15" w:type="dxa"/>
        </w:trPr>
        <w:tc>
          <w:tcPr>
            <w:tcW w:w="0" w:type="auto"/>
            <w:vAlign w:val="center"/>
            <w:hideMark/>
          </w:tcPr>
          <w:p w14:paraId="6B613A0B" w14:textId="77777777" w:rsidR="006C0798" w:rsidRPr="006C0798" w:rsidRDefault="006C0798" w:rsidP="006C0798">
            <w:r w:rsidRPr="006C0798">
              <w:t>Premium</w:t>
            </w:r>
          </w:p>
        </w:tc>
        <w:tc>
          <w:tcPr>
            <w:tcW w:w="0" w:type="auto"/>
            <w:vAlign w:val="center"/>
            <w:hideMark/>
          </w:tcPr>
          <w:p w14:paraId="0BFCACBD" w14:textId="77777777" w:rsidR="006C0798" w:rsidRPr="006C0798" w:rsidRDefault="006C0798" w:rsidP="006C0798">
            <w:r w:rsidRPr="006C0798">
              <w:t>₹119</w:t>
            </w:r>
          </w:p>
        </w:tc>
        <w:tc>
          <w:tcPr>
            <w:tcW w:w="0" w:type="auto"/>
            <w:vAlign w:val="center"/>
            <w:hideMark/>
          </w:tcPr>
          <w:p w14:paraId="777B81FC" w14:textId="77777777" w:rsidR="006C0798" w:rsidRPr="006C0798" w:rsidRDefault="006C0798" w:rsidP="006C0798">
            <w:r w:rsidRPr="006C0798">
              <w:t>₹600/event</w:t>
            </w:r>
          </w:p>
        </w:tc>
      </w:tr>
    </w:tbl>
    <w:p w14:paraId="3F71BD93" w14:textId="77777777" w:rsidR="006C0798" w:rsidRPr="006C0798" w:rsidRDefault="00286812" w:rsidP="006C0798">
      <w:r w:rsidRPr="006C0798">
        <w:rPr>
          <w:noProof/>
        </w:rPr>
        <w:pict w14:anchorId="10DC7E84">
          <v:rect id="_x0000_i1027" alt="" style="width:451.3pt;height:.05pt;mso-width-percent:0;mso-height-percent:0;mso-width-percent:0;mso-height-percent:0" o:hralign="center" o:hrstd="t" o:hr="t" fillcolor="#a0a0a0" stroked="f"/>
        </w:pict>
      </w:r>
    </w:p>
    <w:p w14:paraId="09827DE2" w14:textId="77777777" w:rsidR="006C0798" w:rsidRPr="006C0798" w:rsidRDefault="006C0798" w:rsidP="006C0798">
      <w:pPr>
        <w:rPr>
          <w:b/>
          <w:bCs/>
        </w:rPr>
      </w:pPr>
      <w:r w:rsidRPr="006C0798">
        <w:rPr>
          <w:b/>
          <w:bCs/>
        </w:rPr>
        <w:t>8. Final Model Interpretation</w:t>
      </w:r>
    </w:p>
    <w:p w14:paraId="6E23F388" w14:textId="77777777" w:rsidR="006C0798" w:rsidRPr="006C0798" w:rsidRDefault="006C0798" w:rsidP="006C0798">
      <w:r w:rsidRPr="006C0798">
        <w:t>The premium model ensures:</w:t>
      </w:r>
    </w:p>
    <w:p w14:paraId="74429D97" w14:textId="77777777" w:rsidR="006C0798" w:rsidRPr="006C0798" w:rsidRDefault="006C0798" w:rsidP="006C0798">
      <w:pPr>
        <w:numPr>
          <w:ilvl w:val="0"/>
          <w:numId w:val="14"/>
        </w:numPr>
      </w:pPr>
      <w:r w:rsidRPr="006C0798">
        <w:t>expected claims are covered</w:t>
      </w:r>
    </w:p>
    <w:p w14:paraId="3AA4AD5B" w14:textId="77777777" w:rsidR="006C0798" w:rsidRPr="006C0798" w:rsidRDefault="006C0798" w:rsidP="006C0798">
      <w:pPr>
        <w:numPr>
          <w:ilvl w:val="0"/>
          <w:numId w:val="14"/>
        </w:numPr>
      </w:pPr>
      <w:r w:rsidRPr="006C0798">
        <w:t>risk variability is accounted for</w:t>
      </w:r>
    </w:p>
    <w:p w14:paraId="5A9B4D81" w14:textId="77777777" w:rsidR="006C0798" w:rsidRPr="006C0798" w:rsidRDefault="006C0798" w:rsidP="006C0798">
      <w:pPr>
        <w:numPr>
          <w:ilvl w:val="0"/>
          <w:numId w:val="14"/>
        </w:numPr>
      </w:pPr>
      <w:r w:rsidRPr="006C0798">
        <w:t>pricing remains affordable</w:t>
      </w:r>
    </w:p>
    <w:p w14:paraId="12F938B7" w14:textId="77777777" w:rsidR="006C0798" w:rsidRPr="006C0798" w:rsidRDefault="00286812" w:rsidP="006C0798">
      <w:r w:rsidRPr="006C0798">
        <w:rPr>
          <w:noProof/>
        </w:rPr>
        <w:pict w14:anchorId="0B236353">
          <v:rect id="_x0000_i1026" alt="" style="width:451.3pt;height:.05pt;mso-width-percent:0;mso-height-percent:0;mso-width-percent:0;mso-height-percent:0" o:hralign="center" o:hrstd="t" o:hr="t" fillcolor="#a0a0a0" stroked="f"/>
        </w:pict>
      </w:r>
    </w:p>
    <w:p w14:paraId="7E0178B4" w14:textId="77777777" w:rsidR="006C0798" w:rsidRPr="006C0798" w:rsidRDefault="006C0798" w:rsidP="006C0798">
      <w:pPr>
        <w:rPr>
          <w:b/>
          <w:bCs/>
        </w:rPr>
      </w:pPr>
      <w:r w:rsidRPr="006C0798">
        <w:rPr>
          <w:b/>
          <w:bCs/>
        </w:rPr>
        <w:t>9. Key Insight</w:t>
      </w:r>
    </w:p>
    <w:p w14:paraId="19808263" w14:textId="77777777" w:rsidR="006C0798" w:rsidRPr="006C0798" w:rsidRDefault="006C0798" w:rsidP="006C0798">
      <w:r w:rsidRPr="006C0798">
        <w:t>Insurance pricing is fundamentally based on the expected value of future losses, adjusted for uncertainty and operational costs. Parametric insurance simplifies this process by linking payouts directly to measurable triggers, enabling efficient and transparent premium calculation.</w:t>
      </w:r>
    </w:p>
    <w:p w14:paraId="7216C024" w14:textId="77777777" w:rsidR="006C0798" w:rsidRPr="006C0798" w:rsidRDefault="00286812" w:rsidP="006C0798">
      <w:r w:rsidRPr="006C0798">
        <w:rPr>
          <w:noProof/>
        </w:rPr>
        <w:pict w14:anchorId="40A7DB94">
          <v:rect id="_x0000_i1025" style="width:0;height:1.5pt" o:hralign="center" o:hrstd="t" o:hr="t" fillcolor="#a0a0a0" stroked="f"/>
        </w:pict>
      </w:r>
    </w:p>
    <w:p w14:paraId="6DD61D69" w14:textId="77777777" w:rsidR="006C0798" w:rsidRPr="006C0798" w:rsidRDefault="006C0798" w:rsidP="006C0798">
      <w:pPr>
        <w:rPr>
          <w:b/>
          <w:bCs/>
        </w:rPr>
      </w:pPr>
      <w:r w:rsidRPr="006C0798">
        <w:rPr>
          <w:rFonts w:ascii="Apple Color Emoji" w:hAnsi="Apple Color Emoji" w:cs="Apple Color Emoji"/>
          <w:b/>
          <w:bCs/>
        </w:rPr>
        <w:lastRenderedPageBreak/>
        <w:t>📚</w:t>
      </w:r>
      <w:r w:rsidRPr="006C0798">
        <w:rPr>
          <w:b/>
          <w:bCs/>
        </w:rPr>
        <w:t xml:space="preserve"> REFERENCES</w:t>
      </w:r>
    </w:p>
    <w:p w14:paraId="4A333A68" w14:textId="77777777" w:rsidR="006C0798" w:rsidRPr="006C0798" w:rsidRDefault="006C0798" w:rsidP="006C0798">
      <w:r w:rsidRPr="006C0798">
        <w:t>[1] IRMI – Fair Premiums and Risk Margins in Insurance Pricing </w:t>
      </w:r>
      <w:r w:rsidRPr="006C0798">
        <w:br/>
        <w:t>[2] Loss Data Analytics – Premium Foundations (Actuarial Pricing) </w:t>
      </w:r>
      <w:r w:rsidRPr="006C0798">
        <w:br/>
        <w:t>[3] StudySmarter – Insurance Premium Formula (Expected Loss = Probability × Loss) </w:t>
      </w:r>
      <w:r w:rsidRPr="006C0798">
        <w:br/>
        <w:t>[4] Tsanakas (2005) – Expected Loss as Basis for Fair Premium </w:t>
      </w:r>
      <w:r w:rsidRPr="006C0798">
        <w:br/>
        <w:t>[5] Arbol – Parametric Insurance Pricing Mechanism </w:t>
      </w:r>
      <w:r w:rsidRPr="006C0798">
        <w:br/>
        <w:t>[6] IAIS – Parametric Insurance Characteristics </w:t>
      </w:r>
      <w:r w:rsidRPr="006C0798">
        <w:br/>
        <w:t>[7] Ecosystem Analysis for Income Protection Modeling</w:t>
      </w:r>
      <w:r w:rsidRPr="006C0798">
        <w:br/>
        <w:t>[8] Swiggy Instamart Delivery Partner Ecosystem</w:t>
      </w:r>
      <w:r w:rsidRPr="006C0798">
        <w:br/>
        <w:t>[9] BigBasket Now Delivery Partner Ecosystem</w:t>
      </w:r>
      <w:r w:rsidRPr="006C0798">
        <w:br/>
        <w:t>[10] Flipkart Minutes Delivery Partner Ecosystem</w:t>
      </w:r>
    </w:p>
    <w:p w14:paraId="3726891A" w14:textId="77777777" w:rsidR="00FC40FF" w:rsidRDefault="00FC40FF"/>
    <w:sectPr w:rsidR="00FC40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84C"/>
    <w:multiLevelType w:val="multilevel"/>
    <w:tmpl w:val="D3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5593"/>
    <w:multiLevelType w:val="multilevel"/>
    <w:tmpl w:val="57CC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CE"/>
    <w:multiLevelType w:val="multilevel"/>
    <w:tmpl w:val="4A5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7389C"/>
    <w:multiLevelType w:val="multilevel"/>
    <w:tmpl w:val="10C6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82D94"/>
    <w:multiLevelType w:val="multilevel"/>
    <w:tmpl w:val="869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A2311"/>
    <w:multiLevelType w:val="multilevel"/>
    <w:tmpl w:val="E6C2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DB07E5"/>
    <w:multiLevelType w:val="multilevel"/>
    <w:tmpl w:val="0CDC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5320D"/>
    <w:multiLevelType w:val="multilevel"/>
    <w:tmpl w:val="96C6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9C5C5A"/>
    <w:multiLevelType w:val="multilevel"/>
    <w:tmpl w:val="6A58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60FDF"/>
    <w:multiLevelType w:val="multilevel"/>
    <w:tmpl w:val="16D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4862D9"/>
    <w:multiLevelType w:val="multilevel"/>
    <w:tmpl w:val="C562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B2C78"/>
    <w:multiLevelType w:val="multilevel"/>
    <w:tmpl w:val="82AE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A2327D"/>
    <w:multiLevelType w:val="multilevel"/>
    <w:tmpl w:val="699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66EA3"/>
    <w:multiLevelType w:val="multilevel"/>
    <w:tmpl w:val="756E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793357">
    <w:abstractNumId w:val="4"/>
  </w:num>
  <w:num w:numId="2" w16cid:durableId="1962417917">
    <w:abstractNumId w:val="10"/>
  </w:num>
  <w:num w:numId="3" w16cid:durableId="1089739274">
    <w:abstractNumId w:val="6"/>
  </w:num>
  <w:num w:numId="4" w16cid:durableId="1123498457">
    <w:abstractNumId w:val="7"/>
  </w:num>
  <w:num w:numId="5" w16cid:durableId="2134202822">
    <w:abstractNumId w:val="0"/>
  </w:num>
  <w:num w:numId="6" w16cid:durableId="1632133499">
    <w:abstractNumId w:val="11"/>
  </w:num>
  <w:num w:numId="7" w16cid:durableId="1526866218">
    <w:abstractNumId w:val="1"/>
  </w:num>
  <w:num w:numId="8" w16cid:durableId="1104568023">
    <w:abstractNumId w:val="9"/>
  </w:num>
  <w:num w:numId="9" w16cid:durableId="1834223877">
    <w:abstractNumId w:val="3"/>
  </w:num>
  <w:num w:numId="10" w16cid:durableId="1327170954">
    <w:abstractNumId w:val="8"/>
  </w:num>
  <w:num w:numId="11" w16cid:durableId="1590887636">
    <w:abstractNumId w:val="13"/>
  </w:num>
  <w:num w:numId="12" w16cid:durableId="1289510969">
    <w:abstractNumId w:val="5"/>
  </w:num>
  <w:num w:numId="13" w16cid:durableId="794368980">
    <w:abstractNumId w:val="2"/>
  </w:num>
  <w:num w:numId="14" w16cid:durableId="20666792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798"/>
    <w:rsid w:val="00286812"/>
    <w:rsid w:val="004E4AA2"/>
    <w:rsid w:val="006C0798"/>
    <w:rsid w:val="00F41000"/>
    <w:rsid w:val="00FC40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351BF"/>
  <w15:chartTrackingRefBased/>
  <w15:docId w15:val="{D4389139-A750-A64C-846A-C857532DC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7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7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7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7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7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7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7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7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7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798"/>
    <w:rPr>
      <w:rFonts w:eastAsiaTheme="majorEastAsia" w:cstheme="majorBidi"/>
      <w:color w:val="272727" w:themeColor="text1" w:themeTint="D8"/>
    </w:rPr>
  </w:style>
  <w:style w:type="paragraph" w:styleId="Title">
    <w:name w:val="Title"/>
    <w:basedOn w:val="Normal"/>
    <w:next w:val="Normal"/>
    <w:link w:val="TitleChar"/>
    <w:uiPriority w:val="10"/>
    <w:qFormat/>
    <w:rsid w:val="006C07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7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798"/>
    <w:pPr>
      <w:spacing w:before="160"/>
      <w:jc w:val="center"/>
    </w:pPr>
    <w:rPr>
      <w:i/>
      <w:iCs/>
      <w:color w:val="404040" w:themeColor="text1" w:themeTint="BF"/>
    </w:rPr>
  </w:style>
  <w:style w:type="character" w:customStyle="1" w:styleId="QuoteChar">
    <w:name w:val="Quote Char"/>
    <w:basedOn w:val="DefaultParagraphFont"/>
    <w:link w:val="Quote"/>
    <w:uiPriority w:val="29"/>
    <w:rsid w:val="006C0798"/>
    <w:rPr>
      <w:i/>
      <w:iCs/>
      <w:color w:val="404040" w:themeColor="text1" w:themeTint="BF"/>
    </w:rPr>
  </w:style>
  <w:style w:type="paragraph" w:styleId="ListParagraph">
    <w:name w:val="List Paragraph"/>
    <w:basedOn w:val="Normal"/>
    <w:uiPriority w:val="34"/>
    <w:qFormat/>
    <w:rsid w:val="006C0798"/>
    <w:pPr>
      <w:ind w:left="720"/>
      <w:contextualSpacing/>
    </w:pPr>
  </w:style>
  <w:style w:type="character" w:styleId="IntenseEmphasis">
    <w:name w:val="Intense Emphasis"/>
    <w:basedOn w:val="DefaultParagraphFont"/>
    <w:uiPriority w:val="21"/>
    <w:qFormat/>
    <w:rsid w:val="006C0798"/>
    <w:rPr>
      <w:i/>
      <w:iCs/>
      <w:color w:val="0F4761" w:themeColor="accent1" w:themeShade="BF"/>
    </w:rPr>
  </w:style>
  <w:style w:type="paragraph" w:styleId="IntenseQuote">
    <w:name w:val="Intense Quote"/>
    <w:basedOn w:val="Normal"/>
    <w:next w:val="Normal"/>
    <w:link w:val="IntenseQuoteChar"/>
    <w:uiPriority w:val="30"/>
    <w:qFormat/>
    <w:rsid w:val="006C07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798"/>
    <w:rPr>
      <w:i/>
      <w:iCs/>
      <w:color w:val="0F4761" w:themeColor="accent1" w:themeShade="BF"/>
    </w:rPr>
  </w:style>
  <w:style w:type="character" w:styleId="IntenseReference">
    <w:name w:val="Intense Reference"/>
    <w:basedOn w:val="DefaultParagraphFont"/>
    <w:uiPriority w:val="32"/>
    <w:qFormat/>
    <w:rsid w:val="006C07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795</Words>
  <Characters>5151</Characters>
  <Application>Microsoft Office Word</Application>
  <DocSecurity>0</DocSecurity>
  <Lines>214</Lines>
  <Paragraphs>174</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CHENNUPALLI LAXMI VARSHITHA</dc:creator>
  <cp:keywords/>
  <dc:description/>
  <cp:lastModifiedBy>CHENNUPALLI LAXMI VARSHITHA</cp:lastModifiedBy>
  <cp:revision>1</cp:revision>
  <dcterms:created xsi:type="dcterms:W3CDTF">2026-03-17T18:31:00Z</dcterms:created>
  <dcterms:modified xsi:type="dcterms:W3CDTF">2026-03-17T18:31:00Z</dcterms:modified>
</cp:coreProperties>
</file>