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53AE9" w14:textId="77777777" w:rsidR="0040029E" w:rsidRPr="0040029E" w:rsidRDefault="0040029E" w:rsidP="0040029E">
      <w:pPr>
        <w:pStyle w:val="Heading1"/>
        <w:jc w:val="center"/>
        <w:rPr>
          <w:rFonts w:ascii="Calibri" w:hAnsi="Calibri" w:cs="Calibri"/>
          <w:b/>
          <w:bCs/>
          <w:color w:val="000000"/>
          <w:sz w:val="32"/>
          <w:szCs w:val="32"/>
        </w:rPr>
      </w:pPr>
      <w:r w:rsidRPr="0040029E">
        <w:rPr>
          <w:rFonts w:ascii="Calibri" w:hAnsi="Calibri" w:cs="Calibri"/>
          <w:b/>
          <w:bCs/>
          <w:color w:val="000000"/>
          <w:sz w:val="32"/>
          <w:szCs w:val="32"/>
        </w:rPr>
        <w:t>D. INSURANCE LOGIC SECTION</w:t>
      </w:r>
    </w:p>
    <w:p w14:paraId="0E21CACC" w14:textId="77777777" w:rsidR="0040029E" w:rsidRPr="0040029E" w:rsidRDefault="0040029E" w:rsidP="0040029E">
      <w:pPr>
        <w:pStyle w:val="Heading2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Income Protection and Policy Design for Parametric Insurance System</w:t>
      </w:r>
    </w:p>
    <w:p w14:paraId="416DB8E5" w14:textId="77777777" w:rsidR="0040029E" w:rsidRPr="0040029E" w:rsidRDefault="00634279" w:rsidP="0040029E">
      <w:pPr>
        <w:rPr>
          <w:rFonts w:ascii="Calibri" w:hAnsi="Calibri" w:cs="Calibri"/>
        </w:rPr>
      </w:pPr>
      <w:r w:rsidRPr="00634279">
        <w:rPr>
          <w:rFonts w:ascii="Calibri" w:hAnsi="Calibri" w:cs="Calibri"/>
          <w:noProof/>
        </w:rPr>
        <w:pict w14:anchorId="0208B83B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295AF94B" w14:textId="77777777" w:rsidR="0040029E" w:rsidRPr="0040029E" w:rsidRDefault="0040029E" w:rsidP="0040029E">
      <w:pPr>
        <w:pStyle w:val="Heading2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1. Objective</w:t>
      </w:r>
    </w:p>
    <w:p w14:paraId="221A6C65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The insurance logic defines the</w:t>
      </w:r>
      <w:r w:rsidRPr="0040029E">
        <w:rPr>
          <w:rStyle w:val="apple-converted-space"/>
          <w:rFonts w:ascii="Calibri" w:hAnsi="Calibri" w:cs="Calibri"/>
          <w:color w:val="000000"/>
        </w:rPr>
        <w:t> </w:t>
      </w:r>
      <w:r w:rsidRPr="0040029E">
        <w:rPr>
          <w:rStyle w:val="Strong"/>
          <w:rFonts w:ascii="Calibri" w:hAnsi="Calibri" w:cs="Calibri"/>
          <w:color w:val="000000"/>
        </w:rPr>
        <w:t>end-to-end operational mechanism</w:t>
      </w:r>
      <w:r w:rsidRPr="0040029E">
        <w:rPr>
          <w:rStyle w:val="apple-converted-space"/>
          <w:rFonts w:ascii="Calibri" w:hAnsi="Calibri" w:cs="Calibri"/>
          <w:color w:val="000000"/>
        </w:rPr>
        <w:t> </w:t>
      </w:r>
      <w:r w:rsidRPr="0040029E">
        <w:rPr>
          <w:rFonts w:ascii="Calibri" w:hAnsi="Calibri" w:cs="Calibri"/>
          <w:color w:val="000000"/>
        </w:rPr>
        <w:t>of the parametric insurance product, including:</w:t>
      </w:r>
    </w:p>
    <w:p w14:paraId="6ABD105E" w14:textId="77777777" w:rsidR="0040029E" w:rsidRPr="0040029E" w:rsidRDefault="0040029E" w:rsidP="0040029E">
      <w:pPr>
        <w:pStyle w:val="NormalWeb"/>
        <w:numPr>
          <w:ilvl w:val="0"/>
          <w:numId w:val="52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income loss estimation</w:t>
      </w:r>
    </w:p>
    <w:p w14:paraId="7229D065" w14:textId="77777777" w:rsidR="0040029E" w:rsidRPr="0040029E" w:rsidRDefault="0040029E" w:rsidP="0040029E">
      <w:pPr>
        <w:pStyle w:val="NormalWeb"/>
        <w:numPr>
          <w:ilvl w:val="0"/>
          <w:numId w:val="52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coverage structure</w:t>
      </w:r>
    </w:p>
    <w:p w14:paraId="492CA242" w14:textId="77777777" w:rsidR="0040029E" w:rsidRPr="0040029E" w:rsidRDefault="0040029E" w:rsidP="0040029E">
      <w:pPr>
        <w:pStyle w:val="NormalWeb"/>
        <w:numPr>
          <w:ilvl w:val="0"/>
          <w:numId w:val="52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payout mechanism</w:t>
      </w:r>
    </w:p>
    <w:p w14:paraId="5059A9A6" w14:textId="77777777" w:rsidR="0040029E" w:rsidRPr="0040029E" w:rsidRDefault="0040029E" w:rsidP="0040029E">
      <w:pPr>
        <w:pStyle w:val="NormalWeb"/>
        <w:numPr>
          <w:ilvl w:val="0"/>
          <w:numId w:val="52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weekly policy lifecycle</w:t>
      </w:r>
    </w:p>
    <w:p w14:paraId="1ACE1FD2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The system is designed to provide</w:t>
      </w:r>
      <w:r w:rsidRPr="0040029E">
        <w:rPr>
          <w:rStyle w:val="apple-converted-space"/>
          <w:rFonts w:ascii="Calibri" w:hAnsi="Calibri" w:cs="Calibri"/>
          <w:color w:val="000000"/>
        </w:rPr>
        <w:t> </w:t>
      </w:r>
      <w:r w:rsidRPr="0040029E">
        <w:rPr>
          <w:rStyle w:val="Strong"/>
          <w:rFonts w:ascii="Calibri" w:hAnsi="Calibri" w:cs="Calibri"/>
          <w:color w:val="000000"/>
        </w:rPr>
        <w:t>rapid financial support for income disruptions</w:t>
      </w:r>
      <w:r w:rsidRPr="0040029E">
        <w:rPr>
          <w:rFonts w:ascii="Calibri" w:hAnsi="Calibri" w:cs="Calibri"/>
          <w:color w:val="000000"/>
        </w:rPr>
        <w:t>, using predefined trigger-based payouts instead of traditional claim-based assessment.</w:t>
      </w:r>
    </w:p>
    <w:p w14:paraId="70A77EF2" w14:textId="77777777" w:rsidR="0040029E" w:rsidRPr="0040029E" w:rsidRDefault="00634279" w:rsidP="0040029E">
      <w:pPr>
        <w:rPr>
          <w:rFonts w:ascii="Calibri" w:hAnsi="Calibri" w:cs="Calibri"/>
        </w:rPr>
      </w:pPr>
      <w:r w:rsidRPr="00634279">
        <w:rPr>
          <w:rFonts w:ascii="Calibri" w:hAnsi="Calibri" w:cs="Calibri"/>
          <w:noProof/>
        </w:rPr>
        <w:pict w14:anchorId="1DF43246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64BE0AF0" w14:textId="77777777" w:rsidR="0040029E" w:rsidRPr="0040029E" w:rsidRDefault="0040029E" w:rsidP="0040029E">
      <w:pPr>
        <w:pStyle w:val="Heading2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2. Income Loss Calculation</w:t>
      </w:r>
    </w:p>
    <w:p w14:paraId="69B69125" w14:textId="77777777" w:rsidR="0040029E" w:rsidRPr="0040029E" w:rsidRDefault="00634279" w:rsidP="0040029E">
      <w:pPr>
        <w:rPr>
          <w:rFonts w:ascii="Calibri" w:hAnsi="Calibri" w:cs="Calibri"/>
        </w:rPr>
      </w:pPr>
      <w:r w:rsidRPr="00634279">
        <w:rPr>
          <w:rFonts w:ascii="Calibri" w:hAnsi="Calibri" w:cs="Calibri"/>
          <w:noProof/>
        </w:rPr>
        <w:pict w14:anchorId="4BD56353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1BEB313A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2.1 Conceptual Definition</w:t>
      </w:r>
    </w:p>
    <w:p w14:paraId="28CC506B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Income loss represents the</w:t>
      </w:r>
      <w:r w:rsidRPr="0040029E">
        <w:rPr>
          <w:rStyle w:val="apple-converted-space"/>
          <w:rFonts w:ascii="Calibri" w:hAnsi="Calibri" w:cs="Calibri"/>
          <w:color w:val="000000"/>
        </w:rPr>
        <w:t> </w:t>
      </w:r>
      <w:r w:rsidRPr="0040029E">
        <w:rPr>
          <w:rStyle w:val="Strong"/>
          <w:rFonts w:ascii="Calibri" w:hAnsi="Calibri" w:cs="Calibri"/>
          <w:color w:val="000000"/>
        </w:rPr>
        <w:t>difference between expected earnings and actual earnings during a disruption event</w:t>
      </w:r>
      <w:r w:rsidRPr="0040029E">
        <w:rPr>
          <w:rFonts w:ascii="Calibri" w:hAnsi="Calibri" w:cs="Calibri"/>
          <w:color w:val="000000"/>
        </w:rPr>
        <w:t>:</w:t>
      </w:r>
    </w:p>
    <w:p w14:paraId="4135E440" w14:textId="77777777" w:rsidR="0040029E" w:rsidRPr="0040029E" w:rsidRDefault="0040029E" w:rsidP="0040029E">
      <w:pPr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Income Loss</m:t>
          </m:r>
          <m:r>
            <w:rPr>
              <w:rFonts w:ascii="Cambria Math" w:hAnsi="Cambria Math" w:cs="Calibri"/>
            </w:rPr>
            <m:t>=</m:t>
          </m:r>
          <m:r>
            <m:rPr>
              <m:nor/>
            </m:rPr>
            <w:rPr>
              <w:rFonts w:ascii="Calibri" w:hAnsi="Calibri" w:cs="Calibri"/>
            </w:rPr>
            <m:t>Expected Income</m:t>
          </m:r>
          <m:r>
            <w:rPr>
              <w:rFonts w:ascii="Cambria Math" w:hAnsi="Cambria Math" w:cs="Calibri"/>
            </w:rPr>
            <m:t>-</m:t>
          </m:r>
          <m:r>
            <m:rPr>
              <m:nor/>
            </m:rPr>
            <w:rPr>
              <w:rFonts w:ascii="Calibri" w:hAnsi="Calibri" w:cs="Calibri"/>
            </w:rPr>
            <m:t>Actual Income</m:t>
          </m:r>
          <m:r>
            <w:rPr>
              <w:rFonts w:ascii="Calibri" w:hAnsi="Calibri" w:cs="Calibri"/>
            </w:rPr>
            <w:br/>
          </m:r>
        </m:oMath>
      </m:oMathPara>
    </w:p>
    <w:p w14:paraId="4B823AC0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This aligns with standard income protection frameworks where loss is measured relative to baseline earnings [1].</w:t>
      </w:r>
    </w:p>
    <w:p w14:paraId="5E14A6DF" w14:textId="77777777" w:rsidR="0040029E" w:rsidRPr="0040029E" w:rsidRDefault="00634279" w:rsidP="0040029E">
      <w:pPr>
        <w:rPr>
          <w:rFonts w:ascii="Calibri" w:hAnsi="Calibri" w:cs="Calibri"/>
        </w:rPr>
      </w:pPr>
      <w:r w:rsidRPr="00634279">
        <w:rPr>
          <w:rFonts w:ascii="Calibri" w:hAnsi="Calibri" w:cs="Calibri"/>
          <w:noProof/>
        </w:rPr>
        <w:pict w14:anchorId="5B48427C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5952B205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2.2 Expected Income</w:t>
      </w:r>
    </w:p>
    <w:p w14:paraId="54845111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Expected income is estimated using productivity variables:</w:t>
      </w:r>
    </w:p>
    <w:p w14:paraId="7326DE8D" w14:textId="77777777" w:rsidR="0040029E" w:rsidRPr="0040029E" w:rsidRDefault="0040029E" w:rsidP="0040029E">
      <w:pPr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Expected Income</m:t>
          </m:r>
          <m:r>
            <w:rPr>
              <w:rFonts w:ascii="Cambria Math" w:hAnsi="Cambria Math" w:cs="Calibri"/>
            </w:rPr>
            <m:t>=(</m:t>
          </m:r>
          <m:r>
            <m:rPr>
              <m:nor/>
            </m:rPr>
            <w:rPr>
              <w:rFonts w:ascii="Calibri" w:hAnsi="Calibri" w:cs="Calibri"/>
            </w:rPr>
            <m:t>Expected Orders</m:t>
          </m:r>
          <m:r>
            <w:rPr>
              <w:rFonts w:ascii="Cambria Math" w:hAnsi="Cambria Math" w:cs="Calibri"/>
            </w:rPr>
            <m:t>)×(</m:t>
          </m:r>
          <m:r>
            <m:rPr>
              <m:nor/>
            </m:rPr>
            <w:rPr>
              <w:rFonts w:ascii="Calibri" w:hAnsi="Calibri" w:cs="Calibri"/>
            </w:rPr>
            <m:t>Earnings per Order</m:t>
          </m:r>
          <m:r>
            <w:rPr>
              <w:rFonts w:ascii="Cambria Math" w:hAnsi="Cambria Math" w:cs="Calibri"/>
            </w:rPr>
            <m:t>)</m:t>
          </m:r>
          <m:r>
            <w:rPr>
              <w:rFonts w:ascii="Calibri" w:hAnsi="Calibri" w:cs="Calibri"/>
              <w:i/>
            </w:rPr>
            <w:br/>
          </m:r>
        </m:oMath>
      </m:oMathPara>
    </w:p>
    <w:p w14:paraId="3534BE36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From the dataset:</w:t>
      </w:r>
    </w:p>
    <w:p w14:paraId="4371E22D" w14:textId="77777777" w:rsidR="0040029E" w:rsidRPr="0040029E" w:rsidRDefault="0040029E" w:rsidP="0040029E">
      <w:pPr>
        <w:pStyle w:val="NormalWeb"/>
        <w:numPr>
          <w:ilvl w:val="0"/>
          <w:numId w:val="53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lastRenderedPageBreak/>
        <w:t>Orders/day: 20–55</w:t>
      </w:r>
    </w:p>
    <w:p w14:paraId="02FEB9E9" w14:textId="77777777" w:rsidR="0040029E" w:rsidRPr="0040029E" w:rsidRDefault="0040029E" w:rsidP="0040029E">
      <w:pPr>
        <w:pStyle w:val="NormalWeb"/>
        <w:numPr>
          <w:ilvl w:val="0"/>
          <w:numId w:val="53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Earnings/order: ₹25–₹75</w:t>
      </w:r>
    </w:p>
    <w:p w14:paraId="012EBFCB" w14:textId="77777777" w:rsidR="0040029E" w:rsidRPr="0040029E" w:rsidRDefault="0040029E" w:rsidP="0040029E">
      <w:pPr>
        <w:pStyle w:val="NormalWeb"/>
        <w:numPr>
          <w:ilvl w:val="0"/>
          <w:numId w:val="53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Average daily income: ₹1350</w:t>
      </w:r>
    </w:p>
    <w:p w14:paraId="79807F4C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[8]</w:t>
      </w:r>
    </w:p>
    <w:p w14:paraId="51A0926B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38954D2A">
          <v:rect id="_x0000_i1059" style="width:0;height:1.5pt" o:hralign="center" o:hrstd="t" o:hr="t" fillcolor="#a0a0a0" stroked="f"/>
        </w:pict>
      </w:r>
    </w:p>
    <w:p w14:paraId="181DFDA6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2.3 Actual Income</w:t>
      </w:r>
    </w:p>
    <w:p w14:paraId="51987690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Actual income is observed from:</w:t>
      </w:r>
    </w:p>
    <w:p w14:paraId="6109410F" w14:textId="77777777" w:rsidR="0040029E" w:rsidRPr="0040029E" w:rsidRDefault="0040029E" w:rsidP="0040029E">
      <w:pPr>
        <w:pStyle w:val="NormalWeb"/>
        <w:numPr>
          <w:ilvl w:val="0"/>
          <w:numId w:val="54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platform-reported earnings</w:t>
      </w:r>
    </w:p>
    <w:p w14:paraId="3B11D8FB" w14:textId="77777777" w:rsidR="0040029E" w:rsidRPr="0040029E" w:rsidRDefault="0040029E" w:rsidP="0040029E">
      <w:pPr>
        <w:pStyle w:val="NormalWeb"/>
        <w:numPr>
          <w:ilvl w:val="0"/>
          <w:numId w:val="54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realized delivery volume during disruption</w:t>
      </w:r>
    </w:p>
    <w:p w14:paraId="36BDEAAD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3C1A8D5A">
          <v:rect id="_x0000_i1058" style="width:0;height:1.5pt" o:hralign="center" o:hrstd="t" o:hr="t" fillcolor="#a0a0a0" stroked="f"/>
        </w:pict>
      </w:r>
    </w:p>
    <w:p w14:paraId="2EE0D25B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2.4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733"/>
        <w:gridCol w:w="813"/>
      </w:tblGrid>
      <w:tr w:rsidR="0040029E" w:rsidRPr="0040029E" w14:paraId="1BA39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2A8EE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5476AF5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FDF1133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Income</w:t>
            </w:r>
          </w:p>
        </w:tc>
      </w:tr>
      <w:tr w:rsidR="0040029E" w:rsidRPr="0040029E" w14:paraId="61A26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2F2B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2A2B71CB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FB9453F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₹1500</w:t>
            </w:r>
          </w:p>
        </w:tc>
      </w:tr>
      <w:tr w:rsidR="0040029E" w:rsidRPr="0040029E" w14:paraId="756D0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821C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Disruption</w:t>
            </w:r>
          </w:p>
        </w:tc>
        <w:tc>
          <w:tcPr>
            <w:tcW w:w="0" w:type="auto"/>
            <w:vAlign w:val="center"/>
            <w:hideMark/>
          </w:tcPr>
          <w:p w14:paraId="4BE34470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8C5557A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₹600</w:t>
            </w:r>
          </w:p>
        </w:tc>
      </w:tr>
    </w:tbl>
    <w:p w14:paraId="73865D66" w14:textId="77777777" w:rsidR="0040029E" w:rsidRPr="0040029E" w:rsidRDefault="0040029E" w:rsidP="0040029E">
      <w:pPr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Income Loss</m:t>
          </m:r>
          <m:r>
            <w:rPr>
              <w:rFonts w:ascii="Cambria Math" w:hAnsi="Cambria Math" w:cs="Calibri"/>
            </w:rPr>
            <m:t>=1500-600=</m:t>
          </m:r>
          <m:r>
            <m:rPr>
              <m:nor/>
            </m:rPr>
            <w:rPr>
              <w:rFonts w:ascii="Calibri" w:hAnsi="Calibri" w:cs="Calibri"/>
            </w:rPr>
            <m:t>₹</m:t>
          </m:r>
          <m:r>
            <w:rPr>
              <w:rFonts w:ascii="Cambria Math" w:hAnsi="Cambria Math" w:cs="Calibri"/>
            </w:rPr>
            <m:t>900</m:t>
          </m:r>
          <m:r>
            <w:rPr>
              <w:rFonts w:ascii="Calibri" w:hAnsi="Calibri" w:cs="Calibri"/>
              <w:i/>
            </w:rPr>
            <w:br/>
          </m:r>
        </m:oMath>
      </m:oMathPara>
    </w:p>
    <w:p w14:paraId="04BA017A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[9]</w:t>
      </w:r>
    </w:p>
    <w:p w14:paraId="6ED75CB1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6FE603C7">
          <v:rect id="_x0000_i1057" style="width:0;height:1.5pt" o:hralign="center" o:hrstd="t" o:hr="t" fillcolor="#a0a0a0" stroked="f"/>
        </w:pict>
      </w:r>
    </w:p>
    <w:p w14:paraId="570BD50E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2.5 Role in Parametric Insurance</w:t>
      </w:r>
    </w:p>
    <w:p w14:paraId="7BF9635B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In parametric insurance systems:</w:t>
      </w:r>
    </w:p>
    <w:p w14:paraId="2965A221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Payout is not equal to actual loss, but is a predefined amount linked to trigger occurrence.</w:t>
      </w:r>
    </w:p>
    <w:p w14:paraId="3B09A06F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This principle is fundamental to parametric insurance design [2][3].</w:t>
      </w:r>
    </w:p>
    <w:p w14:paraId="7B5C90FF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37084C3C">
          <v:rect id="_x0000_i1056" style="width:0;height:1.5pt" o:hralign="center" o:hrstd="t" o:hr="t" fillcolor="#a0a0a0" stroked="f"/>
        </w:pict>
      </w:r>
    </w:p>
    <w:p w14:paraId="29337C33" w14:textId="77777777" w:rsidR="0040029E" w:rsidRPr="0040029E" w:rsidRDefault="0040029E" w:rsidP="0040029E">
      <w:pPr>
        <w:pStyle w:val="Heading2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3. Coverage Rules</w:t>
      </w:r>
    </w:p>
    <w:p w14:paraId="37308A38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560DE50B">
          <v:rect id="_x0000_i1055" style="width:0;height:1.5pt" o:hralign="center" o:hrstd="t" o:hr="t" fillcolor="#a0a0a0" stroked="f"/>
        </w:pict>
      </w:r>
    </w:p>
    <w:p w14:paraId="5C334A14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3.1 Core Principle</w:t>
      </w:r>
    </w:p>
    <w:p w14:paraId="36ADC2E6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Parametric insurance provides</w:t>
      </w:r>
      <w:r w:rsidRPr="0040029E">
        <w:rPr>
          <w:rStyle w:val="apple-converted-space"/>
          <w:rFonts w:ascii="Calibri" w:hAnsi="Calibri" w:cs="Calibri"/>
          <w:color w:val="000000"/>
        </w:rPr>
        <w:t> </w:t>
      </w:r>
      <w:r w:rsidRPr="0040029E">
        <w:rPr>
          <w:rStyle w:val="Strong"/>
          <w:rFonts w:ascii="Calibri" w:hAnsi="Calibri" w:cs="Calibri"/>
          <w:color w:val="000000"/>
        </w:rPr>
        <w:t>event-based coverage</w:t>
      </w:r>
      <w:r w:rsidRPr="0040029E">
        <w:rPr>
          <w:rFonts w:ascii="Calibri" w:hAnsi="Calibri" w:cs="Calibri"/>
          <w:color w:val="000000"/>
        </w:rPr>
        <w:t>, where:</w:t>
      </w:r>
    </w:p>
    <w:p w14:paraId="431ABF08" w14:textId="77777777" w:rsidR="0040029E" w:rsidRPr="0040029E" w:rsidRDefault="0040029E" w:rsidP="0040029E">
      <w:pPr>
        <w:pStyle w:val="NormalWeb"/>
        <w:numPr>
          <w:ilvl w:val="0"/>
          <w:numId w:val="55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lastRenderedPageBreak/>
        <w:t>payout is triggered by measurable events</w:t>
      </w:r>
    </w:p>
    <w:p w14:paraId="741F68B3" w14:textId="77777777" w:rsidR="0040029E" w:rsidRPr="0040029E" w:rsidRDefault="0040029E" w:rsidP="0040029E">
      <w:pPr>
        <w:pStyle w:val="NormalWeb"/>
        <w:numPr>
          <w:ilvl w:val="0"/>
          <w:numId w:val="55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payout amount is predefined</w:t>
      </w:r>
    </w:p>
    <w:p w14:paraId="74009036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Unlike indemnity insurance, it does not compensate actual loss [2].</w:t>
      </w:r>
    </w:p>
    <w:p w14:paraId="54A96B1E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3E3075BF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27F2F59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3.2 Coverage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875"/>
        <w:gridCol w:w="3509"/>
      </w:tblGrid>
      <w:tr w:rsidR="0040029E" w:rsidRPr="0040029E" w14:paraId="04D21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82DD1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0128584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98FA96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Basis</w:t>
            </w:r>
          </w:p>
        </w:tc>
      </w:tr>
      <w:tr w:rsidR="0040029E" w:rsidRPr="0040029E" w14:paraId="44C6F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11E5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Coverage Type</w:t>
            </w:r>
          </w:p>
        </w:tc>
        <w:tc>
          <w:tcPr>
            <w:tcW w:w="0" w:type="auto"/>
            <w:vAlign w:val="center"/>
            <w:hideMark/>
          </w:tcPr>
          <w:p w14:paraId="742A26A6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Fixed payout</w:t>
            </w:r>
          </w:p>
        </w:tc>
        <w:tc>
          <w:tcPr>
            <w:tcW w:w="0" w:type="auto"/>
            <w:vAlign w:val="center"/>
            <w:hideMark/>
          </w:tcPr>
          <w:p w14:paraId="1019B1CF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parametric model</w:t>
            </w:r>
          </w:p>
        </w:tc>
      </w:tr>
      <w:tr w:rsidR="0040029E" w:rsidRPr="0040029E" w14:paraId="37DA5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9E02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Trigger Basis</w:t>
            </w:r>
          </w:p>
        </w:tc>
        <w:tc>
          <w:tcPr>
            <w:tcW w:w="0" w:type="auto"/>
            <w:vAlign w:val="center"/>
            <w:hideMark/>
          </w:tcPr>
          <w:p w14:paraId="238D66F4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Threshold crossing</w:t>
            </w:r>
          </w:p>
        </w:tc>
        <w:tc>
          <w:tcPr>
            <w:tcW w:w="0" w:type="auto"/>
            <w:vAlign w:val="center"/>
            <w:hideMark/>
          </w:tcPr>
          <w:p w14:paraId="02B36946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Section C (Parametric Trigger Logic)</w:t>
            </w:r>
          </w:p>
        </w:tc>
      </w:tr>
      <w:tr w:rsidR="0040029E" w:rsidRPr="0040029E" w14:paraId="1DF0C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FCA5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Coverage Limit</w:t>
            </w:r>
          </w:p>
        </w:tc>
        <w:tc>
          <w:tcPr>
            <w:tcW w:w="0" w:type="auto"/>
            <w:vAlign w:val="center"/>
            <w:hideMark/>
          </w:tcPr>
          <w:p w14:paraId="0DAC2BD9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₹200 – ₹1000</w:t>
            </w:r>
          </w:p>
        </w:tc>
        <w:tc>
          <w:tcPr>
            <w:tcW w:w="0" w:type="auto"/>
            <w:vAlign w:val="center"/>
            <w:hideMark/>
          </w:tcPr>
          <w:p w14:paraId="211AD882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pricing model</w:t>
            </w:r>
          </w:p>
        </w:tc>
      </w:tr>
      <w:tr w:rsidR="0040029E" w:rsidRPr="0040029E" w14:paraId="26697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8B27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Max Events/Week</w:t>
            </w:r>
          </w:p>
        </w:tc>
        <w:tc>
          <w:tcPr>
            <w:tcW w:w="0" w:type="auto"/>
            <w:vAlign w:val="center"/>
            <w:hideMark/>
          </w:tcPr>
          <w:p w14:paraId="52CB2B63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4C5519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exposure control</w:t>
            </w:r>
          </w:p>
        </w:tc>
      </w:tr>
    </w:tbl>
    <w:p w14:paraId="37B9416F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688D867D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91006A8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3.3 Coverage Rule Logic</w:t>
      </w:r>
    </w:p>
    <w:p w14:paraId="56DC31DF" w14:textId="77777777" w:rsidR="0040029E" w:rsidRPr="0040029E" w:rsidRDefault="0040029E" w:rsidP="0040029E">
      <w:pPr>
        <w:pStyle w:val="HTMLPreformatted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IF (Trigger Condition = TRUE)</w:t>
      </w:r>
      <w:r w:rsidRPr="0040029E">
        <w:rPr>
          <w:rFonts w:ascii="Calibri" w:hAnsi="Calibri" w:cs="Calibri"/>
          <w:color w:val="000000"/>
          <w:sz w:val="24"/>
          <w:szCs w:val="24"/>
        </w:rPr>
        <w:br/>
        <w:t>AND (Worker Active)</w:t>
      </w:r>
      <w:r w:rsidRPr="0040029E">
        <w:rPr>
          <w:rFonts w:ascii="Calibri" w:hAnsi="Calibri" w:cs="Calibri"/>
          <w:color w:val="000000"/>
          <w:sz w:val="24"/>
          <w:szCs w:val="24"/>
        </w:rPr>
        <w:br/>
        <w:t>THEN Payout = Predefined Amount</w:t>
      </w:r>
    </w:p>
    <w:p w14:paraId="587225DB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19B86CA5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E232757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3.4 Partial Coverage Design</w:t>
      </w:r>
    </w:p>
    <w:p w14:paraId="15A8F3D9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Coverage is designed as</w:t>
      </w:r>
      <w:r w:rsidRPr="0040029E">
        <w:rPr>
          <w:rStyle w:val="apple-converted-space"/>
          <w:rFonts w:ascii="Calibri" w:hAnsi="Calibri" w:cs="Calibri"/>
          <w:color w:val="000000"/>
        </w:rPr>
        <w:t> </w:t>
      </w:r>
      <w:r w:rsidRPr="0040029E">
        <w:rPr>
          <w:rStyle w:val="Strong"/>
          <w:rFonts w:ascii="Calibri" w:hAnsi="Calibri" w:cs="Calibri"/>
          <w:color w:val="000000"/>
        </w:rPr>
        <w:t>partial income replacement</w:t>
      </w:r>
      <w:r w:rsidRPr="0040029E">
        <w:rPr>
          <w:rFonts w:ascii="Calibri" w:hAnsi="Calibri" w:cs="Calibri"/>
          <w:color w:val="000000"/>
        </w:rPr>
        <w:t>, not full indemnification.</w:t>
      </w:r>
    </w:p>
    <w:p w14:paraId="0D9F8B00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Justification:</w:t>
      </w:r>
    </w:p>
    <w:p w14:paraId="3CA43732" w14:textId="77777777" w:rsidR="0040029E" w:rsidRPr="0040029E" w:rsidRDefault="0040029E" w:rsidP="0040029E">
      <w:pPr>
        <w:pStyle w:val="NormalWeb"/>
        <w:numPr>
          <w:ilvl w:val="0"/>
          <w:numId w:val="56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observed loss: ₹400–₹900 [9][10][11]</w:t>
      </w:r>
    </w:p>
    <w:p w14:paraId="02E65BD9" w14:textId="77777777" w:rsidR="0040029E" w:rsidRPr="0040029E" w:rsidRDefault="0040029E" w:rsidP="0040029E">
      <w:pPr>
        <w:pStyle w:val="NormalWeb"/>
        <w:numPr>
          <w:ilvl w:val="0"/>
          <w:numId w:val="56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parametric insurance is designed to provide</w:t>
      </w:r>
      <w:r w:rsidRPr="0040029E">
        <w:rPr>
          <w:rStyle w:val="apple-converted-space"/>
          <w:rFonts w:ascii="Calibri" w:hAnsi="Calibri" w:cs="Calibri"/>
          <w:color w:val="000000"/>
        </w:rPr>
        <w:t> </w:t>
      </w:r>
      <w:r w:rsidRPr="0040029E">
        <w:rPr>
          <w:rStyle w:val="Strong"/>
          <w:rFonts w:ascii="Calibri" w:hAnsi="Calibri" w:cs="Calibri"/>
          <w:color w:val="000000"/>
        </w:rPr>
        <w:t>liquidity support</w:t>
      </w:r>
      <w:r w:rsidRPr="0040029E">
        <w:rPr>
          <w:rFonts w:ascii="Calibri" w:hAnsi="Calibri" w:cs="Calibri"/>
          <w:color w:val="000000"/>
        </w:rPr>
        <w:t>, not exact compensation [3]</w:t>
      </w:r>
    </w:p>
    <w:p w14:paraId="5A5E4FC6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1A1271FB">
          <v:rect id="_x0000_i1051" style="width:0;height:1.5pt" o:hralign="center" o:hrstd="t" o:hr="t" fillcolor="#a0a0a0" stroked="f"/>
        </w:pict>
      </w:r>
    </w:p>
    <w:p w14:paraId="6F2744C2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3.5 Multi-Event Handling</w:t>
      </w:r>
    </w:p>
    <w:p w14:paraId="5085B18C" w14:textId="77777777" w:rsidR="0040029E" w:rsidRPr="0040029E" w:rsidRDefault="0040029E" w:rsidP="0040029E">
      <w:pPr>
        <w:pStyle w:val="NormalWeb"/>
        <w:numPr>
          <w:ilvl w:val="0"/>
          <w:numId w:val="57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multiple trigger events may occur within a policy period</w:t>
      </w:r>
    </w:p>
    <w:p w14:paraId="33F9376E" w14:textId="77777777" w:rsidR="0040029E" w:rsidRPr="0040029E" w:rsidRDefault="0040029E" w:rsidP="0040029E">
      <w:pPr>
        <w:pStyle w:val="NormalWeb"/>
        <w:numPr>
          <w:ilvl w:val="0"/>
          <w:numId w:val="57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especially repeated occurrences of the same disruption (e.g., continuous rainfall over multiple days)</w:t>
      </w:r>
    </w:p>
    <w:p w14:paraId="7AD03C31" w14:textId="77777777" w:rsidR="0040029E" w:rsidRPr="0040029E" w:rsidRDefault="0040029E" w:rsidP="0040029E">
      <w:pPr>
        <w:pStyle w:val="NormalWeb"/>
        <w:numPr>
          <w:ilvl w:val="0"/>
          <w:numId w:val="57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payouts are constrained by:</w:t>
      </w:r>
    </w:p>
    <w:p w14:paraId="21A21DB6" w14:textId="77777777" w:rsidR="0040029E" w:rsidRPr="0040029E" w:rsidRDefault="0040029E" w:rsidP="0040029E">
      <w:pPr>
        <w:pStyle w:val="NormalWeb"/>
        <w:numPr>
          <w:ilvl w:val="1"/>
          <w:numId w:val="57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event limits</w:t>
      </w:r>
    </w:p>
    <w:p w14:paraId="635A96F9" w14:textId="77777777" w:rsidR="0040029E" w:rsidRPr="0040029E" w:rsidRDefault="0040029E" w:rsidP="0040029E">
      <w:pPr>
        <w:pStyle w:val="NormalWeb"/>
        <w:numPr>
          <w:ilvl w:val="1"/>
          <w:numId w:val="57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coverage caps</w:t>
      </w:r>
    </w:p>
    <w:p w14:paraId="255EAFB7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Such constraints are standard in insurance products to manage risk exposure [4].</w:t>
      </w:r>
    </w:p>
    <w:p w14:paraId="3C87D07A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lastRenderedPageBreak/>
        <w:pict w14:anchorId="22D983F5">
          <v:rect id="_x0000_i1050" style="width:0;height:1.5pt" o:hralign="center" o:hrstd="t" o:hr="t" fillcolor="#a0a0a0" stroked="f"/>
        </w:pict>
      </w:r>
    </w:p>
    <w:p w14:paraId="4155BFB9" w14:textId="77777777" w:rsidR="0040029E" w:rsidRPr="0040029E" w:rsidRDefault="0040029E" w:rsidP="0040029E">
      <w:pPr>
        <w:pStyle w:val="Heading2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4. Weekly Policy Design</w:t>
      </w:r>
    </w:p>
    <w:p w14:paraId="11A8E929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0D5291F2">
          <v:rect id="_x0000_i1049" style="width:0;height:1.5pt" o:hralign="center" o:hrstd="t" o:hr="t" fillcolor="#a0a0a0" stroked="f"/>
        </w:pict>
      </w:r>
    </w:p>
    <w:p w14:paraId="18059247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4.1 Policy Duration</w:t>
      </w:r>
    </w:p>
    <w:p w14:paraId="28C9731A" w14:textId="77777777" w:rsidR="0040029E" w:rsidRPr="0040029E" w:rsidRDefault="0040029E" w:rsidP="0040029E">
      <w:pPr>
        <w:pStyle w:val="NormalWeb"/>
        <w:numPr>
          <w:ilvl w:val="0"/>
          <w:numId w:val="58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Coverage period:</w:t>
      </w:r>
      <w:r w:rsidRPr="0040029E">
        <w:rPr>
          <w:rStyle w:val="apple-converted-space"/>
          <w:rFonts w:ascii="Calibri" w:hAnsi="Calibri" w:cs="Calibri"/>
          <w:color w:val="000000"/>
        </w:rPr>
        <w:t> </w:t>
      </w:r>
      <w:r w:rsidRPr="0040029E">
        <w:rPr>
          <w:rStyle w:val="Strong"/>
          <w:rFonts w:ascii="Calibri" w:hAnsi="Calibri" w:cs="Calibri"/>
          <w:color w:val="000000"/>
        </w:rPr>
        <w:t>7 days</w:t>
      </w:r>
    </w:p>
    <w:p w14:paraId="535186F5" w14:textId="77777777" w:rsidR="0040029E" w:rsidRPr="0040029E" w:rsidRDefault="0040029E" w:rsidP="0040029E">
      <w:pPr>
        <w:pStyle w:val="NormalWeb"/>
        <w:numPr>
          <w:ilvl w:val="0"/>
          <w:numId w:val="58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Premium payment:</w:t>
      </w:r>
      <w:r w:rsidRPr="0040029E">
        <w:rPr>
          <w:rStyle w:val="apple-converted-space"/>
          <w:rFonts w:ascii="Calibri" w:hAnsi="Calibri" w:cs="Calibri"/>
          <w:color w:val="000000"/>
        </w:rPr>
        <w:t> </w:t>
      </w:r>
      <w:r w:rsidRPr="0040029E">
        <w:rPr>
          <w:rStyle w:val="Strong"/>
          <w:rFonts w:ascii="Calibri" w:hAnsi="Calibri" w:cs="Calibri"/>
          <w:color w:val="000000"/>
        </w:rPr>
        <w:t>weekly</w:t>
      </w:r>
    </w:p>
    <w:p w14:paraId="79B34F06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6EEC4D54">
          <v:rect id="_x0000_i1048" style="width:0;height:1.5pt" o:hralign="center" o:hrstd="t" o:hr="t" fillcolor="#a0a0a0" stroked="f"/>
        </w:pict>
      </w:r>
    </w:p>
    <w:p w14:paraId="6EEB9A34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4.2 Rationale</w:t>
      </w:r>
    </w:p>
    <w:p w14:paraId="5F87B4D9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Gig workers operate on:</w:t>
      </w:r>
    </w:p>
    <w:p w14:paraId="7431E1B0" w14:textId="77777777" w:rsidR="0040029E" w:rsidRPr="0040029E" w:rsidRDefault="0040029E" w:rsidP="0040029E">
      <w:pPr>
        <w:pStyle w:val="NormalWeb"/>
        <w:numPr>
          <w:ilvl w:val="0"/>
          <w:numId w:val="59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daily earnings</w:t>
      </w:r>
    </w:p>
    <w:p w14:paraId="38AC1C9E" w14:textId="77777777" w:rsidR="0040029E" w:rsidRPr="0040029E" w:rsidRDefault="0040029E" w:rsidP="0040029E">
      <w:pPr>
        <w:pStyle w:val="NormalWeb"/>
        <w:numPr>
          <w:ilvl w:val="0"/>
          <w:numId w:val="59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weekly income cycles</w:t>
      </w:r>
    </w:p>
    <w:p w14:paraId="3DD2A0A8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Weekly policies align with:</w:t>
      </w:r>
    </w:p>
    <w:p w14:paraId="546A1CE7" w14:textId="77777777" w:rsidR="0040029E" w:rsidRPr="0040029E" w:rsidRDefault="0040029E" w:rsidP="0040029E">
      <w:pPr>
        <w:pStyle w:val="NormalWeb"/>
        <w:numPr>
          <w:ilvl w:val="0"/>
          <w:numId w:val="60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cash flow patterns</w:t>
      </w:r>
    </w:p>
    <w:p w14:paraId="05E3BBE3" w14:textId="77777777" w:rsidR="0040029E" w:rsidRPr="0040029E" w:rsidRDefault="0040029E" w:rsidP="0040029E">
      <w:pPr>
        <w:pStyle w:val="NormalWeb"/>
        <w:numPr>
          <w:ilvl w:val="0"/>
          <w:numId w:val="60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short-term exposure to disruption risk</w:t>
      </w:r>
    </w:p>
    <w:p w14:paraId="0CABB182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5CBF1461">
          <v:rect id="_x0000_i1047" style="width:0;height:1.5pt" o:hralign="center" o:hrstd="t" o:hr="t" fillcolor="#a0a0a0" stroked="f"/>
        </w:pict>
      </w:r>
    </w:p>
    <w:p w14:paraId="31C58AFD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4.3 Policy Lifecycle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722"/>
      </w:tblGrid>
      <w:tr w:rsidR="0040029E" w:rsidRPr="0040029E" w14:paraId="1DD92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1DFAF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59EF2E5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40029E" w:rsidRPr="0040029E" w14:paraId="041C7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6EEE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Enrollment</w:t>
            </w:r>
          </w:p>
        </w:tc>
        <w:tc>
          <w:tcPr>
            <w:tcW w:w="0" w:type="auto"/>
            <w:vAlign w:val="center"/>
            <w:hideMark/>
          </w:tcPr>
          <w:p w14:paraId="754F73DA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Worker subscribes</w:t>
            </w:r>
          </w:p>
        </w:tc>
      </w:tr>
      <w:tr w:rsidR="0040029E" w:rsidRPr="0040029E" w14:paraId="4E83C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D9BC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061AD5AC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Coverage begins</w:t>
            </w:r>
          </w:p>
        </w:tc>
      </w:tr>
      <w:tr w:rsidR="0040029E" w:rsidRPr="0040029E" w14:paraId="446EE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4056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0FCFC7B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Continuous trigger tracking</w:t>
            </w:r>
          </w:p>
        </w:tc>
      </w:tr>
      <w:tr w:rsidR="0040029E" w:rsidRPr="0040029E" w14:paraId="68CBA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743C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Trigger Event</w:t>
            </w:r>
          </w:p>
        </w:tc>
        <w:tc>
          <w:tcPr>
            <w:tcW w:w="0" w:type="auto"/>
            <w:vAlign w:val="center"/>
            <w:hideMark/>
          </w:tcPr>
          <w:p w14:paraId="3AC31364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Condition satisfied</w:t>
            </w:r>
          </w:p>
        </w:tc>
      </w:tr>
      <w:tr w:rsidR="0040029E" w:rsidRPr="0040029E" w14:paraId="4FCD0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9631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Payout</w:t>
            </w:r>
          </w:p>
        </w:tc>
        <w:tc>
          <w:tcPr>
            <w:tcW w:w="0" w:type="auto"/>
            <w:vAlign w:val="center"/>
            <w:hideMark/>
          </w:tcPr>
          <w:p w14:paraId="716BCE0F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Automatic transfer</w:t>
            </w:r>
          </w:p>
        </w:tc>
      </w:tr>
      <w:tr w:rsidR="0040029E" w:rsidRPr="0040029E" w14:paraId="367F3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7841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Expiry</w:t>
            </w:r>
          </w:p>
        </w:tc>
        <w:tc>
          <w:tcPr>
            <w:tcW w:w="0" w:type="auto"/>
            <w:vAlign w:val="center"/>
            <w:hideMark/>
          </w:tcPr>
          <w:p w14:paraId="5DB2FC20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End of 7 days</w:t>
            </w:r>
          </w:p>
        </w:tc>
      </w:tr>
      <w:tr w:rsidR="0040029E" w:rsidRPr="0040029E" w14:paraId="03D57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1BD9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Renewal</w:t>
            </w:r>
          </w:p>
        </w:tc>
        <w:tc>
          <w:tcPr>
            <w:tcW w:w="0" w:type="auto"/>
            <w:vAlign w:val="center"/>
            <w:hideMark/>
          </w:tcPr>
          <w:p w14:paraId="61292DF8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Optional continuation</w:t>
            </w:r>
          </w:p>
        </w:tc>
      </w:tr>
    </w:tbl>
    <w:p w14:paraId="2E4F0C7C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74B639A7">
          <v:rect id="_x0000_i1046" style="width:0;height:1.5pt" o:hralign="center" o:hrstd="t" o:hr="t" fillcolor="#a0a0a0" stroked="f"/>
        </w:pict>
      </w:r>
    </w:p>
    <w:p w14:paraId="299EC0C6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lastRenderedPageBreak/>
        <w:t>4.4 Dynamic Adjustment</w:t>
      </w:r>
    </w:p>
    <w:p w14:paraId="4A562998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Premiums and coverage may be updated based on:</w:t>
      </w:r>
    </w:p>
    <w:p w14:paraId="668698DD" w14:textId="77777777" w:rsidR="0040029E" w:rsidRPr="0040029E" w:rsidRDefault="0040029E" w:rsidP="0040029E">
      <w:pPr>
        <w:pStyle w:val="NormalWeb"/>
        <w:numPr>
          <w:ilvl w:val="0"/>
          <w:numId w:val="61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geographic risk (e.g., high rainfall regions vs low-risk regions)</w:t>
      </w:r>
    </w:p>
    <w:p w14:paraId="54A33EA9" w14:textId="77777777" w:rsidR="0040029E" w:rsidRPr="0040029E" w:rsidRDefault="0040029E" w:rsidP="0040029E">
      <w:pPr>
        <w:pStyle w:val="NormalWeb"/>
        <w:numPr>
          <w:ilvl w:val="0"/>
          <w:numId w:val="61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historical disruption frequency</w:t>
      </w:r>
    </w:p>
    <w:p w14:paraId="15A7B436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For example:</w:t>
      </w:r>
    </w:p>
    <w:p w14:paraId="5DB934C9" w14:textId="77777777" w:rsidR="0040029E" w:rsidRPr="0040029E" w:rsidRDefault="0040029E" w:rsidP="0040029E">
      <w:pPr>
        <w:pStyle w:val="NormalWeb"/>
        <w:numPr>
          <w:ilvl w:val="0"/>
          <w:numId w:val="62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cities like Mumbai → high rainfall exposure</w:t>
      </w:r>
    </w:p>
    <w:p w14:paraId="252AF390" w14:textId="77777777" w:rsidR="0040029E" w:rsidRPr="0040029E" w:rsidRDefault="0040029E" w:rsidP="0040029E">
      <w:pPr>
        <w:pStyle w:val="NormalWeb"/>
        <w:numPr>
          <w:ilvl w:val="0"/>
          <w:numId w:val="62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cities like Delhi → high AQI exposure</w:t>
      </w:r>
    </w:p>
    <w:p w14:paraId="7BCEAE68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This reflects</w:t>
      </w:r>
      <w:r w:rsidRPr="0040029E">
        <w:rPr>
          <w:rStyle w:val="apple-converted-space"/>
          <w:rFonts w:ascii="Calibri" w:hAnsi="Calibri" w:cs="Calibri"/>
          <w:color w:val="000000"/>
        </w:rPr>
        <w:t> </w:t>
      </w:r>
      <w:r w:rsidRPr="0040029E">
        <w:rPr>
          <w:rStyle w:val="Strong"/>
          <w:rFonts w:ascii="Calibri" w:hAnsi="Calibri" w:cs="Calibri"/>
          <w:color w:val="000000"/>
        </w:rPr>
        <w:t>risk-based pricing principles in insurance systems</w:t>
      </w:r>
      <w:r w:rsidRPr="0040029E">
        <w:rPr>
          <w:rStyle w:val="apple-converted-space"/>
          <w:rFonts w:ascii="Calibri" w:hAnsi="Calibri" w:cs="Calibri"/>
          <w:color w:val="000000"/>
        </w:rPr>
        <w:t> </w:t>
      </w:r>
      <w:r w:rsidRPr="0040029E">
        <w:rPr>
          <w:rFonts w:ascii="Calibri" w:hAnsi="Calibri" w:cs="Calibri"/>
          <w:color w:val="000000"/>
        </w:rPr>
        <w:t>[5].</w:t>
      </w:r>
    </w:p>
    <w:p w14:paraId="4305B67B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05CED08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D365956" w14:textId="77777777" w:rsidR="0040029E" w:rsidRPr="0040029E" w:rsidRDefault="0040029E" w:rsidP="0040029E">
      <w:pPr>
        <w:pStyle w:val="Heading2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5. Payout Mechanism</w:t>
      </w:r>
    </w:p>
    <w:p w14:paraId="390E0B1D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298CA097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ACD2D53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5.1 Definition</w:t>
      </w:r>
    </w:p>
    <w:p w14:paraId="5C50C887" w14:textId="77777777" w:rsidR="0040029E" w:rsidRPr="0040029E" w:rsidRDefault="0040029E" w:rsidP="0040029E">
      <w:pPr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Payout</m:t>
          </m:r>
          <m:r>
            <w:rPr>
              <w:rFonts w:ascii="Cambria Math" w:hAnsi="Cambria Math" w:cs="Calibri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Calibri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alibri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Calibri" w:hAnsi="Calibri" w:cs="Calibri"/>
                      </w:rPr>
                      <m:t>Fixed Amount</m:t>
                    </m:r>
                    <m:r>
                      <w:rPr>
                        <w:rFonts w:ascii="Cambria Math" w:hAnsi="Cambria Math" w:cs="Calibri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Calibri" w:hAnsi="Calibri" w:cs="Calibri"/>
                      </w:rPr>
                      <m:t>if trigger occurs</m:t>
                    </m:r>
                  </m:e>
                </m:mr>
                <m:mr>
                  <m:e>
                    <m:r>
                      <w:rPr>
                        <w:rFonts w:ascii="Cambria Math" w:hAnsi="Cambria Math" w:cs="Calibri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Calibri" w:hAnsi="Calibri" w:cs="Calibri"/>
                      </w:rPr>
                      <m:t>otherwise</m:t>
                    </m:r>
                  </m:e>
                </m:mr>
              </m:m>
            </m:e>
          </m:d>
          <m:r>
            <w:rPr>
              <w:rFonts w:ascii="Calibri" w:hAnsi="Calibri" w:cs="Calibri"/>
            </w:rPr>
            <w:br/>
          </m:r>
        </m:oMath>
      </m:oMathPara>
    </w:p>
    <w:p w14:paraId="2229DB28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53DD77C6">
          <v:rect id="_x0000_i1043" style="width:0;height:1.5pt" o:hralign="center" o:hrstd="t" o:hr="t" fillcolor="#a0a0a0" stroked="f"/>
        </w:pict>
      </w:r>
    </w:p>
    <w:p w14:paraId="3AC94787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5.2 Key Property</w:t>
      </w:r>
    </w:p>
    <w:p w14:paraId="56C9D025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Payout is independent of actual income loss.</w:t>
      </w:r>
    </w:p>
    <w:p w14:paraId="17430DEF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This is a defining characteristic of parametric insurance [2][3].</w:t>
      </w:r>
    </w:p>
    <w:p w14:paraId="027A5249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7636CEBD">
          <v:rect id="_x0000_i1042" style="width:0;height:1.5pt" o:hralign="center" o:hrstd="t" o:hr="t" fillcolor="#a0a0a0" stroked="f"/>
        </w:pict>
      </w:r>
    </w:p>
    <w:p w14:paraId="29B3606F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5.3 Operational Advantages</w:t>
      </w:r>
    </w:p>
    <w:p w14:paraId="618758B8" w14:textId="77777777" w:rsidR="0040029E" w:rsidRPr="0040029E" w:rsidRDefault="0040029E" w:rsidP="0040029E">
      <w:pPr>
        <w:pStyle w:val="NormalWeb"/>
        <w:numPr>
          <w:ilvl w:val="0"/>
          <w:numId w:val="63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rapid claim settlement</w:t>
      </w:r>
    </w:p>
    <w:p w14:paraId="206365E2" w14:textId="77777777" w:rsidR="0040029E" w:rsidRPr="0040029E" w:rsidRDefault="0040029E" w:rsidP="0040029E">
      <w:pPr>
        <w:pStyle w:val="NormalWeb"/>
        <w:numPr>
          <w:ilvl w:val="0"/>
          <w:numId w:val="63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minimal administrative cost</w:t>
      </w:r>
    </w:p>
    <w:p w14:paraId="20485D2E" w14:textId="77777777" w:rsidR="0040029E" w:rsidRPr="0040029E" w:rsidRDefault="0040029E" w:rsidP="0040029E">
      <w:pPr>
        <w:pStyle w:val="NormalWeb"/>
        <w:numPr>
          <w:ilvl w:val="0"/>
          <w:numId w:val="63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transparent payout rules</w:t>
      </w:r>
    </w:p>
    <w:p w14:paraId="132B6B88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Parametric systems eliminate loss assessment processes, enabling faster payouts [3].</w:t>
      </w:r>
    </w:p>
    <w:p w14:paraId="03C8EE44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3D6FE395">
          <v:rect id="_x0000_i1041" style="width:0;height:1.5pt" o:hralign="center" o:hrstd="t" o:hr="t" fillcolor="#a0a0a0" stroked="f"/>
        </w:pict>
      </w:r>
    </w:p>
    <w:p w14:paraId="4E696079" w14:textId="77777777" w:rsidR="0040029E" w:rsidRPr="0040029E" w:rsidRDefault="0040029E" w:rsidP="0040029E">
      <w:pPr>
        <w:pStyle w:val="Heading2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6. Basis Risk (Critical Limitation)</w:t>
      </w:r>
    </w:p>
    <w:p w14:paraId="3BA6DD85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42FA784A">
          <v:rect id="_x0000_i1040" style="width:0;height:1.5pt" o:hralign="center" o:hrstd="t" o:hr="t" fillcolor="#a0a0a0" stroked="f"/>
        </w:pict>
      </w:r>
    </w:p>
    <w:p w14:paraId="0B8D0FCF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lastRenderedPageBreak/>
        <w:t>6.1 Definition</w:t>
      </w:r>
    </w:p>
    <w:p w14:paraId="3DA43F88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Basis risk is the</w:t>
      </w:r>
      <w:r w:rsidRPr="0040029E">
        <w:rPr>
          <w:rStyle w:val="apple-converted-space"/>
          <w:rFonts w:ascii="Calibri" w:hAnsi="Calibri" w:cs="Calibri"/>
          <w:color w:val="000000"/>
        </w:rPr>
        <w:t> </w:t>
      </w:r>
      <w:r w:rsidRPr="0040029E">
        <w:rPr>
          <w:rStyle w:val="Strong"/>
          <w:rFonts w:ascii="Calibri" w:hAnsi="Calibri" w:cs="Calibri"/>
          <w:color w:val="000000"/>
        </w:rPr>
        <w:t>difference between actual loss and payout received</w:t>
      </w:r>
      <w:r w:rsidRPr="0040029E">
        <w:rPr>
          <w:rFonts w:ascii="Calibri" w:hAnsi="Calibri" w:cs="Calibri"/>
          <w:color w:val="000000"/>
        </w:rPr>
        <w:t>:</w:t>
      </w:r>
    </w:p>
    <w:p w14:paraId="61261B3F" w14:textId="77777777" w:rsidR="0040029E" w:rsidRPr="0040029E" w:rsidRDefault="0040029E" w:rsidP="0040029E">
      <w:pPr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Basis Risk</m:t>
          </m:r>
          <m:r>
            <w:rPr>
              <w:rFonts w:ascii="Cambria Math" w:hAnsi="Cambria Math" w:cs="Calibri"/>
            </w:rPr>
            <m:t>=</m:t>
          </m:r>
          <m:r>
            <m:rPr>
              <m:nor/>
            </m:rPr>
            <w:rPr>
              <w:rFonts w:ascii="Calibri" w:hAnsi="Calibri" w:cs="Calibri"/>
            </w:rPr>
            <m:t>Actual Loss</m:t>
          </m:r>
          <m:r>
            <w:rPr>
              <w:rFonts w:ascii="Cambria Math" w:hAnsi="Cambria Math" w:cs="Calibri"/>
            </w:rPr>
            <m:t>-</m:t>
          </m:r>
          <m:r>
            <m:rPr>
              <m:nor/>
            </m:rPr>
            <w:rPr>
              <w:rFonts w:ascii="Calibri" w:hAnsi="Calibri" w:cs="Calibri"/>
            </w:rPr>
            <m:t>Payout</m:t>
          </m:r>
          <m:r>
            <w:rPr>
              <w:rFonts w:ascii="Calibri" w:hAnsi="Calibri" w:cs="Calibri"/>
            </w:rPr>
            <w:br/>
          </m:r>
        </m:oMath>
      </m:oMathPara>
    </w:p>
    <w:p w14:paraId="0DF02DBC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6B3BA7D8">
          <v:rect id="_x0000_i1039" style="width:0;height:1.5pt" o:hralign="center" o:hrstd="t" o:hr="t" fillcolor="#a0a0a0" stroked="f"/>
        </w:pict>
      </w:r>
    </w:p>
    <w:p w14:paraId="521743B6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6.2 Explanation</w:t>
      </w:r>
    </w:p>
    <w:p w14:paraId="618D82B8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Because payouts depend on triggers rather than actual loss:</w:t>
      </w:r>
    </w:p>
    <w:p w14:paraId="0CDCB260" w14:textId="77777777" w:rsidR="0040029E" w:rsidRPr="0040029E" w:rsidRDefault="0040029E" w:rsidP="0040029E">
      <w:pPr>
        <w:pStyle w:val="NormalWeb"/>
        <w:numPr>
          <w:ilvl w:val="0"/>
          <w:numId w:val="64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payout may be less than loss</w:t>
      </w:r>
    </w:p>
    <w:p w14:paraId="09B3C513" w14:textId="77777777" w:rsidR="0040029E" w:rsidRPr="0040029E" w:rsidRDefault="0040029E" w:rsidP="0040029E">
      <w:pPr>
        <w:pStyle w:val="NormalWeb"/>
        <w:numPr>
          <w:ilvl w:val="0"/>
          <w:numId w:val="64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payout may exceed loss</w:t>
      </w:r>
    </w:p>
    <w:p w14:paraId="509C2638" w14:textId="77777777" w:rsidR="0040029E" w:rsidRPr="0040029E" w:rsidRDefault="0040029E" w:rsidP="0040029E">
      <w:pPr>
        <w:pStyle w:val="NormalWeb"/>
        <w:numPr>
          <w:ilvl w:val="0"/>
          <w:numId w:val="64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no payout may occur despite loss</w:t>
      </w:r>
    </w:p>
    <w:p w14:paraId="117314A7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This is a well-documented limitation of parametric insurance systems [6][7].</w:t>
      </w:r>
    </w:p>
    <w:p w14:paraId="06EC0A23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27D61388">
          <v:rect id="_x0000_i1038" style="width:0;height:1.5pt" o:hralign="center" o:hrstd="t" o:hr="t" fillcolor="#a0a0a0" stroked="f"/>
        </w:pict>
      </w:r>
    </w:p>
    <w:p w14:paraId="284D8E6C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6.3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547"/>
        <w:gridCol w:w="744"/>
        <w:gridCol w:w="765"/>
      </w:tblGrid>
      <w:tr w:rsidR="0040029E" w:rsidRPr="0040029E" w14:paraId="098E02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D976E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B873AC5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2DE648F2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6893A49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Payout</w:t>
            </w:r>
          </w:p>
        </w:tc>
      </w:tr>
      <w:tr w:rsidR="0040029E" w:rsidRPr="0040029E" w14:paraId="48698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8537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Moderate rain</w:t>
            </w:r>
          </w:p>
        </w:tc>
        <w:tc>
          <w:tcPr>
            <w:tcW w:w="0" w:type="auto"/>
            <w:vAlign w:val="center"/>
            <w:hideMark/>
          </w:tcPr>
          <w:p w14:paraId="76D45137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₹500</w:t>
            </w:r>
          </w:p>
        </w:tc>
        <w:tc>
          <w:tcPr>
            <w:tcW w:w="0" w:type="auto"/>
            <w:vAlign w:val="center"/>
            <w:hideMark/>
          </w:tcPr>
          <w:p w14:paraId="4A3C9AB3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079847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₹0</w:t>
            </w:r>
          </w:p>
        </w:tc>
      </w:tr>
      <w:tr w:rsidR="0040029E" w:rsidRPr="0040029E" w14:paraId="41D9D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C8CE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Heavy rain</w:t>
            </w:r>
          </w:p>
        </w:tc>
        <w:tc>
          <w:tcPr>
            <w:tcW w:w="0" w:type="auto"/>
            <w:vAlign w:val="center"/>
            <w:hideMark/>
          </w:tcPr>
          <w:p w14:paraId="5B2F3417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₹600</w:t>
            </w:r>
          </w:p>
        </w:tc>
        <w:tc>
          <w:tcPr>
            <w:tcW w:w="0" w:type="auto"/>
            <w:vAlign w:val="center"/>
            <w:hideMark/>
          </w:tcPr>
          <w:p w14:paraId="3CEE4B78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D210C4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₹400</w:t>
            </w:r>
          </w:p>
        </w:tc>
      </w:tr>
    </w:tbl>
    <w:p w14:paraId="5E334662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686B2F0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01FFFD4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6.4 Mitigation Strategy (IMPORTANT IMPROVEMENT)</w:t>
      </w:r>
    </w:p>
    <w:p w14:paraId="16A66D3E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To reduce basis risk and improve fairness, the system uses</w:t>
      </w:r>
      <w:r w:rsidRPr="0040029E">
        <w:rPr>
          <w:rStyle w:val="apple-converted-space"/>
          <w:rFonts w:ascii="Calibri" w:hAnsi="Calibri" w:cs="Calibri"/>
          <w:color w:val="000000"/>
        </w:rPr>
        <w:t> </w:t>
      </w:r>
      <w:r w:rsidRPr="0040029E">
        <w:rPr>
          <w:rStyle w:val="Strong"/>
          <w:rFonts w:ascii="Calibri" w:hAnsi="Calibri" w:cs="Calibri"/>
          <w:color w:val="000000"/>
        </w:rPr>
        <w:t>multi-level trigger bands instead of a single threshold</w:t>
      </w:r>
      <w:r w:rsidRPr="0040029E">
        <w:rPr>
          <w:rFonts w:ascii="Calibri" w:hAnsi="Calibri" w:cs="Calibri"/>
          <w:color w:val="000000"/>
        </w:rPr>
        <w:t>.</w:t>
      </w:r>
    </w:p>
    <w:p w14:paraId="09B9955B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1C7F1995">
          <v:rect id="_x0000_i1036" style="width:0;height:1.5pt" o:hralign="center" o:hrstd="t" o:hr="t" fillcolor="#a0a0a0" stroked="f"/>
        </w:pict>
      </w:r>
    </w:p>
    <w:p w14:paraId="2FA36F85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6.5 Multi-Level Payout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761"/>
        <w:gridCol w:w="1411"/>
      </w:tblGrid>
      <w:tr w:rsidR="0040029E" w:rsidRPr="0040029E" w14:paraId="12470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A0248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Event Severity</w:t>
            </w:r>
          </w:p>
        </w:tc>
        <w:tc>
          <w:tcPr>
            <w:tcW w:w="0" w:type="auto"/>
            <w:vAlign w:val="center"/>
            <w:hideMark/>
          </w:tcPr>
          <w:p w14:paraId="31364A24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AC71395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Payout</w:t>
            </w:r>
          </w:p>
        </w:tc>
      </w:tr>
      <w:tr w:rsidR="0040029E" w:rsidRPr="0040029E" w14:paraId="47817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43D9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869B418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Below threshold</w:t>
            </w:r>
          </w:p>
        </w:tc>
        <w:tc>
          <w:tcPr>
            <w:tcW w:w="0" w:type="auto"/>
            <w:vAlign w:val="center"/>
            <w:hideMark/>
          </w:tcPr>
          <w:p w14:paraId="0A2EFBE0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₹0</w:t>
            </w:r>
          </w:p>
        </w:tc>
      </w:tr>
      <w:tr w:rsidR="0040029E" w:rsidRPr="0040029E" w14:paraId="320A9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7392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54E9344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Threshold Level 1</w:t>
            </w:r>
          </w:p>
        </w:tc>
        <w:tc>
          <w:tcPr>
            <w:tcW w:w="0" w:type="auto"/>
            <w:vAlign w:val="center"/>
            <w:hideMark/>
          </w:tcPr>
          <w:p w14:paraId="32744868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₹300–₹400</w:t>
            </w:r>
          </w:p>
        </w:tc>
      </w:tr>
      <w:tr w:rsidR="0040029E" w:rsidRPr="0040029E" w14:paraId="4AB7A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3C09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110BFF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Threshold Level 2</w:t>
            </w:r>
          </w:p>
        </w:tc>
        <w:tc>
          <w:tcPr>
            <w:tcW w:w="0" w:type="auto"/>
            <w:vAlign w:val="center"/>
            <w:hideMark/>
          </w:tcPr>
          <w:p w14:paraId="73061099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₹600–₹700</w:t>
            </w:r>
          </w:p>
        </w:tc>
      </w:tr>
      <w:tr w:rsidR="0040029E" w:rsidRPr="0040029E" w14:paraId="0D8C3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FA1A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lastRenderedPageBreak/>
              <w:t>Extreme</w:t>
            </w:r>
          </w:p>
        </w:tc>
        <w:tc>
          <w:tcPr>
            <w:tcW w:w="0" w:type="auto"/>
            <w:vAlign w:val="center"/>
            <w:hideMark/>
          </w:tcPr>
          <w:p w14:paraId="7C6C6BE4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Threshold Level 3</w:t>
            </w:r>
          </w:p>
        </w:tc>
        <w:tc>
          <w:tcPr>
            <w:tcW w:w="0" w:type="auto"/>
            <w:vAlign w:val="center"/>
            <w:hideMark/>
          </w:tcPr>
          <w:p w14:paraId="66740FBA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₹1000–₹1200</w:t>
            </w:r>
          </w:p>
        </w:tc>
      </w:tr>
    </w:tbl>
    <w:p w14:paraId="56AA3D24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7F49EEAB">
          <v:rect id="_x0000_i1035" style="width:0;height:1.5pt" o:hralign="center" o:hrstd="t" o:hr="t" fillcolor="#a0a0a0" stroked="f"/>
        </w:pict>
      </w:r>
    </w:p>
    <w:p w14:paraId="5BF87999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Justification</w:t>
      </w:r>
    </w:p>
    <w:p w14:paraId="665DD585" w14:textId="77777777" w:rsidR="0040029E" w:rsidRPr="0040029E" w:rsidRDefault="0040029E" w:rsidP="0040029E">
      <w:pPr>
        <w:pStyle w:val="NormalWeb"/>
        <w:numPr>
          <w:ilvl w:val="0"/>
          <w:numId w:val="65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avoids unfair uniform payouts</w:t>
      </w:r>
    </w:p>
    <w:p w14:paraId="38D54195" w14:textId="77777777" w:rsidR="0040029E" w:rsidRPr="0040029E" w:rsidRDefault="0040029E" w:rsidP="0040029E">
      <w:pPr>
        <w:pStyle w:val="NormalWeb"/>
        <w:numPr>
          <w:ilvl w:val="0"/>
          <w:numId w:val="65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aligns payout with event severity</w:t>
      </w:r>
    </w:p>
    <w:p w14:paraId="6841CB0A" w14:textId="77777777" w:rsidR="0040029E" w:rsidRPr="0040029E" w:rsidRDefault="0040029E" w:rsidP="0040029E">
      <w:pPr>
        <w:pStyle w:val="NormalWeb"/>
        <w:numPr>
          <w:ilvl w:val="0"/>
          <w:numId w:val="65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improves fairness in extreme scenarios</w:t>
      </w:r>
    </w:p>
    <w:p w14:paraId="3F173DA3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34606825">
          <v:rect id="_x0000_i1034" style="width:0;height:1.5pt" o:hralign="center" o:hrstd="t" o:hr="t" fillcolor="#a0a0a0" stroked="f"/>
        </w:pict>
      </w:r>
    </w:p>
    <w:p w14:paraId="79A46B7B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6.6 Prediction vs Actual Event Handling (CRITICAL DESIGN LOGIC)</w:t>
      </w:r>
    </w:p>
    <w:p w14:paraId="33BC42A6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The system separates: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3409"/>
      </w:tblGrid>
      <w:tr w:rsidR="0040029E" w:rsidRPr="0040029E" w14:paraId="4B5C8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5A29C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84C1F60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Basis</w:t>
            </w:r>
          </w:p>
        </w:tc>
      </w:tr>
      <w:tr w:rsidR="0040029E" w:rsidRPr="0040029E" w14:paraId="3DABB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58E0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39E26790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predicted risk (before week starts)</w:t>
            </w:r>
          </w:p>
        </w:tc>
      </w:tr>
      <w:tr w:rsidR="0040029E" w:rsidRPr="0040029E" w14:paraId="22E3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0BB8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Payout</w:t>
            </w:r>
          </w:p>
        </w:tc>
        <w:tc>
          <w:tcPr>
            <w:tcW w:w="0" w:type="auto"/>
            <w:vAlign w:val="center"/>
            <w:hideMark/>
          </w:tcPr>
          <w:p w14:paraId="6EBB4F6F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actual observed data</w:t>
            </w:r>
          </w:p>
        </w:tc>
      </w:tr>
    </w:tbl>
    <w:p w14:paraId="025B66F7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72CD2212">
          <v:rect id="_x0000_i1033" style="width:0;height:1.5pt" o:hralign="center" o:hrstd="t" o:hr="t" fillcolor="#a0a0a0" stroked="f"/>
        </w:pict>
      </w:r>
    </w:p>
    <w:p w14:paraId="0789BDCB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Explanation</w:t>
      </w:r>
    </w:p>
    <w:p w14:paraId="4A42C0BB" w14:textId="77777777" w:rsidR="0040029E" w:rsidRPr="0040029E" w:rsidRDefault="0040029E" w:rsidP="0040029E">
      <w:pPr>
        <w:pStyle w:val="NormalWeb"/>
        <w:numPr>
          <w:ilvl w:val="0"/>
          <w:numId w:val="66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weekly premium is calculated using predicted risk</w:t>
      </w:r>
    </w:p>
    <w:p w14:paraId="7DE8A84D" w14:textId="77777777" w:rsidR="0040029E" w:rsidRPr="0040029E" w:rsidRDefault="0040029E" w:rsidP="0040029E">
      <w:pPr>
        <w:pStyle w:val="NormalWeb"/>
        <w:numPr>
          <w:ilvl w:val="0"/>
          <w:numId w:val="66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payout is triggered using</w:t>
      </w:r>
      <w:r w:rsidRPr="0040029E">
        <w:rPr>
          <w:rStyle w:val="apple-converted-space"/>
          <w:rFonts w:ascii="Calibri" w:hAnsi="Calibri" w:cs="Calibri"/>
          <w:color w:val="000000"/>
        </w:rPr>
        <w:t> </w:t>
      </w:r>
      <w:r w:rsidRPr="0040029E">
        <w:rPr>
          <w:rStyle w:val="Strong"/>
          <w:rFonts w:ascii="Calibri" w:hAnsi="Calibri" w:cs="Calibri"/>
          <w:color w:val="000000"/>
        </w:rPr>
        <w:t>real-time observed values</w:t>
      </w:r>
    </w:p>
    <w:p w14:paraId="618D95D8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Example:</w:t>
      </w:r>
    </w:p>
    <w:p w14:paraId="0FBA73B0" w14:textId="77777777" w:rsidR="0040029E" w:rsidRPr="0040029E" w:rsidRDefault="0040029E" w:rsidP="0040029E">
      <w:pPr>
        <w:pStyle w:val="NormalWeb"/>
        <w:numPr>
          <w:ilvl w:val="0"/>
          <w:numId w:val="67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predicted rainfall = 130 mm</w:t>
      </w:r>
    </w:p>
    <w:p w14:paraId="7EF4CFD8" w14:textId="77777777" w:rsidR="0040029E" w:rsidRPr="0040029E" w:rsidRDefault="0040029E" w:rsidP="0040029E">
      <w:pPr>
        <w:pStyle w:val="NormalWeb"/>
        <w:numPr>
          <w:ilvl w:val="0"/>
          <w:numId w:val="67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actual rainfall = 200 mm</w:t>
      </w:r>
    </w:p>
    <w:p w14:paraId="10D6986B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→ system uses</w:t>
      </w:r>
      <w:r w:rsidRPr="0040029E">
        <w:rPr>
          <w:rStyle w:val="apple-converted-space"/>
          <w:rFonts w:ascii="Calibri" w:hAnsi="Calibri" w:cs="Calibri"/>
          <w:color w:val="000000"/>
        </w:rPr>
        <w:t> </w:t>
      </w:r>
      <w:r w:rsidRPr="0040029E">
        <w:rPr>
          <w:rStyle w:val="Strong"/>
          <w:rFonts w:ascii="Calibri" w:hAnsi="Calibri" w:cs="Calibri"/>
          <w:color w:val="000000"/>
        </w:rPr>
        <w:t>actual value</w:t>
      </w:r>
      <w:r w:rsidRPr="0040029E">
        <w:rPr>
          <w:rStyle w:val="apple-converted-space"/>
          <w:rFonts w:ascii="Calibri" w:hAnsi="Calibri" w:cs="Calibri"/>
          <w:color w:val="000000"/>
        </w:rPr>
        <w:t> </w:t>
      </w:r>
      <w:r w:rsidRPr="0040029E">
        <w:rPr>
          <w:rFonts w:ascii="Calibri" w:hAnsi="Calibri" w:cs="Calibri"/>
          <w:color w:val="000000"/>
        </w:rPr>
        <w:t>for payout</w:t>
      </w:r>
      <w:r w:rsidRPr="0040029E">
        <w:rPr>
          <w:rFonts w:ascii="Calibri" w:hAnsi="Calibri" w:cs="Calibri"/>
          <w:color w:val="000000"/>
        </w:rPr>
        <w:br/>
        <w:t>→ higher severity band is triggered</w:t>
      </w:r>
    </w:p>
    <w:p w14:paraId="13A1F998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This ensures fairness even when predictions underestimate real events.</w:t>
      </w:r>
    </w:p>
    <w:p w14:paraId="47F102F3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1239A09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40B101A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6.7 Handling Sudden Events (e.g., Night Rainfall)</w:t>
      </w:r>
    </w:p>
    <w:p w14:paraId="37757788" w14:textId="77777777" w:rsidR="0040029E" w:rsidRPr="0040029E" w:rsidRDefault="0040029E" w:rsidP="0040029E">
      <w:pPr>
        <w:pStyle w:val="NormalWeb"/>
        <w:numPr>
          <w:ilvl w:val="0"/>
          <w:numId w:val="68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system uses</w:t>
      </w:r>
      <w:r w:rsidRPr="0040029E">
        <w:rPr>
          <w:rStyle w:val="apple-converted-space"/>
          <w:rFonts w:ascii="Calibri" w:hAnsi="Calibri" w:cs="Calibri"/>
          <w:color w:val="000000"/>
        </w:rPr>
        <w:t> </w:t>
      </w:r>
      <w:r w:rsidRPr="0040029E">
        <w:rPr>
          <w:rStyle w:val="Strong"/>
          <w:rFonts w:ascii="Calibri" w:hAnsi="Calibri" w:cs="Calibri"/>
          <w:color w:val="000000"/>
        </w:rPr>
        <w:t>continuous real-time data (hourly/daily APIs)</w:t>
      </w:r>
    </w:p>
    <w:p w14:paraId="30777E30" w14:textId="77777777" w:rsidR="0040029E" w:rsidRPr="0040029E" w:rsidRDefault="0040029E" w:rsidP="0040029E">
      <w:pPr>
        <w:pStyle w:val="NormalWeb"/>
        <w:numPr>
          <w:ilvl w:val="0"/>
          <w:numId w:val="68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not dependent on single prediction snapshot</w:t>
      </w:r>
    </w:p>
    <w:p w14:paraId="7330D2D9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lastRenderedPageBreak/>
        <w:t>Even if disruption occurs at night:</w:t>
      </w:r>
    </w:p>
    <w:p w14:paraId="3315BFC0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→ event is detected</w:t>
      </w:r>
      <w:r w:rsidRPr="0040029E">
        <w:rPr>
          <w:rFonts w:ascii="Calibri" w:hAnsi="Calibri" w:cs="Calibri"/>
          <w:color w:val="000000"/>
        </w:rPr>
        <w:br/>
        <w:t>→ trigger activated</w:t>
      </w:r>
      <w:r w:rsidRPr="0040029E">
        <w:rPr>
          <w:rFonts w:ascii="Calibri" w:hAnsi="Calibri" w:cs="Calibri"/>
          <w:color w:val="000000"/>
        </w:rPr>
        <w:br/>
        <w:t>→ payout executed</w:t>
      </w:r>
    </w:p>
    <w:p w14:paraId="6469F866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4652168A">
          <v:rect id="_x0000_i1031" style="width:0;height:1.5pt" o:hralign="center" o:hrstd="t" o:hr="t" fillcolor="#a0a0a0" stroked="f"/>
        </w:pict>
      </w:r>
    </w:p>
    <w:p w14:paraId="506B3E1D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6.8 Fixed vs Dynamic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628"/>
      </w:tblGrid>
      <w:tr w:rsidR="0040029E" w:rsidRPr="0040029E" w14:paraId="02D8C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ACF4D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142FA4FA" w14:textId="77777777" w:rsidR="0040029E" w:rsidRPr="0040029E" w:rsidRDefault="004002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29E">
              <w:rPr>
                <w:rFonts w:ascii="Calibri" w:hAnsi="Calibri" w:cs="Calibri"/>
                <w:b/>
                <w:bCs/>
              </w:rPr>
              <w:t>Dynamic</w:t>
            </w:r>
          </w:p>
        </w:tc>
      </w:tr>
      <w:tr w:rsidR="0040029E" w:rsidRPr="0040029E" w14:paraId="679B3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B385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premium (weekly)</w:t>
            </w:r>
          </w:p>
        </w:tc>
        <w:tc>
          <w:tcPr>
            <w:tcW w:w="0" w:type="auto"/>
            <w:vAlign w:val="center"/>
            <w:hideMark/>
          </w:tcPr>
          <w:p w14:paraId="65B4E3FC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actual environmental data</w:t>
            </w:r>
          </w:p>
        </w:tc>
      </w:tr>
      <w:tr w:rsidR="0040029E" w:rsidRPr="0040029E" w14:paraId="48789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312E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threshold bands</w:t>
            </w:r>
          </w:p>
        </w:tc>
        <w:tc>
          <w:tcPr>
            <w:tcW w:w="0" w:type="auto"/>
            <w:vAlign w:val="center"/>
            <w:hideMark/>
          </w:tcPr>
          <w:p w14:paraId="05D49C30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triggered severity level</w:t>
            </w:r>
          </w:p>
        </w:tc>
      </w:tr>
      <w:tr w:rsidR="0040029E" w:rsidRPr="0040029E" w14:paraId="169AB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0B4F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coverage rules</w:t>
            </w:r>
          </w:p>
        </w:tc>
        <w:tc>
          <w:tcPr>
            <w:tcW w:w="0" w:type="auto"/>
            <w:vAlign w:val="center"/>
            <w:hideMark/>
          </w:tcPr>
          <w:p w14:paraId="7DBEAA5D" w14:textId="77777777" w:rsidR="0040029E" w:rsidRPr="0040029E" w:rsidRDefault="0040029E">
            <w:pPr>
              <w:rPr>
                <w:rFonts w:ascii="Calibri" w:hAnsi="Calibri" w:cs="Calibri"/>
              </w:rPr>
            </w:pPr>
            <w:r w:rsidRPr="0040029E">
              <w:rPr>
                <w:rFonts w:ascii="Calibri" w:hAnsi="Calibri" w:cs="Calibri"/>
              </w:rPr>
              <w:t>payout outcome</w:t>
            </w:r>
          </w:p>
        </w:tc>
      </w:tr>
    </w:tbl>
    <w:p w14:paraId="4920B7D8" w14:textId="77777777" w:rsidR="0040029E" w:rsidRPr="0040029E" w:rsidRDefault="00634279" w:rsidP="0040029E">
      <w:pPr>
        <w:rPr>
          <w:rFonts w:ascii="Calibri" w:hAnsi="Calibri" w:cs="Calibri"/>
        </w:rPr>
      </w:pPr>
      <w:r w:rsidRPr="00634279">
        <w:rPr>
          <w:rFonts w:ascii="Calibri" w:hAnsi="Calibri" w:cs="Calibri"/>
          <w:noProof/>
        </w:rPr>
        <w:pict w14:anchorId="30C9B26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739BB2E" w14:textId="77777777" w:rsidR="0040029E" w:rsidRPr="0040029E" w:rsidRDefault="0040029E" w:rsidP="0040029E">
      <w:pPr>
        <w:pStyle w:val="Heading2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7. System Insight</w:t>
      </w:r>
    </w:p>
    <w:p w14:paraId="4CCE81CB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Parametric insurance trades accuracy of loss measurement for speed, certainty, and automation of payouts.</w:t>
      </w:r>
    </w:p>
    <w:p w14:paraId="2956176C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This trade-off is fundamental to parametric insurance design [2][6].</w:t>
      </w:r>
    </w:p>
    <w:p w14:paraId="66CD596E" w14:textId="77777777" w:rsidR="0040029E" w:rsidRPr="0040029E" w:rsidRDefault="00634279" w:rsidP="0040029E">
      <w:pPr>
        <w:rPr>
          <w:rFonts w:ascii="Calibri" w:hAnsi="Calibri" w:cs="Calibri"/>
        </w:rPr>
      </w:pPr>
      <w:r w:rsidRPr="00634279">
        <w:rPr>
          <w:rFonts w:ascii="Calibri" w:hAnsi="Calibri" w:cs="Calibri"/>
          <w:noProof/>
        </w:rPr>
        <w:pict w14:anchorId="013255F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EECD0F0" w14:textId="77777777" w:rsidR="0040029E" w:rsidRPr="0040029E" w:rsidRDefault="0040029E" w:rsidP="0040029E">
      <w:pPr>
        <w:pStyle w:val="Heading2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8. Integrated System Flow</w:t>
      </w:r>
    </w:p>
    <w:p w14:paraId="0E186A52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Expected Income → Trigger Detection → Severity Evaluation → Fixed Payout → Weekly Policy Update</w:t>
      </w:r>
    </w:p>
    <w:p w14:paraId="59B38B41" w14:textId="77777777" w:rsidR="0040029E" w:rsidRPr="0040029E" w:rsidRDefault="00634279" w:rsidP="0040029E">
      <w:pPr>
        <w:rPr>
          <w:rFonts w:ascii="Calibri" w:hAnsi="Calibri" w:cs="Calibri"/>
        </w:rPr>
      </w:pPr>
      <w:r w:rsidRPr="00634279">
        <w:rPr>
          <w:rFonts w:ascii="Calibri" w:hAnsi="Calibri" w:cs="Calibri"/>
          <w:noProof/>
        </w:rPr>
        <w:pict w14:anchorId="3C1814D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7F210AF" w14:textId="77777777" w:rsidR="0040029E" w:rsidRPr="0040029E" w:rsidRDefault="0040029E" w:rsidP="0040029E">
      <w:pPr>
        <w:pStyle w:val="Heading2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9. Integration with Previous Modules</w:t>
      </w:r>
    </w:p>
    <w:p w14:paraId="7C76DBC4" w14:textId="77777777" w:rsidR="0040029E" w:rsidRPr="0040029E" w:rsidRDefault="00634279" w:rsidP="0040029E">
      <w:pPr>
        <w:rPr>
          <w:rFonts w:ascii="Calibri" w:hAnsi="Calibri" w:cs="Calibri"/>
        </w:rPr>
      </w:pPr>
      <w:r w:rsidRPr="00634279">
        <w:rPr>
          <w:rFonts w:ascii="Calibri" w:hAnsi="Calibri" w:cs="Calibri"/>
          <w:noProof/>
        </w:rPr>
        <w:pict w14:anchorId="757DFEB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6D9F85E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From Dataset (Section A)</w:t>
      </w:r>
    </w:p>
    <w:p w14:paraId="231A2C41" w14:textId="77777777" w:rsidR="0040029E" w:rsidRPr="0040029E" w:rsidRDefault="0040029E" w:rsidP="0040029E">
      <w:pPr>
        <w:pStyle w:val="NormalWeb"/>
        <w:numPr>
          <w:ilvl w:val="0"/>
          <w:numId w:val="69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expected income → loss estimation</w:t>
      </w:r>
    </w:p>
    <w:p w14:paraId="3E208810" w14:textId="77777777" w:rsidR="0040029E" w:rsidRPr="0040029E" w:rsidRDefault="0040029E" w:rsidP="0040029E">
      <w:pPr>
        <w:pStyle w:val="NormalWeb"/>
        <w:numPr>
          <w:ilvl w:val="0"/>
          <w:numId w:val="69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environmental variables → trigger inputs</w:t>
      </w:r>
    </w:p>
    <w:p w14:paraId="0110AE79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From Pricing Model (Section B)</w:t>
      </w:r>
    </w:p>
    <w:p w14:paraId="78021791" w14:textId="77777777" w:rsidR="0040029E" w:rsidRPr="0040029E" w:rsidRDefault="0040029E" w:rsidP="0040029E">
      <w:pPr>
        <w:pStyle w:val="NormalWeb"/>
        <w:numPr>
          <w:ilvl w:val="0"/>
          <w:numId w:val="70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expected loss → premium</w:t>
      </w:r>
    </w:p>
    <w:p w14:paraId="034F1E0D" w14:textId="77777777" w:rsidR="0040029E" w:rsidRPr="0040029E" w:rsidRDefault="0040029E" w:rsidP="0040029E">
      <w:pPr>
        <w:pStyle w:val="NormalWeb"/>
        <w:numPr>
          <w:ilvl w:val="0"/>
          <w:numId w:val="70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lastRenderedPageBreak/>
        <w:t>coverage limits → payout caps</w:t>
      </w:r>
    </w:p>
    <w:p w14:paraId="0D4087DB" w14:textId="77777777" w:rsidR="0040029E" w:rsidRPr="0040029E" w:rsidRDefault="0040029E" w:rsidP="0040029E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Calibri" w:hAnsi="Calibri" w:cs="Calibri"/>
          <w:color w:val="000000"/>
          <w:sz w:val="24"/>
          <w:szCs w:val="24"/>
        </w:rPr>
        <w:t>From Trigger Logic (Section C)</w:t>
      </w:r>
    </w:p>
    <w:p w14:paraId="7FA899B3" w14:textId="77777777" w:rsidR="0040029E" w:rsidRPr="0040029E" w:rsidRDefault="0040029E" w:rsidP="0040029E">
      <w:pPr>
        <w:pStyle w:val="NormalWeb"/>
        <w:numPr>
          <w:ilvl w:val="0"/>
          <w:numId w:val="71"/>
        </w:numPr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threshold crossing → claim activation</w:t>
      </w:r>
    </w:p>
    <w:p w14:paraId="021D6142" w14:textId="77777777" w:rsidR="0040029E" w:rsidRPr="0040029E" w:rsidRDefault="00634279" w:rsidP="0040029E">
      <w:pPr>
        <w:rPr>
          <w:rFonts w:ascii="Calibri" w:hAnsi="Calibri" w:cs="Calibri"/>
        </w:rPr>
      </w:pPr>
      <w:r w:rsidRPr="00634279">
        <w:rPr>
          <w:rFonts w:ascii="Calibri" w:hAnsi="Calibri" w:cs="Calibri"/>
          <w:noProof/>
        </w:rPr>
        <w:pict w14:anchorId="62C95B6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C28C11F" w14:textId="77777777" w:rsidR="0040029E" w:rsidRPr="0040029E" w:rsidRDefault="0040029E" w:rsidP="0040029E">
      <w:pPr>
        <w:pStyle w:val="Heading1"/>
        <w:rPr>
          <w:rFonts w:ascii="Calibri" w:hAnsi="Calibri" w:cs="Calibri"/>
          <w:color w:val="000000"/>
          <w:sz w:val="24"/>
          <w:szCs w:val="24"/>
        </w:rPr>
      </w:pPr>
      <w:r w:rsidRPr="0040029E">
        <w:rPr>
          <w:rFonts w:ascii="Apple Color Emoji" w:hAnsi="Apple Color Emoji" w:cs="Apple Color Emoji"/>
          <w:color w:val="000000"/>
          <w:sz w:val="24"/>
          <w:szCs w:val="24"/>
        </w:rPr>
        <w:t>📚</w:t>
      </w:r>
      <w:r w:rsidRPr="0040029E">
        <w:rPr>
          <w:rFonts w:ascii="Calibri" w:hAnsi="Calibri" w:cs="Calibri"/>
          <w:color w:val="000000"/>
          <w:sz w:val="24"/>
          <w:szCs w:val="24"/>
        </w:rPr>
        <w:t xml:space="preserve"> REFERENCES</w:t>
      </w:r>
    </w:p>
    <w:p w14:paraId="0285992F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[1] Income Protection Insurance Concept – Definition and Loss Calculation</w:t>
      </w:r>
      <w:r w:rsidRPr="0040029E">
        <w:rPr>
          <w:rFonts w:ascii="Calibri" w:hAnsi="Calibri" w:cs="Calibri"/>
          <w:color w:val="000000"/>
        </w:rPr>
        <w:br/>
      </w:r>
      <w:hyperlink r:id="rId5" w:tgtFrame="_new" w:history="1">
        <w:r w:rsidRPr="0040029E">
          <w:rPr>
            <w:rStyle w:val="Hyperlink"/>
            <w:rFonts w:ascii="Calibri" w:hAnsi="Calibri" w:cs="Calibri"/>
          </w:rPr>
          <w:t>https://www.investopedia.com/terms/i/incomeprotectioninsurance.asp</w:t>
        </w:r>
      </w:hyperlink>
    </w:p>
    <w:p w14:paraId="5A525F2A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[2] Swiss Re – Parametric Insurance Explained</w:t>
      </w:r>
      <w:r w:rsidRPr="0040029E">
        <w:rPr>
          <w:rFonts w:ascii="Calibri" w:hAnsi="Calibri" w:cs="Calibri"/>
          <w:color w:val="000000"/>
        </w:rPr>
        <w:br/>
      </w:r>
      <w:hyperlink r:id="rId6" w:tgtFrame="_new" w:history="1">
        <w:r w:rsidRPr="0040029E">
          <w:rPr>
            <w:rStyle w:val="Hyperlink"/>
            <w:rFonts w:ascii="Calibri" w:hAnsi="Calibri" w:cs="Calibri"/>
          </w:rPr>
          <w:t>https://corporatesolutions.swissre.com/insights/knowledge/what_is_parametric_insurance.html</w:t>
        </w:r>
      </w:hyperlink>
    </w:p>
    <w:p w14:paraId="2519A5DA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[3] IAIS – Parametric Insurance Framework</w:t>
      </w:r>
      <w:r w:rsidRPr="0040029E">
        <w:rPr>
          <w:rFonts w:ascii="Calibri" w:hAnsi="Calibri" w:cs="Calibri"/>
          <w:color w:val="000000"/>
        </w:rPr>
        <w:br/>
      </w:r>
      <w:hyperlink r:id="rId7" w:tgtFrame="_new" w:history="1">
        <w:r w:rsidRPr="0040029E">
          <w:rPr>
            <w:rStyle w:val="Hyperlink"/>
            <w:rFonts w:ascii="Calibri" w:hAnsi="Calibri" w:cs="Calibri"/>
          </w:rPr>
          <w:t>https://www.iais.org/uploads/2024/12/FSI-IAIS-Insights-on-parametric-insurance.pdf</w:t>
        </w:r>
      </w:hyperlink>
    </w:p>
    <w:p w14:paraId="63FC73A2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[4] Milliman – Parametric Insurance Structure and Risk Management</w:t>
      </w:r>
      <w:r w:rsidRPr="0040029E">
        <w:rPr>
          <w:rFonts w:ascii="Calibri" w:hAnsi="Calibri" w:cs="Calibri"/>
          <w:color w:val="000000"/>
        </w:rPr>
        <w:br/>
      </w:r>
      <w:hyperlink r:id="rId8" w:tgtFrame="_new" w:history="1">
        <w:r w:rsidRPr="0040029E">
          <w:rPr>
            <w:rStyle w:val="Hyperlink"/>
            <w:rFonts w:ascii="Calibri" w:hAnsi="Calibri" w:cs="Calibri"/>
          </w:rPr>
          <w:t>https://www.milliman.com/en/insight/parametric-insurance-solution-public-entities</w:t>
        </w:r>
      </w:hyperlink>
    </w:p>
    <w:p w14:paraId="66ED0D14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[5] Loss Data Analytics – Risk-Based Pricing Principles</w:t>
      </w:r>
      <w:r w:rsidRPr="0040029E">
        <w:rPr>
          <w:rFonts w:ascii="Calibri" w:hAnsi="Calibri" w:cs="Calibri"/>
          <w:color w:val="000000"/>
        </w:rPr>
        <w:br/>
      </w:r>
      <w:hyperlink r:id="rId9" w:tgtFrame="_new" w:history="1">
        <w:r w:rsidRPr="0040029E">
          <w:rPr>
            <w:rStyle w:val="Hyperlink"/>
            <w:rFonts w:ascii="Calibri" w:hAnsi="Calibri" w:cs="Calibri"/>
          </w:rPr>
          <w:t>https://openacttexts.github.io/Loss-Data-Analytics/ChapPremiumFoundations.html</w:t>
        </w:r>
      </w:hyperlink>
    </w:p>
    <w:p w14:paraId="2F1BA271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[6] World Bank – Basis Risk in Parametric Insurance</w:t>
      </w:r>
      <w:r w:rsidRPr="0040029E">
        <w:rPr>
          <w:rFonts w:ascii="Calibri" w:hAnsi="Calibri" w:cs="Calibri"/>
          <w:color w:val="000000"/>
        </w:rPr>
        <w:br/>
      </w:r>
      <w:hyperlink r:id="rId10" w:tgtFrame="_new" w:history="1">
        <w:r w:rsidRPr="0040029E">
          <w:rPr>
            <w:rStyle w:val="Hyperlink"/>
            <w:rFonts w:ascii="Calibri" w:hAnsi="Calibri" w:cs="Calibri"/>
          </w:rPr>
          <w:t>https://documents.worldbank.org/en/publication/documents-reports/documentdetail/</w:t>
        </w:r>
      </w:hyperlink>
    </w:p>
    <w:p w14:paraId="52338B49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[7] PwC – Basis Risk in Parametric Insurance</w:t>
      </w:r>
      <w:r w:rsidRPr="0040029E">
        <w:rPr>
          <w:rFonts w:ascii="Calibri" w:hAnsi="Calibri" w:cs="Calibri"/>
          <w:color w:val="000000"/>
        </w:rPr>
        <w:br/>
      </w:r>
      <w:hyperlink r:id="rId11" w:tgtFrame="_new" w:history="1">
        <w:r w:rsidRPr="0040029E">
          <w:rPr>
            <w:rStyle w:val="Hyperlink"/>
            <w:rFonts w:ascii="Calibri" w:hAnsi="Calibri" w:cs="Calibri"/>
          </w:rPr>
          <w:t>https://www.pwc.ch/en/insights/fs/basis-risk-parametric-insurance.html</w:t>
        </w:r>
      </w:hyperlink>
    </w:p>
    <w:p w14:paraId="1E735F3D" w14:textId="77777777" w:rsidR="0040029E" w:rsidRPr="0040029E" w:rsidRDefault="0040029E" w:rsidP="0040029E">
      <w:pPr>
        <w:pStyle w:val="NormalWeb"/>
        <w:rPr>
          <w:rFonts w:ascii="Calibri" w:hAnsi="Calibri" w:cs="Calibri"/>
          <w:color w:val="000000"/>
        </w:rPr>
      </w:pPr>
      <w:r w:rsidRPr="0040029E">
        <w:rPr>
          <w:rFonts w:ascii="Calibri" w:hAnsi="Calibri" w:cs="Calibri"/>
          <w:color w:val="000000"/>
        </w:rPr>
        <w:t>[8] Ecosystem Analysis for Income Protection Modeling</w:t>
      </w:r>
      <w:r w:rsidRPr="0040029E">
        <w:rPr>
          <w:rFonts w:ascii="Calibri" w:hAnsi="Calibri" w:cs="Calibri"/>
          <w:color w:val="000000"/>
        </w:rPr>
        <w:br/>
        <w:t>[9] Swiggy Instamart Delivery Partner Ecosystem</w:t>
      </w:r>
      <w:r w:rsidRPr="0040029E">
        <w:rPr>
          <w:rFonts w:ascii="Calibri" w:hAnsi="Calibri" w:cs="Calibri"/>
          <w:color w:val="000000"/>
        </w:rPr>
        <w:br/>
        <w:t>[10] BigBasket Now Delivery Partner Ecosystem</w:t>
      </w:r>
      <w:r w:rsidRPr="0040029E">
        <w:rPr>
          <w:rFonts w:ascii="Calibri" w:hAnsi="Calibri" w:cs="Calibri"/>
          <w:color w:val="000000"/>
        </w:rPr>
        <w:br/>
        <w:t>[11] Flipkart Minutes Delivery Partner Ecosystem</w:t>
      </w:r>
    </w:p>
    <w:p w14:paraId="4B197A55" w14:textId="77777777" w:rsidR="0040029E" w:rsidRPr="0040029E" w:rsidRDefault="00634279" w:rsidP="0040029E">
      <w:pPr>
        <w:rPr>
          <w:rFonts w:ascii="Calibri" w:hAnsi="Calibri" w:cs="Calibri"/>
        </w:rPr>
      </w:pPr>
      <w:r w:rsidRPr="0040029E">
        <w:rPr>
          <w:rFonts w:ascii="Calibri" w:hAnsi="Calibri" w:cs="Calibri"/>
          <w:noProof/>
        </w:rPr>
        <w:pict w14:anchorId="5C9F36C5">
          <v:rect id="_x0000_i1025" style="width:0;height:1.5pt" o:hralign="center" o:hrstd="t" o:hr="t" fillcolor="#a0a0a0" stroked="f"/>
        </w:pict>
      </w:r>
    </w:p>
    <w:p w14:paraId="53CB81B6" w14:textId="77777777" w:rsidR="00FC40FF" w:rsidRPr="0040029E" w:rsidRDefault="00FC40FF" w:rsidP="0040029E">
      <w:pPr>
        <w:rPr>
          <w:rFonts w:ascii="Calibri" w:hAnsi="Calibri" w:cs="Calibri"/>
        </w:rPr>
      </w:pPr>
    </w:p>
    <w:sectPr w:rsidR="00FC40FF" w:rsidRPr="00400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65A4"/>
    <w:multiLevelType w:val="multilevel"/>
    <w:tmpl w:val="4808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3DAC"/>
    <w:multiLevelType w:val="multilevel"/>
    <w:tmpl w:val="5612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135D8"/>
    <w:multiLevelType w:val="multilevel"/>
    <w:tmpl w:val="9564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71DA9"/>
    <w:multiLevelType w:val="multilevel"/>
    <w:tmpl w:val="48AC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46FD9"/>
    <w:multiLevelType w:val="multilevel"/>
    <w:tmpl w:val="440C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04CE1"/>
    <w:multiLevelType w:val="multilevel"/>
    <w:tmpl w:val="0EFA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36559"/>
    <w:multiLevelType w:val="multilevel"/>
    <w:tmpl w:val="AB56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B417B"/>
    <w:multiLevelType w:val="multilevel"/>
    <w:tmpl w:val="8550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448A1"/>
    <w:multiLevelType w:val="multilevel"/>
    <w:tmpl w:val="02CE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C39A6"/>
    <w:multiLevelType w:val="multilevel"/>
    <w:tmpl w:val="A28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514B9"/>
    <w:multiLevelType w:val="multilevel"/>
    <w:tmpl w:val="5BBC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E37D0"/>
    <w:multiLevelType w:val="multilevel"/>
    <w:tmpl w:val="CD94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06CE4"/>
    <w:multiLevelType w:val="multilevel"/>
    <w:tmpl w:val="8B7A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F5E7E"/>
    <w:multiLevelType w:val="multilevel"/>
    <w:tmpl w:val="BF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64925"/>
    <w:multiLevelType w:val="multilevel"/>
    <w:tmpl w:val="87A2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F7A8C"/>
    <w:multiLevelType w:val="multilevel"/>
    <w:tmpl w:val="1E32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A442B"/>
    <w:multiLevelType w:val="multilevel"/>
    <w:tmpl w:val="AF0A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06B7E"/>
    <w:multiLevelType w:val="multilevel"/>
    <w:tmpl w:val="050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9130B6"/>
    <w:multiLevelType w:val="multilevel"/>
    <w:tmpl w:val="EC74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81404"/>
    <w:multiLevelType w:val="multilevel"/>
    <w:tmpl w:val="2C02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E22CA"/>
    <w:multiLevelType w:val="multilevel"/>
    <w:tmpl w:val="CF7E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5817FD"/>
    <w:multiLevelType w:val="multilevel"/>
    <w:tmpl w:val="098C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F73F0"/>
    <w:multiLevelType w:val="multilevel"/>
    <w:tmpl w:val="2A4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A0BC8"/>
    <w:multiLevelType w:val="multilevel"/>
    <w:tmpl w:val="365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E73753"/>
    <w:multiLevelType w:val="multilevel"/>
    <w:tmpl w:val="3AC2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11419"/>
    <w:multiLevelType w:val="multilevel"/>
    <w:tmpl w:val="7A16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124FE"/>
    <w:multiLevelType w:val="multilevel"/>
    <w:tmpl w:val="AC0C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3F283E"/>
    <w:multiLevelType w:val="multilevel"/>
    <w:tmpl w:val="0592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9C209F"/>
    <w:multiLevelType w:val="multilevel"/>
    <w:tmpl w:val="578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851122"/>
    <w:multiLevelType w:val="multilevel"/>
    <w:tmpl w:val="F1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454C79"/>
    <w:multiLevelType w:val="multilevel"/>
    <w:tmpl w:val="E86E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2D0D02"/>
    <w:multiLevelType w:val="multilevel"/>
    <w:tmpl w:val="82BE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FB277E"/>
    <w:multiLevelType w:val="multilevel"/>
    <w:tmpl w:val="A788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2B5CB4"/>
    <w:multiLevelType w:val="multilevel"/>
    <w:tmpl w:val="4A2E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0F30C0"/>
    <w:multiLevelType w:val="multilevel"/>
    <w:tmpl w:val="DE62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4C550B"/>
    <w:multiLevelType w:val="multilevel"/>
    <w:tmpl w:val="8D3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6516F6"/>
    <w:multiLevelType w:val="multilevel"/>
    <w:tmpl w:val="3C80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9D6BB3"/>
    <w:multiLevelType w:val="multilevel"/>
    <w:tmpl w:val="09A8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A522C0"/>
    <w:multiLevelType w:val="multilevel"/>
    <w:tmpl w:val="B3CC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7E3E37"/>
    <w:multiLevelType w:val="multilevel"/>
    <w:tmpl w:val="1B7E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1547F5"/>
    <w:multiLevelType w:val="multilevel"/>
    <w:tmpl w:val="88A0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CB16ED"/>
    <w:multiLevelType w:val="multilevel"/>
    <w:tmpl w:val="6A7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CC384F"/>
    <w:multiLevelType w:val="multilevel"/>
    <w:tmpl w:val="00E6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BC002A"/>
    <w:multiLevelType w:val="multilevel"/>
    <w:tmpl w:val="F534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451E11"/>
    <w:multiLevelType w:val="multilevel"/>
    <w:tmpl w:val="3E40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935223"/>
    <w:multiLevelType w:val="multilevel"/>
    <w:tmpl w:val="86A2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332F02"/>
    <w:multiLevelType w:val="multilevel"/>
    <w:tmpl w:val="16D8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5E311A"/>
    <w:multiLevelType w:val="multilevel"/>
    <w:tmpl w:val="F7F8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4969B9"/>
    <w:multiLevelType w:val="multilevel"/>
    <w:tmpl w:val="534A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D73578"/>
    <w:multiLevelType w:val="multilevel"/>
    <w:tmpl w:val="FBDC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FF1E4C"/>
    <w:multiLevelType w:val="multilevel"/>
    <w:tmpl w:val="15C0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9C565F"/>
    <w:multiLevelType w:val="multilevel"/>
    <w:tmpl w:val="842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5665D3"/>
    <w:multiLevelType w:val="multilevel"/>
    <w:tmpl w:val="4006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3B240D"/>
    <w:multiLevelType w:val="multilevel"/>
    <w:tmpl w:val="770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040724"/>
    <w:multiLevelType w:val="multilevel"/>
    <w:tmpl w:val="3A8E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6B1B3D"/>
    <w:multiLevelType w:val="multilevel"/>
    <w:tmpl w:val="485E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FE1ED7"/>
    <w:multiLevelType w:val="multilevel"/>
    <w:tmpl w:val="B4C2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1849E0"/>
    <w:multiLevelType w:val="multilevel"/>
    <w:tmpl w:val="C24E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573A2F"/>
    <w:multiLevelType w:val="multilevel"/>
    <w:tmpl w:val="B4FA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D41815"/>
    <w:multiLevelType w:val="multilevel"/>
    <w:tmpl w:val="3774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AF7191"/>
    <w:multiLevelType w:val="multilevel"/>
    <w:tmpl w:val="2F34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F075FE"/>
    <w:multiLevelType w:val="multilevel"/>
    <w:tmpl w:val="B7C0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7A5156"/>
    <w:multiLevelType w:val="multilevel"/>
    <w:tmpl w:val="4B4E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FE25CE"/>
    <w:multiLevelType w:val="multilevel"/>
    <w:tmpl w:val="2CCA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E13ACF"/>
    <w:multiLevelType w:val="multilevel"/>
    <w:tmpl w:val="9A70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A728B7"/>
    <w:multiLevelType w:val="multilevel"/>
    <w:tmpl w:val="6FE2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A5635A"/>
    <w:multiLevelType w:val="multilevel"/>
    <w:tmpl w:val="612E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BE3803"/>
    <w:multiLevelType w:val="multilevel"/>
    <w:tmpl w:val="06D2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EB0D64"/>
    <w:multiLevelType w:val="multilevel"/>
    <w:tmpl w:val="CD94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3629EA"/>
    <w:multiLevelType w:val="multilevel"/>
    <w:tmpl w:val="3E3C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E80865"/>
    <w:multiLevelType w:val="multilevel"/>
    <w:tmpl w:val="9AE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653084">
    <w:abstractNumId w:val="25"/>
  </w:num>
  <w:num w:numId="2" w16cid:durableId="469371398">
    <w:abstractNumId w:val="59"/>
  </w:num>
  <w:num w:numId="3" w16cid:durableId="2131707766">
    <w:abstractNumId w:val="26"/>
  </w:num>
  <w:num w:numId="4" w16cid:durableId="1217744746">
    <w:abstractNumId w:val="67"/>
  </w:num>
  <w:num w:numId="5" w16cid:durableId="1333411272">
    <w:abstractNumId w:val="47"/>
  </w:num>
  <w:num w:numId="6" w16cid:durableId="584261318">
    <w:abstractNumId w:val="61"/>
  </w:num>
  <w:num w:numId="7" w16cid:durableId="525290319">
    <w:abstractNumId w:val="45"/>
  </w:num>
  <w:num w:numId="8" w16cid:durableId="1100223947">
    <w:abstractNumId w:val="62"/>
  </w:num>
  <w:num w:numId="9" w16cid:durableId="464354304">
    <w:abstractNumId w:val="27"/>
  </w:num>
  <w:num w:numId="10" w16cid:durableId="1375425154">
    <w:abstractNumId w:val="44"/>
  </w:num>
  <w:num w:numId="11" w16cid:durableId="1799646400">
    <w:abstractNumId w:val="30"/>
  </w:num>
  <w:num w:numId="12" w16cid:durableId="2078239704">
    <w:abstractNumId w:val="37"/>
  </w:num>
  <w:num w:numId="13" w16cid:durableId="358089201">
    <w:abstractNumId w:val="36"/>
  </w:num>
  <w:num w:numId="14" w16cid:durableId="714623507">
    <w:abstractNumId w:val="13"/>
  </w:num>
  <w:num w:numId="15" w16cid:durableId="2101563563">
    <w:abstractNumId w:val="4"/>
  </w:num>
  <w:num w:numId="16" w16cid:durableId="1946494995">
    <w:abstractNumId w:val="63"/>
  </w:num>
  <w:num w:numId="17" w16cid:durableId="1712682341">
    <w:abstractNumId w:val="18"/>
  </w:num>
  <w:num w:numId="18" w16cid:durableId="1009984435">
    <w:abstractNumId w:val="1"/>
  </w:num>
  <w:num w:numId="19" w16cid:durableId="395511221">
    <w:abstractNumId w:val="38"/>
  </w:num>
  <w:num w:numId="20" w16cid:durableId="1783574516">
    <w:abstractNumId w:val="6"/>
  </w:num>
  <w:num w:numId="21" w16cid:durableId="312835754">
    <w:abstractNumId w:val="54"/>
  </w:num>
  <w:num w:numId="22" w16cid:durableId="2021199646">
    <w:abstractNumId w:val="49"/>
  </w:num>
  <w:num w:numId="23" w16cid:durableId="51853627">
    <w:abstractNumId w:val="22"/>
  </w:num>
  <w:num w:numId="24" w16cid:durableId="212738818">
    <w:abstractNumId w:val="51"/>
  </w:num>
  <w:num w:numId="25" w16cid:durableId="615795822">
    <w:abstractNumId w:val="48"/>
  </w:num>
  <w:num w:numId="26" w16cid:durableId="1453786728">
    <w:abstractNumId w:val="42"/>
  </w:num>
  <w:num w:numId="27" w16cid:durableId="1106998390">
    <w:abstractNumId w:val="65"/>
  </w:num>
  <w:num w:numId="28" w16cid:durableId="2123960802">
    <w:abstractNumId w:val="14"/>
  </w:num>
  <w:num w:numId="29" w16cid:durableId="131942894">
    <w:abstractNumId w:val="28"/>
  </w:num>
  <w:num w:numId="30" w16cid:durableId="1628467410">
    <w:abstractNumId w:val="0"/>
  </w:num>
  <w:num w:numId="31" w16cid:durableId="1680234670">
    <w:abstractNumId w:val="2"/>
  </w:num>
  <w:num w:numId="32" w16cid:durableId="1505707525">
    <w:abstractNumId w:val="66"/>
  </w:num>
  <w:num w:numId="33" w16cid:durableId="1043604384">
    <w:abstractNumId w:val="19"/>
  </w:num>
  <w:num w:numId="34" w16cid:durableId="115293432">
    <w:abstractNumId w:val="57"/>
  </w:num>
  <w:num w:numId="35" w16cid:durableId="555237522">
    <w:abstractNumId w:val="31"/>
  </w:num>
  <w:num w:numId="36" w16cid:durableId="1812749028">
    <w:abstractNumId w:val="20"/>
  </w:num>
  <w:num w:numId="37" w16cid:durableId="817528356">
    <w:abstractNumId w:val="17"/>
  </w:num>
  <w:num w:numId="38" w16cid:durableId="1184516716">
    <w:abstractNumId w:val="69"/>
  </w:num>
  <w:num w:numId="39" w16cid:durableId="2047635545">
    <w:abstractNumId w:val="53"/>
  </w:num>
  <w:num w:numId="40" w16cid:durableId="1477649430">
    <w:abstractNumId w:val="60"/>
  </w:num>
  <w:num w:numId="41" w16cid:durableId="1308512923">
    <w:abstractNumId w:val="10"/>
  </w:num>
  <w:num w:numId="42" w16cid:durableId="133957259">
    <w:abstractNumId w:val="46"/>
  </w:num>
  <w:num w:numId="43" w16cid:durableId="1128087147">
    <w:abstractNumId w:val="16"/>
  </w:num>
  <w:num w:numId="44" w16cid:durableId="1886210426">
    <w:abstractNumId w:val="3"/>
  </w:num>
  <w:num w:numId="45" w16cid:durableId="702679784">
    <w:abstractNumId w:val="43"/>
  </w:num>
  <w:num w:numId="46" w16cid:durableId="1748965357">
    <w:abstractNumId w:val="50"/>
  </w:num>
  <w:num w:numId="47" w16cid:durableId="1189222037">
    <w:abstractNumId w:val="15"/>
  </w:num>
  <w:num w:numId="48" w16cid:durableId="1640258513">
    <w:abstractNumId w:val="8"/>
  </w:num>
  <w:num w:numId="49" w16cid:durableId="3243156">
    <w:abstractNumId w:val="39"/>
  </w:num>
  <w:num w:numId="50" w16cid:durableId="1916012143">
    <w:abstractNumId w:val="7"/>
  </w:num>
  <w:num w:numId="51" w16cid:durableId="1058942244">
    <w:abstractNumId w:val="68"/>
  </w:num>
  <w:num w:numId="52" w16cid:durableId="119686502">
    <w:abstractNumId w:val="35"/>
  </w:num>
  <w:num w:numId="53" w16cid:durableId="644434288">
    <w:abstractNumId w:val="33"/>
  </w:num>
  <w:num w:numId="54" w16cid:durableId="1556624719">
    <w:abstractNumId w:val="12"/>
  </w:num>
  <w:num w:numId="55" w16cid:durableId="787235217">
    <w:abstractNumId w:val="5"/>
  </w:num>
  <w:num w:numId="56" w16cid:durableId="1638611887">
    <w:abstractNumId w:val="24"/>
  </w:num>
  <w:num w:numId="57" w16cid:durableId="1305550086">
    <w:abstractNumId w:val="55"/>
  </w:num>
  <w:num w:numId="58" w16cid:durableId="238171445">
    <w:abstractNumId w:val="9"/>
  </w:num>
  <w:num w:numId="59" w16cid:durableId="1257445949">
    <w:abstractNumId w:val="64"/>
  </w:num>
  <w:num w:numId="60" w16cid:durableId="1380010342">
    <w:abstractNumId w:val="40"/>
  </w:num>
  <w:num w:numId="61" w16cid:durableId="1378509281">
    <w:abstractNumId w:val="70"/>
  </w:num>
  <w:num w:numId="62" w16cid:durableId="705720334">
    <w:abstractNumId w:val="41"/>
  </w:num>
  <w:num w:numId="63" w16cid:durableId="676660474">
    <w:abstractNumId w:val="11"/>
  </w:num>
  <w:num w:numId="64" w16cid:durableId="1660692164">
    <w:abstractNumId w:val="32"/>
  </w:num>
  <w:num w:numId="65" w16cid:durableId="1045520680">
    <w:abstractNumId w:val="29"/>
  </w:num>
  <w:num w:numId="66" w16cid:durableId="659773891">
    <w:abstractNumId w:val="34"/>
  </w:num>
  <w:num w:numId="67" w16cid:durableId="1407260790">
    <w:abstractNumId w:val="52"/>
  </w:num>
  <w:num w:numId="68" w16cid:durableId="24138084">
    <w:abstractNumId w:val="21"/>
  </w:num>
  <w:num w:numId="69" w16cid:durableId="1137841225">
    <w:abstractNumId w:val="58"/>
  </w:num>
  <w:num w:numId="70" w16cid:durableId="171066863">
    <w:abstractNumId w:val="56"/>
  </w:num>
  <w:num w:numId="71" w16cid:durableId="403738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90F"/>
    <w:rsid w:val="000C2C32"/>
    <w:rsid w:val="00173236"/>
    <w:rsid w:val="0018400B"/>
    <w:rsid w:val="002959E7"/>
    <w:rsid w:val="003B1228"/>
    <w:rsid w:val="0040029E"/>
    <w:rsid w:val="004E4AA2"/>
    <w:rsid w:val="00634279"/>
    <w:rsid w:val="00926ED0"/>
    <w:rsid w:val="00A038F9"/>
    <w:rsid w:val="00B3790F"/>
    <w:rsid w:val="00BD1110"/>
    <w:rsid w:val="00C02A30"/>
    <w:rsid w:val="00F41000"/>
    <w:rsid w:val="00FC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81AD6"/>
  <w15:chartTrackingRefBased/>
  <w15:docId w15:val="{E0D2D383-E838-124F-8590-E336D2B5A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7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9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7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B3790F"/>
  </w:style>
  <w:style w:type="character" w:styleId="Strong">
    <w:name w:val="Strong"/>
    <w:basedOn w:val="DefaultParagraphFont"/>
    <w:uiPriority w:val="22"/>
    <w:qFormat/>
    <w:rsid w:val="00B379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79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790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3790F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B12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12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12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12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122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lliman.com/en/insight/parametric-insurance-solution-public-entiti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ais.org/uploads/2024/12/FSI-IAIS-Insights-on-parametric-insurance.pdf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poratesolutions.swissre.com/insights/knowledge/what_is_parametric_insurance.html" TargetMode="External"/><Relationship Id="rId11" Type="http://schemas.openxmlformats.org/officeDocument/2006/relationships/hyperlink" Target="https://www.pwc.ch/en/insights/fs/basis-risk-parametric-insurance.html" TargetMode="External"/><Relationship Id="rId5" Type="http://schemas.openxmlformats.org/officeDocument/2006/relationships/hyperlink" Target="https://www.investopedia.com/terms/i/incomeprotectioninsurance.asp" TargetMode="External"/><Relationship Id="rId10" Type="http://schemas.openxmlformats.org/officeDocument/2006/relationships/hyperlink" Target="https://documents.worldbank.org/en/publication/documents-reports/documentdetai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acttexts.github.io/Loss-Data-Analytics/ChapPremiumFounda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1123</Words>
  <Characters>7205</Characters>
  <Application>Microsoft Office Word</Application>
  <DocSecurity>0</DocSecurity>
  <Lines>514</Lines>
  <Paragraphs>489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CHENNUPALLI LAXMI VARSHITHA</dc:creator>
  <cp:keywords/>
  <dc:description/>
  <cp:lastModifiedBy>CHENNUPALLI LAXMI VARSHITHA</cp:lastModifiedBy>
  <cp:revision>2</cp:revision>
  <dcterms:created xsi:type="dcterms:W3CDTF">2026-03-19T17:55:00Z</dcterms:created>
  <dcterms:modified xsi:type="dcterms:W3CDTF">2026-03-19T17:55:00Z</dcterms:modified>
</cp:coreProperties>
</file>