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800" w:after="1000"/>
        <w:jc w:val="center"/>
      </w:pPr>
      <w:r>
        <w:rPr>
          <w:rFonts w:ascii="黑体" w:hAnsi="黑体" w:eastAsia="黑体"/>
          <w:b/>
          <w:sz w:val="40"/>
        </w:rPr>
        <w:t>学士学位毕业设计</w:t>
      </w:r>
    </w:p>
    <w:p>
      <w:pPr>
        <w:spacing w:before="0" w:after="840"/>
        <w:jc w:val="center"/>
      </w:pPr>
      <w:r>
        <w:rPr>
          <w:rFonts w:ascii="黑体" w:hAnsi="黑体" w:eastAsia="黑体"/>
          <w:b/>
          <w:sz w:val="36"/>
        </w:rPr>
        <w:t>华锐SL1500型双馈式风机齿轮箱智能健康管理系统设计与实现</w:t>
      </w:r>
    </w:p>
    <w:p>
      <w:pPr>
        <w:spacing w:after="200"/>
        <w:jc w:val="center"/>
      </w:pPr>
      <w:r>
        <w:rPr>
          <w:rFonts w:ascii="宋体" w:hAnsi="宋体" w:eastAsia="宋体"/>
          <w:b w:val="0"/>
          <w:sz w:val="28"/>
        </w:rPr>
        <w:t>姓    名  ____________</w:t>
      </w:r>
    </w:p>
    <w:p>
      <w:pPr>
        <w:spacing w:after="200"/>
        <w:jc w:val="center"/>
      </w:pPr>
      <w:r>
        <w:rPr>
          <w:rFonts w:ascii="宋体" w:hAnsi="宋体" w:eastAsia="宋体"/>
          <w:b w:val="0"/>
          <w:sz w:val="28"/>
        </w:rPr>
        <w:t>学    号  ____________</w:t>
      </w:r>
    </w:p>
    <w:p>
      <w:pPr>
        <w:spacing w:after="200"/>
        <w:jc w:val="center"/>
      </w:pPr>
      <w:r>
        <w:rPr>
          <w:rFonts w:ascii="宋体" w:hAnsi="宋体" w:eastAsia="宋体"/>
          <w:b w:val="0"/>
          <w:sz w:val="28"/>
        </w:rPr>
        <w:t>院    系  信息工程学院</w:t>
      </w:r>
    </w:p>
    <w:p>
      <w:pPr>
        <w:spacing w:after="200"/>
        <w:jc w:val="center"/>
      </w:pPr>
      <w:r>
        <w:rPr>
          <w:rFonts w:ascii="宋体" w:hAnsi="宋体" w:eastAsia="宋体"/>
          <w:b w:val="0"/>
          <w:sz w:val="28"/>
        </w:rPr>
        <w:t>专    业  计算机科学与技术</w:t>
      </w:r>
    </w:p>
    <w:p>
      <w:pPr>
        <w:spacing w:after="200"/>
        <w:jc w:val="center"/>
      </w:pPr>
      <w:r>
        <w:rPr>
          <w:rFonts w:ascii="宋体" w:hAnsi="宋体" w:eastAsia="宋体"/>
          <w:b w:val="0"/>
          <w:sz w:val="28"/>
        </w:rPr>
        <w:t>班    级  ____________</w:t>
      </w:r>
    </w:p>
    <w:p>
      <w:pPr>
        <w:spacing w:after="200"/>
        <w:jc w:val="center"/>
      </w:pPr>
      <w:r>
        <w:rPr>
          <w:rFonts w:ascii="宋体" w:hAnsi="宋体" w:eastAsia="宋体"/>
          <w:b w:val="0"/>
          <w:sz w:val="28"/>
        </w:rPr>
        <w:t>指导教师  ____________</w:t>
      </w:r>
    </w:p>
    <w:p>
      <w:pPr>
        <w:spacing w:after="200"/>
        <w:jc w:val="center"/>
      </w:pPr>
      <w:r>
        <w:rPr>
          <w:rFonts w:ascii="宋体" w:hAnsi="宋体" w:eastAsia="宋体"/>
          <w:b w:val="0"/>
          <w:sz w:val="28"/>
        </w:rPr>
        <w:t>辅导教师  ____________</w:t>
      </w:r>
    </w:p>
    <w:p>
      <w:pPr>
        <w:spacing w:before="1200" w:after="160"/>
        <w:jc w:val="center"/>
      </w:pPr>
      <w:r>
        <w:rPr>
          <w:rFonts w:ascii="宋体" w:hAnsi="宋体" w:eastAsia="宋体"/>
          <w:b w:val="0"/>
          <w:sz w:val="28"/>
        </w:rPr>
        <w:t>2026 年 5 月</w:t>
      </w:r>
    </w:p>
    <w:p>
      <w:r>
        <w:br w:type="page"/>
      </w:r>
    </w:p>
    <w:p>
      <w:pPr>
        <w:spacing w:before="0" w:after="360"/>
        <w:jc w:val="center"/>
      </w:pPr>
      <w:r>
        <w:rPr>
          <w:rFonts w:ascii="黑体" w:hAnsi="黑体" w:eastAsia="黑体"/>
          <w:b/>
          <w:sz w:val="32"/>
        </w:rPr>
        <w:t>毕业设计原创性声明</w:t>
      </w:r>
    </w:p>
    <w:p>
      <w:pPr>
        <w:spacing w:line="360" w:lineRule="auto" w:after="0"/>
        <w:ind w:firstLine="420"/>
        <w:jc w:val="both"/>
      </w:pPr>
      <w:r>
        <w:rPr>
          <w:rFonts w:ascii="宋体" w:hAnsi="宋体" w:eastAsia="宋体"/>
          <w:b w:val="0"/>
          <w:sz w:val="21"/>
        </w:rPr>
        <w:t>本人所提交的毕业设计《华锐SL1500型双馈式风机齿轮箱智能健康管理系统设计与实现》，是在导师的指导下，独立进行研究工作所取得的原创性成果。除文中已经注明引用的内容外，本毕业设计不包含任何其他个人或集体已经发表或撰写过的研究成果。对本文的研究做出重要贡献的个人和集体，均已在文中以明确方式标明。</w:t>
      </w:r>
    </w:p>
    <w:p>
      <w:pPr>
        <w:spacing w:line="360" w:lineRule="auto" w:after="0"/>
        <w:ind w:firstLine="420"/>
        <w:jc w:val="both"/>
      </w:pPr>
      <w:r>
        <w:rPr>
          <w:rFonts w:ascii="宋体" w:hAnsi="宋体" w:eastAsia="宋体"/>
          <w:b w:val="0"/>
          <w:sz w:val="21"/>
        </w:rPr>
        <w:t>本声明的法律后果由本人承担。</w:t>
      </w:r>
    </w:p>
    <w:p>
      <w:pPr>
        <w:spacing w:line="360" w:lineRule="auto" w:after="0"/>
        <w:jc w:val="both"/>
      </w:pPr>
      <w:r>
        <w:rPr>
          <w:rFonts w:ascii="宋体" w:hAnsi="宋体" w:eastAsia="宋体"/>
          <w:b w:val="0"/>
          <w:sz w:val="21"/>
        </w:rPr>
        <w:t>毕业设计作者（签名）：                指导教师确认（签名）：</w:t>
      </w:r>
    </w:p>
    <w:p>
      <w:pPr>
        <w:spacing w:line="360" w:lineRule="auto" w:after="0"/>
        <w:jc w:val="both"/>
      </w:pPr>
      <w:r>
        <w:rPr>
          <w:rFonts w:ascii="宋体" w:hAnsi="宋体" w:eastAsia="宋体"/>
          <w:b w:val="0"/>
          <w:sz w:val="21"/>
        </w:rPr>
        <w:t>年   月   日                           年   月   日</w:t>
      </w:r>
    </w:p>
    <w:p>
      <w:r>
        <w:br w:type="page"/>
      </w:r>
    </w:p>
    <w:p>
      <w:pPr>
        <w:spacing w:before="0" w:after="360"/>
        <w:jc w:val="center"/>
      </w:pPr>
      <w:r>
        <w:rPr>
          <w:rFonts w:ascii="黑体" w:hAnsi="黑体" w:eastAsia="黑体"/>
          <w:b/>
          <w:sz w:val="32"/>
        </w:rPr>
        <w:t>毕业设计版权使用授权书</w:t>
      </w:r>
    </w:p>
    <w:p>
      <w:pPr>
        <w:spacing w:line="360" w:lineRule="auto" w:after="0"/>
        <w:ind w:firstLine="420"/>
        <w:jc w:val="both"/>
      </w:pPr>
      <w:r>
        <w:rPr>
          <w:rFonts w:ascii="宋体" w:hAnsi="宋体" w:eastAsia="宋体"/>
          <w:b w:val="0"/>
          <w:sz w:val="21"/>
        </w:rPr>
        <w:t>本毕业设计作者完全了解学校有关保留、使用毕业设计的规定，同意学校保留并向国家有关部门或机构送交毕业设计的复印件和电子文档，允许毕业设计被查阅和借阅。本人授权学校可以将毕业设计的全部或部分内容编入有关数据库进行检索，可以采用影印、缩印或其他复制手段保存、汇编本毕业设计。</w:t>
      </w:r>
    </w:p>
    <w:p>
      <w:pPr>
        <w:spacing w:line="360" w:lineRule="auto" w:after="0"/>
        <w:ind w:firstLine="420"/>
        <w:jc w:val="both"/>
      </w:pPr>
      <w:r>
        <w:rPr>
          <w:rFonts w:ascii="宋体" w:hAnsi="宋体" w:eastAsia="宋体"/>
          <w:b w:val="0"/>
          <w:sz w:val="21"/>
        </w:rPr>
        <w:t>保密的毕业设计在_______年解密后适用本授权书。</w:t>
      </w:r>
    </w:p>
    <w:p>
      <w:pPr>
        <w:spacing w:line="360" w:lineRule="auto" w:after="0"/>
        <w:jc w:val="both"/>
      </w:pPr>
      <w:r>
        <w:rPr>
          <w:rFonts w:ascii="宋体" w:hAnsi="宋体" w:eastAsia="宋体"/>
          <w:b w:val="0"/>
          <w:sz w:val="21"/>
        </w:rPr>
        <w:t>毕业设计作者（签名）：               指导教师（签名）：</w:t>
      </w:r>
    </w:p>
    <w:p>
      <w:pPr>
        <w:spacing w:line="360" w:lineRule="auto" w:after="0"/>
        <w:jc w:val="both"/>
      </w:pPr>
      <w:r>
        <w:rPr>
          <w:rFonts w:ascii="宋体" w:hAnsi="宋体" w:eastAsia="宋体"/>
          <w:b w:val="0"/>
          <w:sz w:val="21"/>
        </w:rPr>
        <w:t>年   月   日                      年   月   日</w:t>
      </w:r>
    </w:p>
    <w:p>
      <w:r>
        <w:br w:type="page"/>
      </w:r>
    </w:p>
    <w:p>
      <w:pPr>
        <w:spacing w:before="0" w:after="360"/>
        <w:jc w:val="center"/>
      </w:pPr>
      <w:r>
        <w:rPr>
          <w:rFonts w:ascii="黑体" w:hAnsi="黑体" w:eastAsia="黑体"/>
          <w:b/>
          <w:sz w:val="32"/>
        </w:rPr>
        <w:t>摘  要</w:t>
      </w:r>
    </w:p>
    <w:p>
      <w:pPr>
        <w:spacing w:line="360" w:lineRule="auto" w:after="0"/>
        <w:ind w:firstLine="420"/>
        <w:jc w:val="both"/>
      </w:pPr>
      <w:r>
        <w:rPr>
          <w:rFonts w:ascii="宋体" w:hAnsi="宋体" w:eastAsia="宋体"/>
          <w:b w:val="0"/>
          <w:sz w:val="21"/>
        </w:rPr>
        <w:t>随着风电装机规模持续扩大，风电机组运行可靠性和智能化运维能力已成为影响风电场发电效率与运维成本的重要因素。齿轮箱作为双馈式风机传动链中的关键部件，长期承受交变载荷、冲击载荷和复杂环境影响，容易出现齿面磨损、点蚀剥落、轴承损伤、油温过高和润滑状态劣化等故障。传统依靠人工巡检和单一阈值报警的方式难以及时发现早期异常，也难以支撑多机组、长周期、精细化的健康管理需求。针对上述问题，本文以华锐SL1500型双馈式风机齿轮箱为研究对象，设计并实现了一套齿轮箱智能健康管理系统。</w:t>
      </w:r>
    </w:p>
    <w:p>
      <w:pPr>
        <w:spacing w:line="360" w:lineRule="auto" w:after="0"/>
        <w:ind w:firstLine="420"/>
        <w:jc w:val="both"/>
      </w:pPr>
      <w:r>
        <w:rPr>
          <w:rFonts w:ascii="宋体" w:hAnsi="宋体" w:eastAsia="宋体"/>
          <w:b w:val="0"/>
          <w:sz w:val="21"/>
        </w:rPr>
        <w:t>系统采用 Flask 后端、SQLite 数据库和 HTML/CSS/JavaScript 前端架构，集成 ECharts 图表、机舱剖视模型、实时监测、故障诊断、故障数据管理、健康评估报告、参数设置、用户权限管理和 AI 专家运维问答等功能。数据层面，系统围绕 SCADA、PLC、CMS、油液监测和检修台账等多源数据建立统一字段体系，重点采集齿轮箱油温、振动 RMS、油液 NAS 等级、风速、有功功率、发电机转速、变桨角、偏航角、报警状态和检修记录。算法层面，本文构建了以油温残差预测、振动特征分析、健康评分和剩余寿命估计为核心的诊断流程，提出将 M-IALO-SVR 用于正常工况下油温预测，并通过实测油温与预测油温残差识别齿轮箱热异常趋势。</w:t>
      </w:r>
    </w:p>
    <w:p>
      <w:pPr>
        <w:spacing w:line="360" w:lineRule="auto" w:after="0"/>
        <w:ind w:firstLine="420"/>
        <w:jc w:val="both"/>
      </w:pPr>
      <w:r>
        <w:rPr>
          <w:rFonts w:ascii="宋体" w:hAnsi="宋体" w:eastAsia="宋体"/>
          <w:b w:val="0"/>
          <w:sz w:val="21"/>
        </w:rPr>
        <w:t>系统实现结果表明，所设计的平台能够完成多机组状态总览、单机运行详情查看、实时数据刷新、故障趋势和分布分析、健康评分计算、RUL 估计和复检周期推荐，能够为风电场运维人员提供较为直观的状态感知与辅助决策依据。本文研究对双馈式风机齿轮箱状态监测、故障诊断和智能运维系统建设具有一定工程参考价值。</w:t>
      </w:r>
    </w:p>
    <w:p>
      <w:pPr>
        <w:spacing w:line="360" w:lineRule="auto" w:after="0"/>
        <w:jc w:val="both"/>
      </w:pPr>
      <w:r>
        <w:rPr>
          <w:rFonts w:ascii="宋体" w:hAnsi="宋体" w:eastAsia="宋体"/>
          <w:b w:val="0"/>
          <w:sz w:val="21"/>
        </w:rPr>
        <w:t>关键词：风力发电；齿轮箱；故障诊断；M-IALO-SVR；健康评估；智能运维</w:t>
      </w:r>
    </w:p>
    <w:p>
      <w:r>
        <w:br w:type="page"/>
      </w:r>
    </w:p>
    <w:p>
      <w:pPr>
        <w:spacing w:before="0" w:after="360"/>
        <w:jc w:val="center"/>
      </w:pPr>
      <w:r>
        <w:rPr>
          <w:rFonts w:ascii="Times New Roman" w:hAnsi="Times New Roman" w:eastAsia="Times New Roman"/>
          <w:b/>
          <w:sz w:val="32"/>
        </w:rPr>
        <w:t>ABSTRACT</w:t>
      </w:r>
    </w:p>
    <w:p>
      <w:pPr>
        <w:spacing w:line="360" w:lineRule="auto" w:after="0"/>
        <w:ind w:firstLine="420"/>
        <w:jc w:val="both"/>
      </w:pPr>
      <w:r>
        <w:rPr>
          <w:rFonts w:ascii="宋体" w:hAnsi="宋体" w:eastAsia="宋体"/>
          <w:b w:val="0"/>
          <w:sz w:val="21"/>
        </w:rPr>
        <w:t>With the continuous growth of wind power capacity, the reliability and intelligent operation capability of wind turbines have become important factors affecting power generation efficiency and maintenance cost. The gearbox is a key component in the transmission chain of a doubly-fed wind turbine. It is exposed to alternating loads, impact loads and complex environmental conditions for a long time, and is prone to gear wear, pitting, bearing damage, abnormal oil temperature and lubricant deterioration. Traditional manual inspection and single-threshold alarm methods are not sufficient for early fault detection and refined health management.</w:t>
      </w:r>
    </w:p>
    <w:p>
      <w:pPr>
        <w:spacing w:line="360" w:lineRule="auto" w:after="0"/>
        <w:ind w:firstLine="420"/>
        <w:jc w:val="both"/>
      </w:pPr>
      <w:r>
        <w:rPr>
          <w:rFonts w:ascii="宋体" w:hAnsi="宋体" w:eastAsia="宋体"/>
          <w:b w:val="0"/>
          <w:sz w:val="21"/>
        </w:rPr>
        <w:t>Taking the gearbox of the SL1500 doubly-fed wind turbine as the research object, this thesis designs and implements an intelligent health management system. The system adopts a Flask backend, SQLite database and a web frontend based on HTML, CSS and JavaScript. It integrates real-time monitoring, fault diagnosis, fault data management, health assessment reports, parameter settings, user permission management, visualization charts and an AI-based operation and maintenance assistant. A multi-source data framework is designed for SCADA, PLC, CMS, oil monitoring and maintenance records.</w:t>
      </w:r>
    </w:p>
    <w:p>
      <w:pPr>
        <w:spacing w:line="360" w:lineRule="auto" w:after="0"/>
        <w:ind w:firstLine="420"/>
        <w:jc w:val="both"/>
      </w:pPr>
      <w:r>
        <w:rPr>
          <w:rFonts w:ascii="宋体" w:hAnsi="宋体" w:eastAsia="宋体"/>
          <w:b w:val="0"/>
          <w:sz w:val="21"/>
        </w:rPr>
        <w:t>The proposed system focuses on oil temperature residual prediction, vibration feature analysis, health score calculation and remaining useful life estimation. The M-IALO-SVR method is introduced to predict the normal oil temperature under operating conditions, and the residual between the measured and predicted oil temperature is used to identify abnormal thermal trends. The implementation results show that the system can support wind farm overview, single-turbine detail monitoring, fault trend analysis, health assessment and maintenance interval recommendation, providing useful decision support for wind farm operation and maintenance.</w:t>
      </w:r>
    </w:p>
    <w:p>
      <w:pPr>
        <w:spacing w:line="360" w:lineRule="auto" w:after="0"/>
        <w:jc w:val="both"/>
      </w:pPr>
      <w:r>
        <w:rPr>
          <w:rFonts w:ascii="宋体" w:hAnsi="宋体" w:eastAsia="宋体"/>
          <w:b w:val="0"/>
          <w:sz w:val="21"/>
        </w:rPr>
        <w:t>Key words: wind turbine; gearbox; fault diagnosis; M-IALO-SVR; health assessment; intelligent operation and maintenance</w:t>
      </w:r>
    </w:p>
    <w:p>
      <w:r>
        <w:br w:type="page"/>
      </w:r>
    </w:p>
    <w:p>
      <w:pPr>
        <w:spacing w:before="0" w:after="360"/>
        <w:jc w:val="center"/>
      </w:pPr>
      <w:r>
        <w:rPr>
          <w:rFonts w:ascii="黑体" w:hAnsi="黑体" w:eastAsia="黑体"/>
          <w:b/>
          <w:sz w:val="32"/>
        </w:rPr>
        <w:t>目  录</w:t>
      </w:r>
    </w:p>
    <w:p>
      <w:pPr>
        <w:spacing w:line="384" w:lineRule="auto"/>
      </w:pPr>
      <w:r>
        <w:rPr>
          <w:rFonts w:ascii="宋体" w:hAnsi="宋体" w:eastAsia="宋体"/>
          <w:b w:val="0"/>
          <w:sz w:val="21"/>
        </w:rPr>
        <w:t>第1章 绪论</w:t>
        <w:tab/>
      </w:r>
    </w:p>
    <w:p>
      <w:pPr>
        <w:spacing w:line="384" w:lineRule="auto"/>
      </w:pPr>
      <w:r>
        <w:rPr>
          <w:rFonts w:ascii="宋体" w:hAnsi="宋体" w:eastAsia="宋体"/>
          <w:b w:val="0"/>
          <w:sz w:val="21"/>
        </w:rPr>
        <w:t xml:space="preserve">  1.1 研究背景与意义</w:t>
        <w:tab/>
      </w:r>
    </w:p>
    <w:p>
      <w:pPr>
        <w:spacing w:line="384" w:lineRule="auto"/>
      </w:pPr>
      <w:r>
        <w:rPr>
          <w:rFonts w:ascii="宋体" w:hAnsi="宋体" w:eastAsia="宋体"/>
          <w:b w:val="0"/>
          <w:sz w:val="21"/>
        </w:rPr>
        <w:t xml:space="preserve">  1.2 国内外研究现状</w:t>
        <w:tab/>
      </w:r>
    </w:p>
    <w:p>
      <w:pPr>
        <w:spacing w:line="384" w:lineRule="auto"/>
      </w:pPr>
      <w:r>
        <w:rPr>
          <w:rFonts w:ascii="宋体" w:hAnsi="宋体" w:eastAsia="宋体"/>
          <w:b w:val="0"/>
          <w:sz w:val="21"/>
        </w:rPr>
        <w:t xml:space="preserve">  1.3 研究内容与技术路线</w:t>
        <w:tab/>
      </w:r>
    </w:p>
    <w:p>
      <w:pPr>
        <w:spacing w:line="384" w:lineRule="auto"/>
      </w:pPr>
      <w:r>
        <w:rPr>
          <w:rFonts w:ascii="宋体" w:hAnsi="宋体" w:eastAsia="宋体"/>
          <w:b w:val="0"/>
          <w:sz w:val="21"/>
        </w:rPr>
        <w:t>第2章 系统需求分析与总体设计</w:t>
        <w:tab/>
      </w:r>
    </w:p>
    <w:p>
      <w:pPr>
        <w:spacing w:line="384" w:lineRule="auto"/>
      </w:pPr>
      <w:r>
        <w:rPr>
          <w:rFonts w:ascii="宋体" w:hAnsi="宋体" w:eastAsia="宋体"/>
          <w:b w:val="0"/>
          <w:sz w:val="21"/>
        </w:rPr>
        <w:t xml:space="preserve">  2.1 风机齿轮箱故障机理分析</w:t>
        <w:tab/>
      </w:r>
    </w:p>
    <w:p>
      <w:pPr>
        <w:spacing w:line="384" w:lineRule="auto"/>
      </w:pPr>
      <w:r>
        <w:rPr>
          <w:rFonts w:ascii="宋体" w:hAnsi="宋体" w:eastAsia="宋体"/>
          <w:b w:val="0"/>
          <w:sz w:val="21"/>
        </w:rPr>
        <w:t xml:space="preserve">  2.2 数据对接需求分析</w:t>
        <w:tab/>
      </w:r>
    </w:p>
    <w:p>
      <w:pPr>
        <w:spacing w:line="384" w:lineRule="auto"/>
      </w:pPr>
      <w:r>
        <w:rPr>
          <w:rFonts w:ascii="宋体" w:hAnsi="宋体" w:eastAsia="宋体"/>
          <w:b w:val="0"/>
          <w:sz w:val="21"/>
        </w:rPr>
        <w:t xml:space="preserve">  2.3 系统总体架构设计</w:t>
        <w:tab/>
      </w:r>
    </w:p>
    <w:p>
      <w:pPr>
        <w:spacing w:line="384" w:lineRule="auto"/>
      </w:pPr>
      <w:r>
        <w:rPr>
          <w:rFonts w:ascii="宋体" w:hAnsi="宋体" w:eastAsia="宋体"/>
          <w:b w:val="0"/>
          <w:sz w:val="21"/>
        </w:rPr>
        <w:t>第3章 关键算法与健康评估方法</w:t>
        <w:tab/>
      </w:r>
    </w:p>
    <w:p>
      <w:pPr>
        <w:spacing w:line="384" w:lineRule="auto"/>
      </w:pPr>
      <w:r>
        <w:rPr>
          <w:rFonts w:ascii="宋体" w:hAnsi="宋体" w:eastAsia="宋体"/>
          <w:b w:val="0"/>
          <w:sz w:val="21"/>
        </w:rPr>
        <w:t xml:space="preserve">  3.1 多源数据预处理</w:t>
        <w:tab/>
      </w:r>
    </w:p>
    <w:p>
      <w:pPr>
        <w:spacing w:line="384" w:lineRule="auto"/>
      </w:pPr>
      <w:r>
        <w:rPr>
          <w:rFonts w:ascii="宋体" w:hAnsi="宋体" w:eastAsia="宋体"/>
          <w:b w:val="0"/>
          <w:sz w:val="21"/>
        </w:rPr>
        <w:t xml:space="preserve">  3.2 M-IALO-SVR油温残差预测</w:t>
        <w:tab/>
      </w:r>
    </w:p>
    <w:p>
      <w:pPr>
        <w:spacing w:line="384" w:lineRule="auto"/>
      </w:pPr>
      <w:r>
        <w:rPr>
          <w:rFonts w:ascii="宋体" w:hAnsi="宋体" w:eastAsia="宋体"/>
          <w:b w:val="0"/>
          <w:sz w:val="21"/>
        </w:rPr>
        <w:t xml:space="preserve">  3.3 故障诊断与RUL评估</w:t>
        <w:tab/>
      </w:r>
    </w:p>
    <w:p>
      <w:pPr>
        <w:spacing w:line="384" w:lineRule="auto"/>
      </w:pPr>
      <w:r>
        <w:rPr>
          <w:rFonts w:ascii="宋体" w:hAnsi="宋体" w:eastAsia="宋体"/>
          <w:b w:val="0"/>
          <w:sz w:val="21"/>
        </w:rPr>
        <w:t>第4章 系统功能设计与实现</w:t>
        <w:tab/>
      </w:r>
    </w:p>
    <w:p>
      <w:pPr>
        <w:spacing w:line="384" w:lineRule="auto"/>
      </w:pPr>
      <w:r>
        <w:rPr>
          <w:rFonts w:ascii="宋体" w:hAnsi="宋体" w:eastAsia="宋体"/>
          <w:b w:val="0"/>
          <w:sz w:val="21"/>
        </w:rPr>
        <w:t xml:space="preserve">  4.1 后端接口与数据库设计</w:t>
        <w:tab/>
      </w:r>
    </w:p>
    <w:p>
      <w:pPr>
        <w:spacing w:line="384" w:lineRule="auto"/>
      </w:pPr>
      <w:r>
        <w:rPr>
          <w:rFonts w:ascii="宋体" w:hAnsi="宋体" w:eastAsia="宋体"/>
          <w:b w:val="0"/>
          <w:sz w:val="21"/>
        </w:rPr>
        <w:t xml:space="preserve">  4.2 前端监测与可视化实现</w:t>
        <w:tab/>
      </w:r>
    </w:p>
    <w:p>
      <w:pPr>
        <w:spacing w:line="384" w:lineRule="auto"/>
      </w:pPr>
      <w:r>
        <w:rPr>
          <w:rFonts w:ascii="宋体" w:hAnsi="宋体" w:eastAsia="宋体"/>
          <w:b w:val="0"/>
          <w:sz w:val="21"/>
        </w:rPr>
        <w:t xml:space="preserve">  4.3 AI专家问答与报告生成</w:t>
        <w:tab/>
      </w:r>
    </w:p>
    <w:p>
      <w:pPr>
        <w:spacing w:line="384" w:lineRule="auto"/>
      </w:pPr>
      <w:r>
        <w:rPr>
          <w:rFonts w:ascii="宋体" w:hAnsi="宋体" w:eastAsia="宋体"/>
          <w:b w:val="0"/>
          <w:sz w:val="21"/>
        </w:rPr>
        <w:t>第5章 系统测试与结果分析</w:t>
        <w:tab/>
      </w:r>
    </w:p>
    <w:p>
      <w:pPr>
        <w:spacing w:line="384" w:lineRule="auto"/>
      </w:pPr>
      <w:r>
        <w:rPr>
          <w:rFonts w:ascii="宋体" w:hAnsi="宋体" w:eastAsia="宋体"/>
          <w:b w:val="0"/>
          <w:sz w:val="21"/>
        </w:rPr>
        <w:t xml:space="preserve">  5.1 功能测试</w:t>
        <w:tab/>
      </w:r>
    </w:p>
    <w:p>
      <w:pPr>
        <w:spacing w:line="384" w:lineRule="auto"/>
      </w:pPr>
      <w:r>
        <w:rPr>
          <w:rFonts w:ascii="宋体" w:hAnsi="宋体" w:eastAsia="宋体"/>
          <w:b w:val="0"/>
          <w:sz w:val="21"/>
        </w:rPr>
        <w:t xml:space="preserve">  5.2 数据展示与诊断效果分析</w:t>
        <w:tab/>
      </w:r>
    </w:p>
    <w:p>
      <w:pPr>
        <w:spacing w:line="384" w:lineRule="auto"/>
      </w:pPr>
      <w:r>
        <w:rPr>
          <w:rFonts w:ascii="宋体" w:hAnsi="宋体" w:eastAsia="宋体"/>
          <w:b w:val="0"/>
          <w:sz w:val="21"/>
        </w:rPr>
        <w:t xml:space="preserve">  5.3 工程应用价值分析</w:t>
        <w:tab/>
      </w:r>
    </w:p>
    <w:p>
      <w:pPr>
        <w:spacing w:line="384" w:lineRule="auto"/>
      </w:pPr>
      <w:r>
        <w:rPr>
          <w:rFonts w:ascii="宋体" w:hAnsi="宋体" w:eastAsia="宋体"/>
          <w:b w:val="0"/>
          <w:sz w:val="21"/>
        </w:rPr>
        <w:t>结论</w:t>
        <w:tab/>
      </w:r>
    </w:p>
    <w:p>
      <w:pPr>
        <w:spacing w:line="384" w:lineRule="auto"/>
      </w:pPr>
      <w:r>
        <w:rPr>
          <w:rFonts w:ascii="宋体" w:hAnsi="宋体" w:eastAsia="宋体"/>
          <w:b w:val="0"/>
          <w:sz w:val="21"/>
        </w:rPr>
        <w:t>参考文献</w:t>
        <w:tab/>
      </w:r>
    </w:p>
    <w:p>
      <w:pPr>
        <w:spacing w:line="384" w:lineRule="auto"/>
      </w:pPr>
      <w:r>
        <w:rPr>
          <w:rFonts w:ascii="宋体" w:hAnsi="宋体" w:eastAsia="宋体"/>
          <w:b w:val="0"/>
          <w:sz w:val="21"/>
        </w:rPr>
        <w:t>致谢</w:t>
        <w:tab/>
      </w:r>
    </w:p>
    <w:p>
      <w:pPr>
        <w:spacing w:line="384" w:lineRule="auto"/>
      </w:pPr>
      <w:r>
        <w:rPr>
          <w:rFonts w:ascii="宋体" w:hAnsi="宋体" w:eastAsia="宋体"/>
          <w:b w:val="0"/>
          <w:sz w:val="21"/>
        </w:rPr>
        <w:t>附录</w:t>
        <w:tab/>
      </w:r>
    </w:p>
    <w:p>
      <w:r>
        <w:br w:type="page"/>
      </w:r>
    </w:p>
    <w:p>
      <w:pPr>
        <w:spacing w:after="240"/>
        <w:jc w:val="center"/>
      </w:pPr>
      <w:r>
        <w:rPr>
          <w:rFonts w:ascii="黑体" w:hAnsi="黑体" w:eastAsia="黑体"/>
          <w:b/>
          <w:sz w:val="32"/>
        </w:rPr>
        <w:t>第1章 绪论</w:t>
      </w:r>
    </w:p>
    <w:p>
      <w:pPr>
        <w:spacing w:before="240" w:after="120"/>
      </w:pPr>
      <w:r>
        <w:rPr>
          <w:rFonts w:ascii="黑体" w:hAnsi="黑体" w:eastAsia="黑体"/>
          <w:b/>
          <w:sz w:val="28"/>
        </w:rPr>
        <w:t>1.1 研究背景与意义</w:t>
      </w:r>
    </w:p>
    <w:p>
      <w:pPr>
        <w:spacing w:line="360" w:lineRule="auto" w:after="0"/>
        <w:ind w:firstLine="420"/>
        <w:jc w:val="both"/>
      </w:pPr>
      <w:r>
        <w:rPr>
          <w:rFonts w:ascii="宋体" w:hAnsi="宋体" w:eastAsia="宋体"/>
          <w:b w:val="0"/>
          <w:sz w:val="21"/>
        </w:rPr>
        <w:t>风力发电是新能源电力系统的重要组成部分。随着大型风电场逐步向规模化、集中化和智能化方向发展，风电机组长期稳定运行的重要性不断提高。风机运行环境复杂，受风速随机波动、温度变化、沙尘侵蚀、盐雾腐蚀以及并网工况变化影响，关键部件容易出现不同程度的性能退化。齿轮箱位于风轮和发电机之间，承担转速变换和扭矩传递任务，是双馈式风机传动链中载荷最复杂、维修成本较高的部件之一。</w:t>
      </w:r>
    </w:p>
    <w:p>
      <w:pPr>
        <w:spacing w:line="360" w:lineRule="auto" w:after="0"/>
        <w:ind w:firstLine="420"/>
        <w:jc w:val="both"/>
      </w:pPr>
      <w:r>
        <w:rPr>
          <w:rFonts w:ascii="宋体" w:hAnsi="宋体" w:eastAsia="宋体"/>
          <w:b w:val="0"/>
          <w:sz w:val="21"/>
        </w:rPr>
        <w:t>SL1500型双馈式风机在我国早期风电场中应用较广，其传动链结构具有典型代表性。随着服役年限增加，齿轮箱油温异常、轴承振动升高、齿面疲劳和润滑状态劣化等问题逐渐显现。若齿轮箱故障未能在早期被发现，可能导致限功率运行、非计划停机，甚至引发齿轮箱大修或更换，造成较高的备件成本、吊装成本和发电损失。因此，开展面向SL1500型风机齿轮箱的智能健康管理系统研究具有明确的工程意义。</w:t>
      </w:r>
    </w:p>
    <w:p>
      <w:pPr>
        <w:spacing w:line="360" w:lineRule="auto" w:after="0"/>
        <w:ind w:firstLine="420"/>
        <w:jc w:val="both"/>
      </w:pPr>
      <w:r>
        <w:rPr>
          <w:rFonts w:ascii="宋体" w:hAnsi="宋体" w:eastAsia="宋体"/>
          <w:b w:val="0"/>
          <w:sz w:val="21"/>
        </w:rPr>
        <w:t>传统运维方式主要依赖定期巡检、人工经验判断和阈值报警。该方式在故障已经明显发展时能够发挥作用，但对早期微弱异常的识别能力有限，也难以解释故障趋势与工况变化之间的关系。智能健康管理系统通过融合SCADA、PLC、CMS、油液监测和检修台账数据，可以对齿轮箱运行状态进行持续跟踪，并结合机器学习算法完成故障诊断、健康评分和剩余寿命估计，从而推动风电运维从事后维修向状态检修和预测性维护转变。</w:t>
      </w:r>
    </w:p>
    <w:p>
      <w:pPr>
        <w:spacing w:line="360" w:lineRule="auto" w:after="0"/>
        <w:ind w:firstLine="420"/>
        <w:jc w:val="both"/>
      </w:pPr>
      <w:r>
        <w:rPr>
          <w:rFonts w:ascii="宋体" w:hAnsi="宋体" w:eastAsia="宋体"/>
          <w:b w:val="0"/>
          <w:sz w:val="21"/>
        </w:rPr>
        <w:t>从风电场管理角度看，齿轮箱健康管理不仅是单台设备故障诊断问题，也是场站生产组织和检修资源配置问题。当多台机组同时存在不同程度异常时，运维人员需要根据故障严重程度、健康评分、剩余寿命、备件供应和天气窗口安排检修顺序。若系统能够将分散的运行指标转化为直观的风险等级和复检建议，就可以显著提升运维决策效率，减少无效巡检和过度检修。</w:t>
      </w:r>
    </w:p>
    <w:p>
      <w:pPr>
        <w:spacing w:line="360" w:lineRule="auto" w:after="0"/>
        <w:ind w:firstLine="420"/>
        <w:jc w:val="both"/>
      </w:pPr>
      <w:r>
        <w:rPr>
          <w:rFonts w:ascii="宋体" w:hAnsi="宋体" w:eastAsia="宋体"/>
          <w:b w:val="0"/>
          <w:sz w:val="21"/>
        </w:rPr>
        <w:t>从毕业设计实践角度看，本课题综合涉及机械故障诊断、数据采集、机器学习、Web系统开发、数据库设计和前端可视化等内容，能够较好体现计算机技术在工业装备智能运维中的应用价值。通过该系统的设计与实现，可以将理论模型、工程数据和人机交互界面结合起来，形成具有完整业务流程的应用型成果。</w:t>
      </w:r>
    </w:p>
    <w:p>
      <w:pPr>
        <w:spacing w:before="240" w:after="120"/>
      </w:pPr>
      <w:r>
        <w:rPr>
          <w:rFonts w:ascii="黑体" w:hAnsi="黑体" w:eastAsia="黑体"/>
          <w:b/>
          <w:sz w:val="28"/>
        </w:rPr>
        <w:t>1.2 国内外研究现状</w:t>
      </w:r>
    </w:p>
    <w:p>
      <w:pPr>
        <w:spacing w:line="360" w:lineRule="auto" w:after="0"/>
        <w:ind w:firstLine="420"/>
        <w:jc w:val="both"/>
      </w:pPr>
      <w:r>
        <w:rPr>
          <w:rFonts w:ascii="宋体" w:hAnsi="宋体" w:eastAsia="宋体"/>
          <w:b w:val="0"/>
          <w:sz w:val="21"/>
        </w:rPr>
        <w:t>国内外学者围绕风机齿轮箱状态监测开展了大量研究，主要包括振动信号分析、油液监测、温度趋势预测、数据驱动故障诊断和剩余寿命预测等方向。振动分析是齿轮箱故障诊断中应用最广的方法之一，常用特征包括RMS、峭度、峰值因子、频谱能量和包络谱特征。对于齿轮点蚀、断齿和轴承局部损伤，振动信号通常会出现冲击成分增强、特征频率边带增多和包络谱峰值升高等现象。</w:t>
      </w:r>
    </w:p>
    <w:p>
      <w:pPr>
        <w:spacing w:line="360" w:lineRule="auto" w:after="0"/>
        <w:ind w:firstLine="420"/>
        <w:jc w:val="both"/>
      </w:pPr>
      <w:r>
        <w:rPr>
          <w:rFonts w:ascii="宋体" w:hAnsi="宋体" w:eastAsia="宋体"/>
          <w:b w:val="0"/>
          <w:sz w:val="21"/>
        </w:rPr>
        <w:t>温度监测是风机齿轮箱健康评估中的重要补充。齿轮箱油温受环境温度、风速、功率、润滑状态和冷却系统性能影响，单纯采用固定阈值容易产生误报。近年来，基于支持向量回归、神经网络、随机森林和长短期记忆网络的温度预测方法被用于建立正常工况模型，通过预测残差识别异常热状态。相比直接阈值判断，残差方法能够更好地剔除工况影响，适合识别冷却效率下降、润滑恶化和摩擦异常等早期问题。</w:t>
      </w:r>
    </w:p>
    <w:p>
      <w:pPr>
        <w:spacing w:line="360" w:lineRule="auto" w:after="0"/>
        <w:ind w:firstLine="420"/>
        <w:jc w:val="both"/>
      </w:pPr>
      <w:r>
        <w:rPr>
          <w:rFonts w:ascii="宋体" w:hAnsi="宋体" w:eastAsia="宋体"/>
          <w:b w:val="0"/>
          <w:sz w:val="21"/>
        </w:rPr>
        <w:t>在健康评估方面，研究逐渐从单一故障识别转向多指标融合。典型方法包括层次分析法、模糊综合评价、贝叶斯推断、机器学习分类和深度学习模型等。实际工程中，模型效果不仅取决于算法本身，还取决于数据质量、故障样本标签、运维记录完整性和系统可解释性。因此，将模型与可视化平台、工单闭环和专家知识库结合，是风电智能运维系统落地的重要方向。</w:t>
      </w:r>
    </w:p>
    <w:p>
      <w:pPr>
        <w:spacing w:line="360" w:lineRule="auto" w:after="0"/>
        <w:ind w:firstLine="420"/>
        <w:jc w:val="both"/>
      </w:pPr>
      <w:r>
        <w:rPr>
          <w:rFonts w:ascii="宋体" w:hAnsi="宋体" w:eastAsia="宋体"/>
          <w:b w:val="0"/>
          <w:sz w:val="21"/>
        </w:rPr>
        <w:t>现有研究虽然在特征提取和模型精度方面取得了较多成果，但仍存在一些共性问题。首先，很多模型基于实验台或公开数据集训练，与真实风电场复杂工况存在差异；其次，部分研究强调分类准确率，而忽视诊断结论在运维场景中的可解释性；再次，模型输出与检修工单、复检周期和运维报告之间缺少闭环。因此，本文在系统设计中既关注诊断算法，也关注数据管理、页面展示和运维流程衔接。</w:t>
      </w:r>
    </w:p>
    <w:p>
      <w:pPr>
        <w:spacing w:line="360" w:lineRule="auto" w:after="0"/>
        <w:ind w:firstLine="420"/>
        <w:jc w:val="both"/>
      </w:pPr>
      <w:r>
        <w:rPr>
          <w:rFonts w:ascii="宋体" w:hAnsi="宋体" w:eastAsia="宋体"/>
          <w:b w:val="0"/>
          <w:sz w:val="21"/>
        </w:rPr>
        <w:t>针对SL1500型风机，实际研究还需要考虑早期机型数据采集能力不完全一致的问题。部分风场可能只有SCADA低频数据和故障记录，缺少连续高频振动波形；部分风场虽然有CMS系统，但数据格式、采样频率和存储方式不统一。这要求系统在架构上具有较好的兼容性，既能接入实时接口，也能导入历史CSV、Excel或数据库数据。</w:t>
      </w:r>
    </w:p>
    <w:p>
      <w:pPr>
        <w:spacing w:before="240" w:after="120"/>
      </w:pPr>
      <w:r>
        <w:rPr>
          <w:rFonts w:ascii="黑体" w:hAnsi="黑体" w:eastAsia="黑体"/>
          <w:b/>
          <w:sz w:val="28"/>
        </w:rPr>
        <w:t>1.3 研究内容与技术路线</w:t>
      </w:r>
    </w:p>
    <w:p>
      <w:pPr>
        <w:spacing w:line="360" w:lineRule="auto" w:after="0"/>
        <w:ind w:firstLine="420"/>
        <w:jc w:val="both"/>
      </w:pPr>
      <w:r>
        <w:rPr>
          <w:rFonts w:ascii="宋体" w:hAnsi="宋体" w:eastAsia="宋体"/>
          <w:b w:val="0"/>
          <w:sz w:val="21"/>
        </w:rPr>
        <w:t>本文围绕华锐SL1500型双馈式风机齿轮箱智能健康管理系统展开研究，主要内容包括齿轮箱故障机理分析、多源数据接入方案设计、油温残差预测方法设计、故障诊断与健康评估方法设计、Web系统开发和测试验证。技术路线如表1.1所示。</w:t>
      </w:r>
    </w:p>
    <w:p>
      <w:pPr>
        <w:jc w:val="center"/>
      </w:pPr>
      <w:r>
        <w:rPr>
          <w:rFonts w:ascii="黑体" w:hAnsi="黑体" w:eastAsia="黑体"/>
          <w:b/>
          <w:sz w:val="21"/>
        </w:rPr>
        <w:t>表1.1 技术路线与研究内容</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阶段</w:t>
            </w:r>
          </w:p>
        </w:tc>
        <w:tc>
          <w:tcPr>
            <w:tcW w:type="dxa" w:w="2986"/>
            <w:shd w:fill="DCEBFA"/>
            <w:vAlign w:val="center"/>
          </w:tcPr>
          <w:p>
            <w:pPr>
              <w:spacing w:line="288" w:lineRule="auto"/>
              <w:jc w:val="center"/>
            </w:pPr>
            <w:r/>
            <w:r>
              <w:rPr>
                <w:rFonts w:ascii="宋体" w:hAnsi="宋体" w:eastAsia="宋体"/>
                <w:b/>
                <w:sz w:val="19"/>
              </w:rPr>
              <w:t>主要工作</w:t>
            </w:r>
          </w:p>
        </w:tc>
        <w:tc>
          <w:tcPr>
            <w:tcW w:type="dxa" w:w="2986"/>
            <w:shd w:fill="DCEBFA"/>
            <w:vAlign w:val="center"/>
          </w:tcPr>
          <w:p>
            <w:pPr>
              <w:spacing w:line="288" w:lineRule="auto"/>
              <w:jc w:val="center"/>
            </w:pPr>
            <w:r/>
            <w:r>
              <w:rPr>
                <w:rFonts w:ascii="宋体" w:hAnsi="宋体" w:eastAsia="宋体"/>
                <w:b/>
                <w:sz w:val="19"/>
              </w:rPr>
              <w:t>输出结果</w:t>
            </w:r>
          </w:p>
        </w:tc>
      </w:tr>
      <w:tr>
        <w:tc>
          <w:tcPr>
            <w:tcW w:type="dxa" w:w="2986"/>
            <w:vAlign w:val="center"/>
          </w:tcPr>
          <w:p>
            <w:pPr>
              <w:spacing w:line="288" w:lineRule="auto"/>
              <w:jc w:val="center"/>
            </w:pPr>
            <w:r/>
            <w:r>
              <w:rPr>
                <w:rFonts w:ascii="宋体" w:hAnsi="宋体" w:eastAsia="宋体"/>
                <w:b w:val="0"/>
                <w:sz w:val="19"/>
              </w:rPr>
              <w:t>理论分析</w:t>
            </w:r>
          </w:p>
        </w:tc>
        <w:tc>
          <w:tcPr>
            <w:tcW w:type="dxa" w:w="2986"/>
            <w:vAlign w:val="center"/>
          </w:tcPr>
          <w:p>
            <w:pPr>
              <w:spacing w:line="288" w:lineRule="auto"/>
              <w:jc w:val="left"/>
            </w:pPr>
            <w:r/>
            <w:r>
              <w:rPr>
                <w:rFonts w:ascii="宋体" w:hAnsi="宋体" w:eastAsia="宋体"/>
                <w:b w:val="0"/>
                <w:sz w:val="19"/>
              </w:rPr>
              <w:t>分析齿轮箱结构、故障类型和监测指标</w:t>
            </w:r>
          </w:p>
        </w:tc>
        <w:tc>
          <w:tcPr>
            <w:tcW w:type="dxa" w:w="2986"/>
            <w:vAlign w:val="center"/>
          </w:tcPr>
          <w:p>
            <w:pPr>
              <w:spacing w:line="288" w:lineRule="auto"/>
              <w:jc w:val="center"/>
            </w:pPr>
            <w:r/>
            <w:r>
              <w:rPr>
                <w:rFonts w:ascii="宋体" w:hAnsi="宋体" w:eastAsia="宋体"/>
                <w:b w:val="0"/>
                <w:sz w:val="19"/>
              </w:rPr>
              <w:t>故障机理和指标体系</w:t>
            </w:r>
          </w:p>
        </w:tc>
      </w:tr>
      <w:tr>
        <w:tc>
          <w:tcPr>
            <w:tcW w:type="dxa" w:w="2986"/>
            <w:vAlign w:val="center"/>
          </w:tcPr>
          <w:p>
            <w:pPr>
              <w:spacing w:line="288" w:lineRule="auto"/>
              <w:jc w:val="center"/>
            </w:pPr>
            <w:r/>
            <w:r>
              <w:rPr>
                <w:rFonts w:ascii="宋体" w:hAnsi="宋体" w:eastAsia="宋体"/>
                <w:b w:val="0"/>
                <w:sz w:val="19"/>
              </w:rPr>
              <w:t>数据接入</w:t>
            </w:r>
          </w:p>
        </w:tc>
        <w:tc>
          <w:tcPr>
            <w:tcW w:type="dxa" w:w="2986"/>
            <w:vAlign w:val="center"/>
          </w:tcPr>
          <w:p>
            <w:pPr>
              <w:spacing w:line="288" w:lineRule="auto"/>
              <w:jc w:val="left"/>
            </w:pPr>
            <w:r/>
            <w:r>
              <w:rPr>
                <w:rFonts w:ascii="宋体" w:hAnsi="宋体" w:eastAsia="宋体"/>
                <w:b w:val="0"/>
                <w:sz w:val="19"/>
              </w:rPr>
              <w:t>设计SCADA、PLC、CMS、油液和检修台账字段</w:t>
            </w:r>
          </w:p>
        </w:tc>
        <w:tc>
          <w:tcPr>
            <w:tcW w:type="dxa" w:w="2986"/>
            <w:vAlign w:val="center"/>
          </w:tcPr>
          <w:p>
            <w:pPr>
              <w:spacing w:line="288" w:lineRule="auto"/>
              <w:jc w:val="center"/>
            </w:pPr>
            <w:r/>
            <w:r>
              <w:rPr>
                <w:rFonts w:ascii="宋体" w:hAnsi="宋体" w:eastAsia="宋体"/>
                <w:b w:val="0"/>
                <w:sz w:val="19"/>
              </w:rPr>
              <w:t>统一数据字典</w:t>
            </w:r>
          </w:p>
        </w:tc>
      </w:tr>
      <w:tr>
        <w:tc>
          <w:tcPr>
            <w:tcW w:type="dxa" w:w="2986"/>
            <w:vAlign w:val="center"/>
          </w:tcPr>
          <w:p>
            <w:pPr>
              <w:spacing w:line="288" w:lineRule="auto"/>
              <w:jc w:val="center"/>
            </w:pPr>
            <w:r/>
            <w:r>
              <w:rPr>
                <w:rFonts w:ascii="宋体" w:hAnsi="宋体" w:eastAsia="宋体"/>
                <w:b w:val="0"/>
                <w:sz w:val="19"/>
              </w:rPr>
              <w:t>算法建模</w:t>
            </w:r>
          </w:p>
        </w:tc>
        <w:tc>
          <w:tcPr>
            <w:tcW w:type="dxa" w:w="2986"/>
            <w:vAlign w:val="center"/>
          </w:tcPr>
          <w:p>
            <w:pPr>
              <w:spacing w:line="288" w:lineRule="auto"/>
              <w:jc w:val="left"/>
            </w:pPr>
            <w:r/>
            <w:r>
              <w:rPr>
                <w:rFonts w:ascii="宋体" w:hAnsi="宋体" w:eastAsia="宋体"/>
                <w:b w:val="0"/>
                <w:sz w:val="19"/>
              </w:rPr>
              <w:t>构建M-IALO-SVR油温预测、振动特征诊断和健康评分</w:t>
            </w:r>
          </w:p>
        </w:tc>
        <w:tc>
          <w:tcPr>
            <w:tcW w:type="dxa" w:w="2986"/>
            <w:vAlign w:val="center"/>
          </w:tcPr>
          <w:p>
            <w:pPr>
              <w:spacing w:line="288" w:lineRule="auto"/>
              <w:jc w:val="center"/>
            </w:pPr>
            <w:r/>
            <w:r>
              <w:rPr>
                <w:rFonts w:ascii="宋体" w:hAnsi="宋体" w:eastAsia="宋体"/>
                <w:b w:val="0"/>
                <w:sz w:val="19"/>
              </w:rPr>
              <w:t>诊断模型与评估规则</w:t>
            </w:r>
          </w:p>
        </w:tc>
      </w:tr>
      <w:tr>
        <w:tc>
          <w:tcPr>
            <w:tcW w:type="dxa" w:w="2986"/>
            <w:vAlign w:val="center"/>
          </w:tcPr>
          <w:p>
            <w:pPr>
              <w:spacing w:line="288" w:lineRule="auto"/>
              <w:jc w:val="center"/>
            </w:pPr>
            <w:r/>
            <w:r>
              <w:rPr>
                <w:rFonts w:ascii="宋体" w:hAnsi="宋体" w:eastAsia="宋体"/>
                <w:b w:val="0"/>
                <w:sz w:val="19"/>
              </w:rPr>
              <w:t>系统实现</w:t>
            </w:r>
          </w:p>
        </w:tc>
        <w:tc>
          <w:tcPr>
            <w:tcW w:type="dxa" w:w="2986"/>
            <w:vAlign w:val="center"/>
          </w:tcPr>
          <w:p>
            <w:pPr>
              <w:spacing w:line="288" w:lineRule="auto"/>
              <w:jc w:val="left"/>
            </w:pPr>
            <w:r/>
            <w:r>
              <w:rPr>
                <w:rFonts w:ascii="宋体" w:hAnsi="宋体" w:eastAsia="宋体"/>
                <w:b w:val="0"/>
                <w:sz w:val="19"/>
              </w:rPr>
              <w:t>开发风场总览、单机详情、实时监测、报告和问答模块</w:t>
            </w:r>
          </w:p>
        </w:tc>
        <w:tc>
          <w:tcPr>
            <w:tcW w:type="dxa" w:w="2986"/>
            <w:vAlign w:val="center"/>
          </w:tcPr>
          <w:p>
            <w:pPr>
              <w:spacing w:line="288" w:lineRule="auto"/>
              <w:jc w:val="center"/>
            </w:pPr>
            <w:r/>
            <w:r>
              <w:rPr>
                <w:rFonts w:ascii="宋体" w:hAnsi="宋体" w:eastAsia="宋体"/>
                <w:b w:val="0"/>
                <w:sz w:val="19"/>
              </w:rPr>
              <w:t>智能健康管理系统</w:t>
            </w:r>
          </w:p>
        </w:tc>
      </w:tr>
      <w:tr>
        <w:tc>
          <w:tcPr>
            <w:tcW w:type="dxa" w:w="2986"/>
            <w:vAlign w:val="center"/>
          </w:tcPr>
          <w:p>
            <w:pPr>
              <w:spacing w:line="288" w:lineRule="auto"/>
              <w:jc w:val="center"/>
            </w:pPr>
            <w:r/>
            <w:r>
              <w:rPr>
                <w:rFonts w:ascii="宋体" w:hAnsi="宋体" w:eastAsia="宋体"/>
                <w:b w:val="0"/>
                <w:sz w:val="19"/>
              </w:rPr>
              <w:t>测试验证</w:t>
            </w:r>
          </w:p>
        </w:tc>
        <w:tc>
          <w:tcPr>
            <w:tcW w:type="dxa" w:w="2986"/>
            <w:vAlign w:val="center"/>
          </w:tcPr>
          <w:p>
            <w:pPr>
              <w:spacing w:line="288" w:lineRule="auto"/>
              <w:jc w:val="left"/>
            </w:pPr>
            <w:r/>
            <w:r>
              <w:rPr>
                <w:rFonts w:ascii="宋体" w:hAnsi="宋体" w:eastAsia="宋体"/>
                <w:b w:val="0"/>
                <w:sz w:val="19"/>
              </w:rPr>
              <w:t>开展功能测试、接口测试和模拟数据验证</w:t>
            </w:r>
          </w:p>
        </w:tc>
        <w:tc>
          <w:tcPr>
            <w:tcW w:type="dxa" w:w="2986"/>
            <w:vAlign w:val="center"/>
          </w:tcPr>
          <w:p>
            <w:pPr>
              <w:spacing w:line="288" w:lineRule="auto"/>
              <w:jc w:val="center"/>
            </w:pPr>
            <w:r/>
            <w:r>
              <w:rPr>
                <w:rFonts w:ascii="宋体" w:hAnsi="宋体" w:eastAsia="宋体"/>
                <w:b w:val="0"/>
                <w:sz w:val="19"/>
              </w:rPr>
              <w:t>测试结果与改进建议</w:t>
            </w:r>
          </w:p>
        </w:tc>
      </w:tr>
    </w:tbl>
    <w:p/>
    <w:p>
      <w:r>
        <w:br w:type="page"/>
      </w:r>
    </w:p>
    <w:p>
      <w:pPr>
        <w:spacing w:after="240"/>
        <w:jc w:val="center"/>
      </w:pPr>
      <w:r>
        <w:rPr>
          <w:rFonts w:ascii="黑体" w:hAnsi="黑体" w:eastAsia="黑体"/>
          <w:b/>
          <w:sz w:val="32"/>
        </w:rPr>
        <w:t>第2章 系统需求分析与总体设计</w:t>
      </w:r>
    </w:p>
    <w:p>
      <w:pPr>
        <w:spacing w:before="240" w:after="120"/>
      </w:pPr>
      <w:r>
        <w:rPr>
          <w:rFonts w:ascii="黑体" w:hAnsi="黑体" w:eastAsia="黑体"/>
          <w:b/>
          <w:sz w:val="28"/>
        </w:rPr>
        <w:t>2.1 风机齿轮箱故障机理分析</w:t>
      </w:r>
    </w:p>
    <w:p>
      <w:pPr>
        <w:spacing w:line="360" w:lineRule="auto" w:after="0"/>
        <w:ind w:firstLine="420"/>
        <w:jc w:val="both"/>
      </w:pPr>
      <w:r>
        <w:rPr>
          <w:rFonts w:ascii="宋体" w:hAnsi="宋体" w:eastAsia="宋体"/>
          <w:b w:val="0"/>
          <w:sz w:val="21"/>
        </w:rPr>
        <w:t>风机齿轮箱主要由行星级、平行级齿轮、轴承、箱体、润滑系统和冷却系统组成。风速变化会导致输入扭矩波动，机组启停、并网、限功率和偏航过程也会引起复杂载荷变化。长期运行过程中，齿轮副和轴承表面可能出现微裂纹、磨损、点蚀、剥落和胶合等损伤，润滑油污染或油温过高会进一步加速失效过程。</w:t>
      </w:r>
    </w:p>
    <w:p>
      <w:pPr>
        <w:spacing w:line="360" w:lineRule="auto" w:after="0"/>
        <w:ind w:firstLine="420"/>
        <w:jc w:val="both"/>
      </w:pPr>
      <w:r>
        <w:rPr>
          <w:rFonts w:ascii="宋体" w:hAnsi="宋体" w:eastAsia="宋体"/>
          <w:b w:val="0"/>
          <w:sz w:val="21"/>
        </w:rPr>
        <w:t>齿轮齿面磨损通常表现为啮合频率及其倍频能量升高，伴随油液中金属颗粒增加。齿面点蚀和剥落会产生周期性冲击，使包络谱中出现明显特征频率。断齿故障冲击强烈，严重时会导致传动链异常振动和停机保护。轴承故障则常见于高速轴承和中间轴承，早期表现为高频冲击和峭度升高，发展后会引起温度升高和RMS明显增大。</w:t>
      </w:r>
    </w:p>
    <w:p>
      <w:pPr>
        <w:spacing w:line="360" w:lineRule="auto" w:after="0"/>
        <w:ind w:firstLine="420"/>
        <w:jc w:val="both"/>
      </w:pPr>
      <w:r>
        <w:rPr>
          <w:rFonts w:ascii="宋体" w:hAnsi="宋体" w:eastAsia="宋体"/>
          <w:b w:val="0"/>
          <w:sz w:val="21"/>
        </w:rPr>
        <w:t>油温异常既可能是故障结果，也可能是故障诱因。油温过高会降低润滑油黏度，使油膜承载能力下降，加速齿轮和轴承磨损；油温长期偏高还可能反映冷却风扇、散热器、三通阀、油泵或滤芯存在问题。因此，本文将齿轮箱油温、振动、油液质量和运行工况作为核心监测对象。</w:t>
      </w:r>
    </w:p>
    <w:p>
      <w:pPr>
        <w:jc w:val="center"/>
      </w:pPr>
      <w:r>
        <w:rPr>
          <w:rFonts w:ascii="黑体" w:hAnsi="黑体" w:eastAsia="黑体"/>
          <w:b/>
          <w:sz w:val="21"/>
        </w:rPr>
        <w:t>表2.1 齿轮箱典型故障与监测特征</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故障类型</w:t>
            </w:r>
          </w:p>
        </w:tc>
        <w:tc>
          <w:tcPr>
            <w:tcW w:type="dxa" w:w="2986"/>
            <w:shd w:fill="DCEBFA"/>
            <w:vAlign w:val="center"/>
          </w:tcPr>
          <w:p>
            <w:pPr>
              <w:spacing w:line="288" w:lineRule="auto"/>
              <w:jc w:val="center"/>
            </w:pPr>
            <w:r/>
            <w:r>
              <w:rPr>
                <w:rFonts w:ascii="宋体" w:hAnsi="宋体" w:eastAsia="宋体"/>
                <w:b/>
                <w:sz w:val="19"/>
              </w:rPr>
              <w:t>主要表现</w:t>
            </w:r>
          </w:p>
        </w:tc>
        <w:tc>
          <w:tcPr>
            <w:tcW w:type="dxa" w:w="2986"/>
            <w:shd w:fill="DCEBFA"/>
            <w:vAlign w:val="center"/>
          </w:tcPr>
          <w:p>
            <w:pPr>
              <w:spacing w:line="288" w:lineRule="auto"/>
              <w:jc w:val="center"/>
            </w:pPr>
            <w:r/>
            <w:r>
              <w:rPr>
                <w:rFonts w:ascii="宋体" w:hAnsi="宋体" w:eastAsia="宋体"/>
                <w:b/>
                <w:sz w:val="19"/>
              </w:rPr>
              <w:t>关键监测指标</w:t>
            </w:r>
          </w:p>
        </w:tc>
      </w:tr>
      <w:tr>
        <w:tc>
          <w:tcPr>
            <w:tcW w:type="dxa" w:w="2986"/>
            <w:vAlign w:val="center"/>
          </w:tcPr>
          <w:p>
            <w:pPr>
              <w:spacing w:line="288" w:lineRule="auto"/>
              <w:jc w:val="center"/>
            </w:pPr>
            <w:r/>
            <w:r>
              <w:rPr>
                <w:rFonts w:ascii="宋体" w:hAnsi="宋体" w:eastAsia="宋体"/>
                <w:b w:val="0"/>
                <w:sz w:val="19"/>
              </w:rPr>
              <w:t>齿轮齿面磨损</w:t>
            </w:r>
          </w:p>
        </w:tc>
        <w:tc>
          <w:tcPr>
            <w:tcW w:type="dxa" w:w="2986"/>
            <w:vAlign w:val="center"/>
          </w:tcPr>
          <w:p>
            <w:pPr>
              <w:spacing w:line="288" w:lineRule="auto"/>
              <w:jc w:val="left"/>
            </w:pPr>
            <w:r/>
            <w:r>
              <w:rPr>
                <w:rFonts w:ascii="宋体" w:hAnsi="宋体" w:eastAsia="宋体"/>
                <w:b w:val="0"/>
                <w:sz w:val="19"/>
              </w:rPr>
              <w:t>啮合频率能量升高，油液颗粒增加</w:t>
            </w:r>
          </w:p>
        </w:tc>
        <w:tc>
          <w:tcPr>
            <w:tcW w:type="dxa" w:w="2986"/>
            <w:vAlign w:val="center"/>
          </w:tcPr>
          <w:p>
            <w:pPr>
              <w:spacing w:line="288" w:lineRule="auto"/>
              <w:jc w:val="left"/>
            </w:pPr>
            <w:r/>
            <w:r>
              <w:rPr>
                <w:rFonts w:ascii="宋体" w:hAnsi="宋体" w:eastAsia="宋体"/>
                <w:b w:val="0"/>
                <w:sz w:val="19"/>
              </w:rPr>
              <w:t>振动频谱、油液NAS、铁磁颗粒</w:t>
            </w:r>
          </w:p>
        </w:tc>
      </w:tr>
      <w:tr>
        <w:tc>
          <w:tcPr>
            <w:tcW w:type="dxa" w:w="2986"/>
            <w:vAlign w:val="center"/>
          </w:tcPr>
          <w:p>
            <w:pPr>
              <w:spacing w:line="288" w:lineRule="auto"/>
              <w:jc w:val="center"/>
            </w:pPr>
            <w:r/>
            <w:r>
              <w:rPr>
                <w:rFonts w:ascii="宋体" w:hAnsi="宋体" w:eastAsia="宋体"/>
                <w:b w:val="0"/>
                <w:sz w:val="19"/>
              </w:rPr>
              <w:t>齿面点蚀/剥落</w:t>
            </w:r>
          </w:p>
        </w:tc>
        <w:tc>
          <w:tcPr>
            <w:tcW w:type="dxa" w:w="2986"/>
            <w:vAlign w:val="center"/>
          </w:tcPr>
          <w:p>
            <w:pPr>
              <w:spacing w:line="288" w:lineRule="auto"/>
              <w:jc w:val="left"/>
            </w:pPr>
            <w:r/>
            <w:r>
              <w:rPr>
                <w:rFonts w:ascii="宋体" w:hAnsi="宋体" w:eastAsia="宋体"/>
                <w:b w:val="0"/>
                <w:sz w:val="19"/>
              </w:rPr>
              <w:t>周期冲击增强，包络谱出现特征频率</w:t>
            </w:r>
          </w:p>
        </w:tc>
        <w:tc>
          <w:tcPr>
            <w:tcW w:type="dxa" w:w="2986"/>
            <w:vAlign w:val="center"/>
          </w:tcPr>
          <w:p>
            <w:pPr>
              <w:spacing w:line="288" w:lineRule="auto"/>
              <w:jc w:val="center"/>
            </w:pPr>
            <w:r/>
            <w:r>
              <w:rPr>
                <w:rFonts w:ascii="宋体" w:hAnsi="宋体" w:eastAsia="宋体"/>
                <w:b w:val="0"/>
                <w:sz w:val="19"/>
              </w:rPr>
              <w:t>包络谱、峭度、峰值因子</w:t>
            </w:r>
          </w:p>
        </w:tc>
      </w:tr>
      <w:tr>
        <w:tc>
          <w:tcPr>
            <w:tcW w:type="dxa" w:w="2986"/>
            <w:vAlign w:val="center"/>
          </w:tcPr>
          <w:p>
            <w:pPr>
              <w:spacing w:line="288" w:lineRule="auto"/>
              <w:jc w:val="center"/>
            </w:pPr>
            <w:r/>
            <w:r>
              <w:rPr>
                <w:rFonts w:ascii="宋体" w:hAnsi="宋体" w:eastAsia="宋体"/>
                <w:b w:val="0"/>
                <w:sz w:val="19"/>
              </w:rPr>
              <w:t>齿轮断齿</w:t>
            </w:r>
          </w:p>
        </w:tc>
        <w:tc>
          <w:tcPr>
            <w:tcW w:type="dxa" w:w="2986"/>
            <w:vAlign w:val="center"/>
          </w:tcPr>
          <w:p>
            <w:pPr>
              <w:spacing w:line="288" w:lineRule="auto"/>
              <w:jc w:val="left"/>
            </w:pPr>
            <w:r/>
            <w:r>
              <w:rPr>
                <w:rFonts w:ascii="宋体" w:hAnsi="宋体" w:eastAsia="宋体"/>
                <w:b w:val="0"/>
                <w:sz w:val="19"/>
              </w:rPr>
              <w:t>冲击明显，功率和转速波动增大</w:t>
            </w:r>
          </w:p>
        </w:tc>
        <w:tc>
          <w:tcPr>
            <w:tcW w:type="dxa" w:w="2986"/>
            <w:vAlign w:val="center"/>
          </w:tcPr>
          <w:p>
            <w:pPr>
              <w:spacing w:line="288" w:lineRule="auto"/>
              <w:jc w:val="left"/>
            </w:pPr>
            <w:r/>
            <w:r>
              <w:rPr>
                <w:rFonts w:ascii="宋体" w:hAnsi="宋体" w:eastAsia="宋体"/>
                <w:b w:val="0"/>
                <w:sz w:val="19"/>
              </w:rPr>
              <w:t>振动峰值、状态码、停机记录</w:t>
            </w:r>
          </w:p>
        </w:tc>
      </w:tr>
      <w:tr>
        <w:tc>
          <w:tcPr>
            <w:tcW w:type="dxa" w:w="2986"/>
            <w:vAlign w:val="center"/>
          </w:tcPr>
          <w:p>
            <w:pPr>
              <w:spacing w:line="288" w:lineRule="auto"/>
              <w:jc w:val="center"/>
            </w:pPr>
            <w:r/>
            <w:r>
              <w:rPr>
                <w:rFonts w:ascii="宋体" w:hAnsi="宋体" w:eastAsia="宋体"/>
                <w:b w:val="0"/>
                <w:sz w:val="19"/>
              </w:rPr>
              <w:t>高速轴承过温</w:t>
            </w:r>
          </w:p>
        </w:tc>
        <w:tc>
          <w:tcPr>
            <w:tcW w:type="dxa" w:w="2986"/>
            <w:vAlign w:val="center"/>
          </w:tcPr>
          <w:p>
            <w:pPr>
              <w:spacing w:line="288" w:lineRule="auto"/>
              <w:jc w:val="left"/>
            </w:pPr>
            <w:r/>
            <w:r>
              <w:rPr>
                <w:rFonts w:ascii="宋体" w:hAnsi="宋体" w:eastAsia="宋体"/>
                <w:b w:val="0"/>
                <w:sz w:val="19"/>
              </w:rPr>
              <w:t>轴承温度升高，振动RMS增大</w:t>
            </w:r>
          </w:p>
        </w:tc>
        <w:tc>
          <w:tcPr>
            <w:tcW w:type="dxa" w:w="2986"/>
            <w:vAlign w:val="center"/>
          </w:tcPr>
          <w:p>
            <w:pPr>
              <w:spacing w:line="288" w:lineRule="auto"/>
              <w:jc w:val="left"/>
            </w:pPr>
            <w:r/>
            <w:r>
              <w:rPr>
                <w:rFonts w:ascii="宋体" w:hAnsi="宋体" w:eastAsia="宋体"/>
                <w:b w:val="0"/>
                <w:sz w:val="19"/>
              </w:rPr>
              <w:t>轴承温度、RMS、包络谱</w:t>
            </w:r>
          </w:p>
        </w:tc>
      </w:tr>
      <w:tr>
        <w:tc>
          <w:tcPr>
            <w:tcW w:type="dxa" w:w="2986"/>
            <w:vAlign w:val="center"/>
          </w:tcPr>
          <w:p>
            <w:pPr>
              <w:spacing w:line="288" w:lineRule="auto"/>
              <w:jc w:val="center"/>
            </w:pPr>
            <w:r/>
            <w:r>
              <w:rPr>
                <w:rFonts w:ascii="宋体" w:hAnsi="宋体" w:eastAsia="宋体"/>
                <w:b w:val="0"/>
                <w:sz w:val="19"/>
              </w:rPr>
              <w:t>冷却系统故障</w:t>
            </w:r>
          </w:p>
        </w:tc>
        <w:tc>
          <w:tcPr>
            <w:tcW w:type="dxa" w:w="2986"/>
            <w:vAlign w:val="center"/>
          </w:tcPr>
          <w:p>
            <w:pPr>
              <w:spacing w:line="288" w:lineRule="auto"/>
              <w:jc w:val="left"/>
            </w:pPr>
            <w:r/>
            <w:r>
              <w:rPr>
                <w:rFonts w:ascii="宋体" w:hAnsi="宋体" w:eastAsia="宋体"/>
                <w:b w:val="0"/>
                <w:sz w:val="19"/>
              </w:rPr>
              <w:t>油温残差持续增大，散热效率下降</w:t>
            </w:r>
          </w:p>
        </w:tc>
        <w:tc>
          <w:tcPr>
            <w:tcW w:type="dxa" w:w="2986"/>
            <w:vAlign w:val="center"/>
          </w:tcPr>
          <w:p>
            <w:pPr>
              <w:spacing w:line="288" w:lineRule="auto"/>
              <w:jc w:val="left"/>
            </w:pPr>
            <w:r/>
            <w:r>
              <w:rPr>
                <w:rFonts w:ascii="宋体" w:hAnsi="宋体" w:eastAsia="宋体"/>
                <w:b w:val="0"/>
                <w:sz w:val="19"/>
              </w:rPr>
              <w:t>油温、环境温度、功率、冷却状态</w:t>
            </w:r>
          </w:p>
        </w:tc>
      </w:tr>
      <w:tr>
        <w:tc>
          <w:tcPr>
            <w:tcW w:type="dxa" w:w="2986"/>
            <w:vAlign w:val="center"/>
          </w:tcPr>
          <w:p>
            <w:pPr>
              <w:spacing w:line="288" w:lineRule="auto"/>
              <w:jc w:val="center"/>
            </w:pPr>
            <w:r/>
            <w:r>
              <w:rPr>
                <w:rFonts w:ascii="宋体" w:hAnsi="宋体" w:eastAsia="宋体"/>
                <w:b w:val="0"/>
                <w:sz w:val="19"/>
              </w:rPr>
              <w:t>润滑油污染</w:t>
            </w:r>
          </w:p>
        </w:tc>
        <w:tc>
          <w:tcPr>
            <w:tcW w:type="dxa" w:w="2986"/>
            <w:vAlign w:val="center"/>
          </w:tcPr>
          <w:p>
            <w:pPr>
              <w:spacing w:line="288" w:lineRule="auto"/>
              <w:jc w:val="left"/>
            </w:pPr>
            <w:r/>
            <w:r>
              <w:rPr>
                <w:rFonts w:ascii="宋体" w:hAnsi="宋体" w:eastAsia="宋体"/>
                <w:b w:val="0"/>
                <w:sz w:val="19"/>
              </w:rPr>
              <w:t>油液等级变差，磨损风险升高</w:t>
            </w:r>
          </w:p>
        </w:tc>
        <w:tc>
          <w:tcPr>
            <w:tcW w:type="dxa" w:w="2986"/>
            <w:vAlign w:val="center"/>
          </w:tcPr>
          <w:p>
            <w:pPr>
              <w:spacing w:line="288" w:lineRule="auto"/>
              <w:jc w:val="left"/>
            </w:pPr>
            <w:r/>
            <w:r>
              <w:rPr>
                <w:rFonts w:ascii="宋体" w:hAnsi="宋体" w:eastAsia="宋体"/>
                <w:b w:val="0"/>
                <w:sz w:val="19"/>
              </w:rPr>
              <w:t>NAS等级、水分、滤芯状态</w:t>
            </w:r>
          </w:p>
        </w:tc>
      </w:tr>
    </w:tbl>
    <w:p/>
    <w:p>
      <w:pPr>
        <w:spacing w:before="240" w:after="120"/>
      </w:pPr>
      <w:r>
        <w:rPr>
          <w:rFonts w:ascii="黑体" w:hAnsi="黑体" w:eastAsia="黑体"/>
          <w:b/>
          <w:sz w:val="28"/>
        </w:rPr>
        <w:t>2.2 数据对接需求分析</w:t>
      </w:r>
    </w:p>
    <w:p>
      <w:pPr>
        <w:spacing w:line="360" w:lineRule="auto" w:after="0"/>
        <w:ind w:firstLine="420"/>
        <w:jc w:val="both"/>
      </w:pPr>
      <w:r>
        <w:rPr>
          <w:rFonts w:ascii="宋体" w:hAnsi="宋体" w:eastAsia="宋体"/>
          <w:b w:val="0"/>
          <w:sz w:val="21"/>
        </w:rPr>
        <w:t>风电场实际数据通常分散在SCADA、PLC、CMS、油液监测系统和检修工单系统中。为了支撑齿轮箱健康管理，需要建立统一的数据接入和清洗机制。系统对数据接入提出四点需求：第一，数据必须能够按机组编号关联；第二，时间戳必须统一，便于趋势分析和故障前后窗口提取；第三，字段单位和采样频率需要规范；第四，异常值、缺失值和通信延迟需要被记录和处理。</w:t>
      </w:r>
    </w:p>
    <w:p>
      <w:pPr>
        <w:spacing w:line="360" w:lineRule="auto" w:after="0"/>
        <w:ind w:firstLine="420"/>
        <w:jc w:val="both"/>
      </w:pPr>
      <w:r>
        <w:rPr>
          <w:rFonts w:ascii="宋体" w:hAnsi="宋体" w:eastAsia="宋体"/>
          <w:b w:val="0"/>
          <w:sz w:val="21"/>
        </w:rPr>
        <w:t>在真实风电场对接时，系统应遵循只读优先原则。实时监测和故障诊断所需数据主要来自SCADA、PLC和CMS系统，原则上只需要读取数据，不应直接改变PLC控制逻辑。对于停机、启动、复位等远程控制功能，应在工程应用中设置严格权限、二次确认、操作日志和安全联锁验证，避免演示系统中的按钮逻辑直接对应现场控制命令。</w:t>
      </w:r>
    </w:p>
    <w:p>
      <w:pPr>
        <w:spacing w:line="360" w:lineRule="auto" w:after="0"/>
        <w:ind w:firstLine="420"/>
        <w:jc w:val="both"/>
      </w:pPr>
      <w:r>
        <w:rPr>
          <w:rFonts w:ascii="宋体" w:hAnsi="宋体" w:eastAsia="宋体"/>
          <w:b w:val="0"/>
          <w:sz w:val="21"/>
        </w:rPr>
        <w:t>数据接入还需要考虑网络安全与数据脱敏。风电场生产网络通常与办公网络隔离，外部系统访问应经过网闸、堡垒机或边缘网关，接口账号应采用最小权限原则。导出用于论文分析的数据时，应根据现场要求脱敏处理风场名称、IP地址、用户信息和商业敏感指标，仅保留机组编号、时间序列和诊断所需字段。</w:t>
      </w:r>
    </w:p>
    <w:p>
      <w:pPr>
        <w:jc w:val="center"/>
      </w:pPr>
      <w:r>
        <w:rPr>
          <w:rFonts w:ascii="黑体" w:hAnsi="黑体" w:eastAsia="黑体"/>
          <w:b/>
          <w:sz w:val="21"/>
        </w:rPr>
        <w:t>表2.2 数据源与用途</w:t>
      </w:r>
    </w:p>
    <w:tbl>
      <w:tblPr>
        <w:tblW w:type="auto" w:w="0"/>
        <w:tblLook w:firstColumn="1" w:firstRow="1" w:lastColumn="0" w:lastRow="0" w:noHBand="0" w:noVBand="1" w:val="04A0"/>
      </w:tblPr>
      <w:tblGrid>
        <w:gridCol w:w="2239"/>
        <w:gridCol w:w="2239"/>
        <w:gridCol w:w="2239"/>
        <w:gridCol w:w="2239"/>
      </w:tblGrid>
      <w:tr>
        <w:tc>
          <w:tcPr>
            <w:tcW w:type="dxa" w:w="2239"/>
            <w:shd w:fill="DCEBFA"/>
            <w:vAlign w:val="center"/>
          </w:tcPr>
          <w:p>
            <w:pPr>
              <w:spacing w:line="288" w:lineRule="auto"/>
              <w:jc w:val="center"/>
            </w:pPr>
            <w:r/>
            <w:r>
              <w:rPr>
                <w:rFonts w:ascii="宋体" w:hAnsi="宋体" w:eastAsia="宋体"/>
                <w:b/>
                <w:sz w:val="19"/>
              </w:rPr>
              <w:t>数据源</w:t>
            </w:r>
          </w:p>
        </w:tc>
        <w:tc>
          <w:tcPr>
            <w:tcW w:type="dxa" w:w="2239"/>
            <w:shd w:fill="DCEBFA"/>
            <w:vAlign w:val="center"/>
          </w:tcPr>
          <w:p>
            <w:pPr>
              <w:spacing w:line="288" w:lineRule="auto"/>
              <w:jc w:val="center"/>
            </w:pPr>
            <w:r/>
            <w:r>
              <w:rPr>
                <w:rFonts w:ascii="宋体" w:hAnsi="宋体" w:eastAsia="宋体"/>
                <w:b/>
                <w:sz w:val="19"/>
              </w:rPr>
              <w:t>接口方式</w:t>
            </w:r>
          </w:p>
        </w:tc>
        <w:tc>
          <w:tcPr>
            <w:tcW w:type="dxa" w:w="2239"/>
            <w:shd w:fill="DCEBFA"/>
            <w:vAlign w:val="center"/>
          </w:tcPr>
          <w:p>
            <w:pPr>
              <w:spacing w:line="288" w:lineRule="auto"/>
              <w:jc w:val="center"/>
            </w:pPr>
            <w:r/>
            <w:r>
              <w:rPr>
                <w:rFonts w:ascii="宋体" w:hAnsi="宋体" w:eastAsia="宋体"/>
                <w:b/>
                <w:sz w:val="19"/>
              </w:rPr>
              <w:t>数据内容</w:t>
            </w:r>
          </w:p>
        </w:tc>
        <w:tc>
          <w:tcPr>
            <w:tcW w:type="dxa" w:w="2239"/>
            <w:shd w:fill="DCEBFA"/>
            <w:vAlign w:val="center"/>
          </w:tcPr>
          <w:p>
            <w:pPr>
              <w:spacing w:line="288" w:lineRule="auto"/>
              <w:jc w:val="center"/>
            </w:pPr>
            <w:r/>
            <w:r>
              <w:rPr>
                <w:rFonts w:ascii="宋体" w:hAnsi="宋体" w:eastAsia="宋体"/>
                <w:b/>
                <w:sz w:val="19"/>
              </w:rPr>
              <w:t>用途</w:t>
            </w:r>
          </w:p>
        </w:tc>
      </w:tr>
      <w:tr>
        <w:tc>
          <w:tcPr>
            <w:tcW w:type="dxa" w:w="2239"/>
            <w:vAlign w:val="center"/>
          </w:tcPr>
          <w:p>
            <w:pPr>
              <w:spacing w:line="288" w:lineRule="auto"/>
              <w:jc w:val="center"/>
            </w:pPr>
            <w:r/>
            <w:r>
              <w:rPr>
                <w:rFonts w:ascii="宋体" w:hAnsi="宋体" w:eastAsia="宋体"/>
                <w:b w:val="0"/>
                <w:sz w:val="19"/>
              </w:rPr>
              <w:t>SCADA</w:t>
            </w:r>
          </w:p>
        </w:tc>
        <w:tc>
          <w:tcPr>
            <w:tcW w:type="dxa" w:w="2239"/>
            <w:vAlign w:val="center"/>
          </w:tcPr>
          <w:p>
            <w:pPr>
              <w:spacing w:line="288" w:lineRule="auto"/>
              <w:jc w:val="left"/>
            </w:pPr>
            <w:r/>
            <w:r>
              <w:rPr>
                <w:rFonts w:ascii="宋体" w:hAnsi="宋体" w:eastAsia="宋体"/>
                <w:b w:val="0"/>
                <w:sz w:val="19"/>
              </w:rPr>
              <w:t>OPC UA、Modbus TCP、历史库API</w:t>
            </w:r>
          </w:p>
        </w:tc>
        <w:tc>
          <w:tcPr>
            <w:tcW w:type="dxa" w:w="2239"/>
            <w:vAlign w:val="center"/>
          </w:tcPr>
          <w:p>
            <w:pPr>
              <w:spacing w:line="288" w:lineRule="auto"/>
              <w:jc w:val="left"/>
            </w:pPr>
            <w:r/>
            <w:r>
              <w:rPr>
                <w:rFonts w:ascii="宋体" w:hAnsi="宋体" w:eastAsia="宋体"/>
                <w:b w:val="0"/>
                <w:sz w:val="19"/>
              </w:rPr>
              <w:t>风速、功率、转速、变桨角、偏航角、发电量</w:t>
            </w:r>
          </w:p>
        </w:tc>
        <w:tc>
          <w:tcPr>
            <w:tcW w:type="dxa" w:w="2239"/>
            <w:vAlign w:val="center"/>
          </w:tcPr>
          <w:p>
            <w:pPr>
              <w:spacing w:line="288" w:lineRule="auto"/>
              <w:jc w:val="center"/>
            </w:pPr>
            <w:r/>
            <w:r>
              <w:rPr>
                <w:rFonts w:ascii="宋体" w:hAnsi="宋体" w:eastAsia="宋体"/>
                <w:b w:val="0"/>
                <w:sz w:val="19"/>
              </w:rPr>
              <w:t>工况识别和实时监测</w:t>
            </w:r>
          </w:p>
        </w:tc>
      </w:tr>
      <w:tr>
        <w:tc>
          <w:tcPr>
            <w:tcW w:type="dxa" w:w="2239"/>
            <w:vAlign w:val="center"/>
          </w:tcPr>
          <w:p>
            <w:pPr>
              <w:spacing w:line="288" w:lineRule="auto"/>
              <w:jc w:val="center"/>
            </w:pPr>
            <w:r/>
            <w:r>
              <w:rPr>
                <w:rFonts w:ascii="宋体" w:hAnsi="宋体" w:eastAsia="宋体"/>
                <w:b w:val="0"/>
                <w:sz w:val="19"/>
              </w:rPr>
              <w:t>PLC</w:t>
            </w:r>
          </w:p>
        </w:tc>
        <w:tc>
          <w:tcPr>
            <w:tcW w:type="dxa" w:w="2239"/>
            <w:vAlign w:val="center"/>
          </w:tcPr>
          <w:p>
            <w:pPr>
              <w:spacing w:line="288" w:lineRule="auto"/>
              <w:jc w:val="left"/>
            </w:pPr>
            <w:r/>
            <w:r>
              <w:rPr>
                <w:rFonts w:ascii="宋体" w:hAnsi="宋体" w:eastAsia="宋体"/>
                <w:b w:val="0"/>
                <w:sz w:val="19"/>
              </w:rPr>
              <w:t>只读寄存器、OPC UA</w:t>
            </w:r>
          </w:p>
        </w:tc>
        <w:tc>
          <w:tcPr>
            <w:tcW w:type="dxa" w:w="2239"/>
            <w:vAlign w:val="center"/>
          </w:tcPr>
          <w:p>
            <w:pPr>
              <w:spacing w:line="288" w:lineRule="auto"/>
              <w:jc w:val="left"/>
            </w:pPr>
            <w:r/>
            <w:r>
              <w:rPr>
                <w:rFonts w:ascii="宋体" w:hAnsi="宋体" w:eastAsia="宋体"/>
                <w:b w:val="0"/>
                <w:sz w:val="19"/>
              </w:rPr>
              <w:t>运行链路、保护动作、控制状态、停机原因</w:t>
            </w:r>
          </w:p>
        </w:tc>
        <w:tc>
          <w:tcPr>
            <w:tcW w:type="dxa" w:w="2239"/>
            <w:vAlign w:val="center"/>
          </w:tcPr>
          <w:p>
            <w:pPr>
              <w:spacing w:line="288" w:lineRule="auto"/>
              <w:jc w:val="left"/>
            </w:pPr>
            <w:r/>
            <w:r>
              <w:rPr>
                <w:rFonts w:ascii="宋体" w:hAnsi="宋体" w:eastAsia="宋体"/>
                <w:b w:val="0"/>
                <w:sz w:val="19"/>
              </w:rPr>
              <w:t>状态码解析和安全联锁判断</w:t>
            </w:r>
          </w:p>
        </w:tc>
      </w:tr>
      <w:tr>
        <w:tc>
          <w:tcPr>
            <w:tcW w:type="dxa" w:w="2239"/>
            <w:vAlign w:val="center"/>
          </w:tcPr>
          <w:p>
            <w:pPr>
              <w:spacing w:line="288" w:lineRule="auto"/>
              <w:jc w:val="center"/>
            </w:pPr>
            <w:r/>
            <w:r>
              <w:rPr>
                <w:rFonts w:ascii="宋体" w:hAnsi="宋体" w:eastAsia="宋体"/>
                <w:b w:val="0"/>
                <w:sz w:val="19"/>
              </w:rPr>
              <w:t>CMS</w:t>
            </w:r>
          </w:p>
        </w:tc>
        <w:tc>
          <w:tcPr>
            <w:tcW w:type="dxa" w:w="2239"/>
            <w:vAlign w:val="center"/>
          </w:tcPr>
          <w:p>
            <w:pPr>
              <w:spacing w:line="288" w:lineRule="auto"/>
              <w:jc w:val="left"/>
            </w:pPr>
            <w:r/>
            <w:r>
              <w:rPr>
                <w:rFonts w:ascii="宋体" w:hAnsi="宋体" w:eastAsia="宋体"/>
                <w:b w:val="0"/>
                <w:sz w:val="19"/>
              </w:rPr>
              <w:t>API、文件导入、数据库同步</w:t>
            </w:r>
          </w:p>
        </w:tc>
        <w:tc>
          <w:tcPr>
            <w:tcW w:type="dxa" w:w="2239"/>
            <w:vAlign w:val="center"/>
          </w:tcPr>
          <w:p>
            <w:pPr>
              <w:spacing w:line="288" w:lineRule="auto"/>
              <w:jc w:val="left"/>
            </w:pPr>
            <w:r/>
            <w:r>
              <w:rPr>
                <w:rFonts w:ascii="宋体" w:hAnsi="宋体" w:eastAsia="宋体"/>
                <w:b w:val="0"/>
                <w:sz w:val="19"/>
              </w:rPr>
              <w:t>振动波形、RMS、峭度、包络谱</w:t>
            </w:r>
          </w:p>
        </w:tc>
        <w:tc>
          <w:tcPr>
            <w:tcW w:type="dxa" w:w="2239"/>
            <w:vAlign w:val="center"/>
          </w:tcPr>
          <w:p>
            <w:pPr>
              <w:spacing w:line="288" w:lineRule="auto"/>
              <w:jc w:val="center"/>
            </w:pPr>
            <w:r/>
            <w:r>
              <w:rPr>
                <w:rFonts w:ascii="宋体" w:hAnsi="宋体" w:eastAsia="宋体"/>
                <w:b w:val="0"/>
                <w:sz w:val="19"/>
              </w:rPr>
              <w:t>齿轮和轴承故障诊断</w:t>
            </w:r>
          </w:p>
        </w:tc>
      </w:tr>
      <w:tr>
        <w:tc>
          <w:tcPr>
            <w:tcW w:type="dxa" w:w="2239"/>
            <w:vAlign w:val="center"/>
          </w:tcPr>
          <w:p>
            <w:pPr>
              <w:spacing w:line="288" w:lineRule="auto"/>
              <w:jc w:val="center"/>
            </w:pPr>
            <w:r/>
            <w:r>
              <w:rPr>
                <w:rFonts w:ascii="宋体" w:hAnsi="宋体" w:eastAsia="宋体"/>
                <w:b w:val="0"/>
                <w:sz w:val="19"/>
              </w:rPr>
              <w:t>油液监测</w:t>
            </w:r>
          </w:p>
        </w:tc>
        <w:tc>
          <w:tcPr>
            <w:tcW w:type="dxa" w:w="2239"/>
            <w:vAlign w:val="center"/>
          </w:tcPr>
          <w:p>
            <w:pPr>
              <w:spacing w:line="288" w:lineRule="auto"/>
              <w:jc w:val="left"/>
            </w:pPr>
            <w:r/>
            <w:r>
              <w:rPr>
                <w:rFonts w:ascii="宋体" w:hAnsi="宋体" w:eastAsia="宋体"/>
                <w:b w:val="0"/>
                <w:sz w:val="19"/>
              </w:rPr>
              <w:t>CSV、在线传感器API</w:t>
            </w:r>
          </w:p>
        </w:tc>
        <w:tc>
          <w:tcPr>
            <w:tcW w:type="dxa" w:w="2239"/>
            <w:vAlign w:val="center"/>
          </w:tcPr>
          <w:p>
            <w:pPr>
              <w:spacing w:line="288" w:lineRule="auto"/>
              <w:jc w:val="left"/>
            </w:pPr>
            <w:r/>
            <w:r>
              <w:rPr>
                <w:rFonts w:ascii="宋体" w:hAnsi="宋体" w:eastAsia="宋体"/>
                <w:b w:val="0"/>
                <w:sz w:val="19"/>
              </w:rPr>
              <w:t>NAS、水分、金属颗粒、黏度</w:t>
            </w:r>
          </w:p>
        </w:tc>
        <w:tc>
          <w:tcPr>
            <w:tcW w:type="dxa" w:w="2239"/>
            <w:vAlign w:val="center"/>
          </w:tcPr>
          <w:p>
            <w:pPr>
              <w:spacing w:line="288" w:lineRule="auto"/>
              <w:jc w:val="center"/>
            </w:pPr>
            <w:r/>
            <w:r>
              <w:rPr>
                <w:rFonts w:ascii="宋体" w:hAnsi="宋体" w:eastAsia="宋体"/>
                <w:b w:val="0"/>
                <w:sz w:val="19"/>
              </w:rPr>
              <w:t>润滑状态评估</w:t>
            </w:r>
          </w:p>
        </w:tc>
      </w:tr>
      <w:tr>
        <w:tc>
          <w:tcPr>
            <w:tcW w:type="dxa" w:w="2239"/>
            <w:vAlign w:val="center"/>
          </w:tcPr>
          <w:p>
            <w:pPr>
              <w:spacing w:line="288" w:lineRule="auto"/>
              <w:jc w:val="center"/>
            </w:pPr>
            <w:r/>
            <w:r>
              <w:rPr>
                <w:rFonts w:ascii="宋体" w:hAnsi="宋体" w:eastAsia="宋体"/>
                <w:b w:val="0"/>
                <w:sz w:val="19"/>
              </w:rPr>
              <w:t>检修台账</w:t>
            </w:r>
          </w:p>
        </w:tc>
        <w:tc>
          <w:tcPr>
            <w:tcW w:type="dxa" w:w="2239"/>
            <w:vAlign w:val="center"/>
          </w:tcPr>
          <w:p>
            <w:pPr>
              <w:spacing w:line="288" w:lineRule="auto"/>
              <w:jc w:val="left"/>
            </w:pPr>
            <w:r/>
            <w:r>
              <w:rPr>
                <w:rFonts w:ascii="宋体" w:hAnsi="宋体" w:eastAsia="宋体"/>
                <w:b w:val="0"/>
                <w:sz w:val="19"/>
              </w:rPr>
              <w:t>Excel、工单系统API</w:t>
            </w:r>
          </w:p>
        </w:tc>
        <w:tc>
          <w:tcPr>
            <w:tcW w:type="dxa" w:w="2239"/>
            <w:vAlign w:val="center"/>
          </w:tcPr>
          <w:p>
            <w:pPr>
              <w:spacing w:line="288" w:lineRule="auto"/>
              <w:jc w:val="left"/>
            </w:pPr>
            <w:r/>
            <w:r>
              <w:rPr>
                <w:rFonts w:ascii="宋体" w:hAnsi="宋体" w:eastAsia="宋体"/>
                <w:b w:val="0"/>
                <w:sz w:val="19"/>
              </w:rPr>
              <w:t>故障时间、处理措施、复测结果</w:t>
            </w:r>
          </w:p>
        </w:tc>
        <w:tc>
          <w:tcPr>
            <w:tcW w:type="dxa" w:w="2239"/>
            <w:vAlign w:val="center"/>
          </w:tcPr>
          <w:p>
            <w:pPr>
              <w:spacing w:line="288" w:lineRule="auto"/>
              <w:jc w:val="center"/>
            </w:pPr>
            <w:r/>
            <w:r>
              <w:rPr>
                <w:rFonts w:ascii="宋体" w:hAnsi="宋体" w:eastAsia="宋体"/>
                <w:b w:val="0"/>
                <w:sz w:val="19"/>
              </w:rPr>
              <w:t>模型标签和闭环验证</w:t>
            </w:r>
          </w:p>
        </w:tc>
      </w:tr>
    </w:tbl>
    <w:p/>
    <w:p>
      <w:pPr>
        <w:spacing w:before="240" w:after="120"/>
      </w:pPr>
      <w:r>
        <w:rPr>
          <w:rFonts w:ascii="黑体" w:hAnsi="黑体" w:eastAsia="黑体"/>
          <w:b/>
          <w:sz w:val="28"/>
        </w:rPr>
        <w:t>2.3 系统总体架构设计</w:t>
      </w:r>
    </w:p>
    <w:p>
      <w:pPr>
        <w:spacing w:line="360" w:lineRule="auto" w:after="0"/>
        <w:ind w:firstLine="420"/>
        <w:jc w:val="both"/>
      </w:pPr>
      <w:r>
        <w:rPr>
          <w:rFonts w:ascii="宋体" w:hAnsi="宋体" w:eastAsia="宋体"/>
          <w:b w:val="0"/>
          <w:sz w:val="21"/>
        </w:rPr>
        <w:t>系统采用分层架构设计，自下而上包括数据采集层、数据处理层、智能诊断层、知识服务层和应用展示层。数据采集层负责从SCADA、PLC、CMS和油液系统获取运行数据；数据处理层负责数据清洗、特征提取、工况归一化和缓存；智能诊断层负责油温残差预测、故障类型判断、健康评分和RUL估计；知识服务层负责专家知识库和AI问答；应用展示层负责风场总览、单机详情、实时监测、故障管理和报告导出。</w:t>
      </w:r>
    </w:p>
    <w:p>
      <w:pPr>
        <w:spacing w:line="360" w:lineRule="auto" w:after="0"/>
        <w:ind w:firstLine="420"/>
        <w:jc w:val="both"/>
      </w:pPr>
      <w:r>
        <w:rPr>
          <w:rFonts w:ascii="宋体" w:hAnsi="宋体" w:eastAsia="宋体"/>
          <w:b w:val="0"/>
          <w:sz w:val="21"/>
        </w:rPr>
        <w:t>后端采用Flask实现接口服务，数据库采用SQLite保存用户、故障记录、机组资产和系统配置。前端采用原生JavaScript实现交互逻辑，使用ECharts展示趋势图、分布图和柱状图，使用SVG绘制单机详情中的机舱剖视模型。该架构具有开发成本低、部署简单和模块清晰的特点，适合毕业设计阶段的原型验证，同时也为后续接入真实风场数据预留接口。</w:t>
      </w:r>
    </w:p>
    <w:p>
      <w:pPr>
        <w:spacing w:line="360" w:lineRule="auto" w:after="0"/>
        <w:ind w:firstLine="420"/>
        <w:jc w:val="both"/>
      </w:pPr>
      <w:r>
        <w:rPr>
          <w:rFonts w:ascii="宋体" w:hAnsi="宋体" w:eastAsia="宋体"/>
          <w:b w:val="0"/>
          <w:sz w:val="21"/>
        </w:rPr>
        <w:t>系统业务流程可以概括为“数据采集—数据清洗—特征计算—状态评估—诊断展示—运维建议”。首先，采集层获取各机组运行数据和状态码；其次，处理层完成异常值剔除、滑动平均和特征计算；再次，诊断层根据油温残差、振动特征和油液状态判断异常类型；最后，展示层将结果以总览卡片、单机详情、趋势图、报告和问答形式呈现给用户。该流程既满足实时监测，也支持历史数据回溯分析。</w:t>
      </w:r>
    </w:p>
    <w:p>
      <w:pPr>
        <w:spacing w:line="360" w:lineRule="auto" w:after="0"/>
        <w:ind w:firstLine="420"/>
        <w:jc w:val="both"/>
      </w:pPr>
      <w:r>
        <w:rPr>
          <w:rFonts w:ascii="宋体" w:hAnsi="宋体" w:eastAsia="宋体"/>
          <w:b w:val="0"/>
          <w:sz w:val="21"/>
        </w:rPr>
        <w:t>在可扩展性方面，系统将风场总览、单机详情、故障诊断、报告生成和问答服务划分为相对独立模块。后续若接入真实SCADA系统，只需要替换数据采集服务和字段映射逻辑，前端页面和诊断流程仍可复用。若需要升级模型，也可以将当前规则模型替换为训练后的机器学习模型，而不影响用户界面和基础数据管理功能。</w:t>
      </w:r>
    </w:p>
    <w:p>
      <w:r>
        <w:br w:type="page"/>
      </w:r>
    </w:p>
    <w:p>
      <w:pPr>
        <w:spacing w:after="240"/>
        <w:jc w:val="center"/>
      </w:pPr>
      <w:r>
        <w:rPr>
          <w:rFonts w:ascii="黑体" w:hAnsi="黑体" w:eastAsia="黑体"/>
          <w:b/>
          <w:sz w:val="32"/>
        </w:rPr>
        <w:t>第3章 关键算法与健康评估方法</w:t>
      </w:r>
    </w:p>
    <w:p>
      <w:pPr>
        <w:spacing w:before="240" w:after="120"/>
      </w:pPr>
      <w:r>
        <w:rPr>
          <w:rFonts w:ascii="黑体" w:hAnsi="黑体" w:eastAsia="黑体"/>
          <w:b/>
          <w:sz w:val="28"/>
        </w:rPr>
        <w:t>3.1 多源数据预处理</w:t>
      </w:r>
    </w:p>
    <w:p>
      <w:pPr>
        <w:spacing w:line="360" w:lineRule="auto" w:after="0"/>
        <w:ind w:firstLine="420"/>
        <w:jc w:val="both"/>
      </w:pPr>
      <w:r>
        <w:rPr>
          <w:rFonts w:ascii="宋体" w:hAnsi="宋体" w:eastAsia="宋体"/>
          <w:b w:val="0"/>
          <w:sz w:val="21"/>
        </w:rPr>
        <w:t>风电场采集数据具有多源异构、采样频率不一致、通信延迟和异常值较多等特点。为保证诊断结果可靠，系统在数据进入模型前需要进行预处理。对于SCADA低频数据，主要进行单位统一、缺失补齐、异常跳变剔除和滑动平均滤波；对于CMS高频振动数据，主要进行去趋势、带通滤波、包络分析和特征提取；对于油液和检修记录，主要进行结构化字段整理和标签映射。</w:t>
      </w:r>
    </w:p>
    <w:p>
      <w:pPr>
        <w:spacing w:line="360" w:lineRule="auto" w:after="0"/>
        <w:ind w:firstLine="420"/>
        <w:jc w:val="both"/>
      </w:pPr>
      <w:r>
        <w:rPr>
          <w:rFonts w:ascii="宋体" w:hAnsi="宋体" w:eastAsia="宋体"/>
          <w:b w:val="0"/>
          <w:sz w:val="21"/>
        </w:rPr>
        <w:t>本文系统中模拟实现了滑动窗口滤波和数据质量评分。数据质量评分综合考虑延迟、丢包率、传感器在线数量和报警数量。当数据质量低于设定阈值时，系统在实时监测页面提示数据可信度下降，避免运维人员直接依据低质量数据做出判断。</w:t>
      </w:r>
    </w:p>
    <w:p>
      <w:pPr>
        <w:spacing w:line="360" w:lineRule="auto" w:after="0"/>
        <w:ind w:firstLine="420"/>
        <w:jc w:val="both"/>
      </w:pPr>
      <w:r>
        <w:rPr>
          <w:rFonts w:ascii="宋体" w:hAnsi="宋体" w:eastAsia="宋体"/>
          <w:b w:val="0"/>
          <w:sz w:val="21"/>
        </w:rPr>
        <w:t>对于不同采样频率的数据，系统采用时间窗口对齐策略。例如，SCADA数据通常以1秒或10秒为周期，CMS振动特征可能以分钟级输出，油液数据可能以小时或天为周期。系统以机组编号和时间戳为主键进行关联，在诊断时取同一时间窗口内的工况、温度、振动和油液特征，避免不同时间点数据混用导致误判。</w:t>
      </w:r>
    </w:p>
    <w:p>
      <w:pPr>
        <w:spacing w:line="360" w:lineRule="auto" w:after="0"/>
        <w:ind w:firstLine="420"/>
        <w:jc w:val="both"/>
      </w:pPr>
      <w:r>
        <w:rPr>
          <w:rFonts w:ascii="宋体" w:hAnsi="宋体" w:eastAsia="宋体"/>
          <w:b w:val="0"/>
          <w:sz w:val="21"/>
        </w:rPr>
        <w:t>异常值处理采用规则与统计方法结合。对于明显超出物理范围的数据，例如负风速、异常高转速或传感器断线值，系统直接标记为无效；对于短时尖峰，系统通过滑动窗口均值、中位数滤波和标准差阈值进行平滑。处理过程不简单删除原始数据，而是保留原始值和清洗后值，便于后续追溯。</w:t>
      </w:r>
    </w:p>
    <w:p>
      <w:pPr>
        <w:spacing w:before="240" w:after="120"/>
      </w:pPr>
      <w:r>
        <w:rPr>
          <w:rFonts w:ascii="黑体" w:hAnsi="黑体" w:eastAsia="黑体"/>
          <w:b/>
          <w:sz w:val="28"/>
        </w:rPr>
        <w:t>3.2 M-IALO-SVR油温残差预测</w:t>
      </w:r>
    </w:p>
    <w:p>
      <w:pPr>
        <w:spacing w:line="360" w:lineRule="auto" w:after="0"/>
        <w:ind w:firstLine="420"/>
        <w:jc w:val="both"/>
      </w:pPr>
      <w:r>
        <w:rPr>
          <w:rFonts w:ascii="宋体" w:hAnsi="宋体" w:eastAsia="宋体"/>
          <w:b w:val="0"/>
          <w:sz w:val="21"/>
        </w:rPr>
        <w:t>齿轮箱油温与风速、有功功率、环境温度、转速和冷却状态密切相关。在不同工况下，正常油温本身会发生变化，因此仅依靠固定阈值判断是否过温存在局限。本文采用油温残差预测思路，即先建立正常工况下齿轮箱油温预测模型，再计算实测油温与预测油温之间的残差。当残差持续增大时，说明油温高于当前工况下的正常水平，可能存在冷却效率下降、润滑状态恶化或摩擦异常。</w:t>
      </w:r>
    </w:p>
    <w:p>
      <w:pPr>
        <w:spacing w:line="360" w:lineRule="auto" w:after="0"/>
        <w:ind w:firstLine="420"/>
        <w:jc w:val="both"/>
      </w:pPr>
      <w:r>
        <w:rPr>
          <w:rFonts w:ascii="宋体" w:hAnsi="宋体" w:eastAsia="宋体"/>
          <w:b w:val="0"/>
          <w:sz w:val="21"/>
        </w:rPr>
        <w:t>SVR具有适合小样本、非线性回归和泛化能力较好的特点，适用于风电机组故障样本不足的场景。IALO用于优化SVR的惩罚系数、核函数参数和不敏感损失参数，M-IALO进一步通过改进初始化、搜索步长和局部扰动策略提高寻优能力。系统中M-IALO-SVR的输入变量包括风速、有功功率、环境温度、发电机转速、变桨角和历史油温，输出为预测齿轮箱油温。</w:t>
      </w:r>
    </w:p>
    <w:p>
      <w:pPr>
        <w:spacing w:line="360" w:lineRule="auto" w:after="0"/>
        <w:ind w:firstLine="420"/>
        <w:jc w:val="both"/>
      </w:pPr>
      <w:r>
        <w:rPr>
          <w:rFonts w:ascii="宋体" w:hAnsi="宋体" w:eastAsia="宋体"/>
          <w:b w:val="0"/>
          <w:sz w:val="21"/>
        </w:rPr>
        <w:t>油温残差定义为实测油温减去预测油温。若残差在短时间内偶然升高，系统仅提示观察；若残差连续超过关注阈值，并伴随振动RMS或油液NAS等级升高，则系统将故障等级提升为警告；若残差持续超限且出现报警状态码，则建议生成检修工单并安排现场复核。</w:t>
      </w:r>
    </w:p>
    <w:p>
      <w:pPr>
        <w:spacing w:line="360" w:lineRule="auto" w:after="0"/>
        <w:ind w:firstLine="420"/>
        <w:jc w:val="both"/>
      </w:pPr>
      <w:r>
        <w:rPr>
          <w:rFonts w:ascii="宋体" w:hAnsi="宋体" w:eastAsia="宋体"/>
          <w:b w:val="0"/>
          <w:sz w:val="21"/>
        </w:rPr>
        <w:t>M-IALO-SVR建模流程包括样本构建、数据归一化、参数寻优、模型训练、误差评估和残差阈值确定。样本构建阶段应剔除已知故障、停机和限功率异常工况，尽量保留健康状态下的正常运行数据。归一化处理可以消除不同量纲对模型训练的影响。参数寻优阶段通过改进智能优化算法搜索SVR参数组合，以均方根误差和平均绝对误差作为适应度评价指标。</w:t>
      </w:r>
    </w:p>
    <w:p>
      <w:pPr>
        <w:spacing w:line="360" w:lineRule="auto" w:after="0"/>
        <w:ind w:firstLine="420"/>
        <w:jc w:val="both"/>
      </w:pPr>
      <w:r>
        <w:rPr>
          <w:rFonts w:ascii="宋体" w:hAnsi="宋体" w:eastAsia="宋体"/>
          <w:b w:val="0"/>
          <w:sz w:val="21"/>
        </w:rPr>
        <w:t>残差阈值不宜采用固定经验值，而应结合训练集残差分布确定。可以将正常样本残差均值和标准差作为基础，设置关注阈值、警告阈值和严重阈值。若残差超过关注阈值但持续时间较短，系统提示趋势观察；若残差连续多次超过警告阈值，则结合振动和油液指标提升风险等级。该方法能够兼顾灵敏度和稳定性。</w:t>
      </w:r>
    </w:p>
    <w:p>
      <w:pPr>
        <w:spacing w:before="240" w:after="120"/>
      </w:pPr>
      <w:r>
        <w:rPr>
          <w:rFonts w:ascii="黑体" w:hAnsi="黑体" w:eastAsia="黑体"/>
          <w:b/>
          <w:sz w:val="28"/>
        </w:rPr>
        <w:t>3.3 故障诊断与RUL评估</w:t>
      </w:r>
    </w:p>
    <w:p>
      <w:pPr>
        <w:spacing w:line="360" w:lineRule="auto" w:after="0"/>
        <w:ind w:firstLine="420"/>
        <w:jc w:val="both"/>
      </w:pPr>
      <w:r>
        <w:rPr>
          <w:rFonts w:ascii="宋体" w:hAnsi="宋体" w:eastAsia="宋体"/>
          <w:b w:val="0"/>
          <w:sz w:val="21"/>
        </w:rPr>
        <w:t>故障诊断模块综合利用温度、振动、油液和运行状态特征。振动特征包括RMS、峭度、峰值因子和包络谱特征；温度特征包括油温均值、升温速率和残差；油液特征包括NAS等级和污染趋势；运行状态特征包括功率、风速、转速和报警码。系统根据特征组合判断齿轮磨损、点蚀、轴承异常、冷却系统故障和润滑油污染等故障类型。</w:t>
      </w:r>
    </w:p>
    <w:p>
      <w:pPr>
        <w:spacing w:line="360" w:lineRule="auto" w:after="0"/>
        <w:ind w:firstLine="420"/>
        <w:jc w:val="both"/>
      </w:pPr>
      <w:r>
        <w:rPr>
          <w:rFonts w:ascii="宋体" w:hAnsi="宋体" w:eastAsia="宋体"/>
          <w:b w:val="0"/>
          <w:sz w:val="21"/>
        </w:rPr>
        <w:t>健康评分采用扣分式融合策略，以100分为满分，根据温度风险、振动风险、油液风险、报警等级和历史故障次数进行扣分。RUL估计以健康评分、故障严重程度和趋势斜率为基础，给出剩余寿命天数。风机设计寿命默认按20年设置，系统结合健康评分和RUL给出复检周期。健康评分较高且RUL充足时建议90天常规复检；健康评分下降或RUL缩短时，复检周期缩短至60天、30天、14天或7天。</w:t>
      </w:r>
    </w:p>
    <w:p>
      <w:pPr>
        <w:spacing w:line="360" w:lineRule="auto" w:after="0"/>
        <w:ind w:firstLine="420"/>
        <w:jc w:val="both"/>
      </w:pPr>
      <w:r>
        <w:rPr>
          <w:rFonts w:ascii="宋体" w:hAnsi="宋体" w:eastAsia="宋体"/>
          <w:b w:val="0"/>
          <w:sz w:val="21"/>
        </w:rPr>
        <w:t>在实际运维中，健康评分的目的不是给出绝对寿命，而是为检修优先级提供排序依据。因此，评分规则需要保持可解释性。系统在报告中不仅显示健康分值，还显示扣分来源，例如油温偏高、振动RMS升高、油液NAS等级偏高或近期存在报警记录。运维人员可以根据扣分项判断应优先检查冷却系统、润滑系统还是传动链机械部件。</w:t>
      </w:r>
    </w:p>
    <w:p>
      <w:pPr>
        <w:spacing w:line="360" w:lineRule="auto" w:after="0"/>
        <w:ind w:firstLine="420"/>
        <w:jc w:val="both"/>
      </w:pPr>
      <w:r>
        <w:rPr>
          <w:rFonts w:ascii="宋体" w:hAnsi="宋体" w:eastAsia="宋体"/>
          <w:b w:val="0"/>
          <w:sz w:val="21"/>
        </w:rPr>
        <w:t>RUL估计结果同样需要结合工程约束使用。风机剩余寿命受备件、天气、吊装条件和检修窗口影响，系统给出的RUL和复检周期应作为辅助决策，而不是代替现场专业判断。当诊断结果达到严重等级时，即使RUL估计仍有一定余量，也应优先安排现场复核和必要的限功率运行。</w:t>
      </w:r>
    </w:p>
    <w:p>
      <w:pPr>
        <w:jc w:val="center"/>
      </w:pPr>
      <w:r>
        <w:rPr>
          <w:rFonts w:ascii="黑体" w:hAnsi="黑体" w:eastAsia="黑体"/>
          <w:b/>
          <w:sz w:val="21"/>
        </w:rPr>
        <w:t>表3.1 健康评分与复检周期</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健康状态</w:t>
            </w:r>
          </w:p>
        </w:tc>
        <w:tc>
          <w:tcPr>
            <w:tcW w:type="dxa" w:w="2986"/>
            <w:shd w:fill="DCEBFA"/>
            <w:vAlign w:val="center"/>
          </w:tcPr>
          <w:p>
            <w:pPr>
              <w:spacing w:line="288" w:lineRule="auto"/>
              <w:jc w:val="center"/>
            </w:pPr>
            <w:r/>
            <w:r>
              <w:rPr>
                <w:rFonts w:ascii="宋体" w:hAnsi="宋体" w:eastAsia="宋体"/>
                <w:b/>
                <w:sz w:val="19"/>
              </w:rPr>
              <w:t>判定条件</w:t>
            </w:r>
          </w:p>
        </w:tc>
        <w:tc>
          <w:tcPr>
            <w:tcW w:type="dxa" w:w="2986"/>
            <w:shd w:fill="DCEBFA"/>
            <w:vAlign w:val="center"/>
          </w:tcPr>
          <w:p>
            <w:pPr>
              <w:spacing w:line="288" w:lineRule="auto"/>
              <w:jc w:val="center"/>
            </w:pPr>
            <w:r/>
            <w:r>
              <w:rPr>
                <w:rFonts w:ascii="宋体" w:hAnsi="宋体" w:eastAsia="宋体"/>
                <w:b/>
                <w:sz w:val="19"/>
              </w:rPr>
              <w:t>复检建议</w:t>
            </w:r>
          </w:p>
        </w:tc>
      </w:tr>
      <w:tr>
        <w:tc>
          <w:tcPr>
            <w:tcW w:type="dxa" w:w="2986"/>
            <w:vAlign w:val="center"/>
          </w:tcPr>
          <w:p>
            <w:pPr>
              <w:spacing w:line="288" w:lineRule="auto"/>
              <w:jc w:val="center"/>
            </w:pPr>
            <w:r/>
            <w:r>
              <w:rPr>
                <w:rFonts w:ascii="宋体" w:hAnsi="宋体" w:eastAsia="宋体"/>
                <w:b w:val="0"/>
                <w:sz w:val="19"/>
              </w:rPr>
              <w:t>正常</w:t>
            </w:r>
          </w:p>
        </w:tc>
        <w:tc>
          <w:tcPr>
            <w:tcW w:type="dxa" w:w="2986"/>
            <w:vAlign w:val="center"/>
          </w:tcPr>
          <w:p>
            <w:pPr>
              <w:spacing w:line="288" w:lineRule="auto"/>
              <w:jc w:val="left"/>
            </w:pPr>
            <w:r/>
            <w:r>
              <w:rPr>
                <w:rFonts w:ascii="宋体" w:hAnsi="宋体" w:eastAsia="宋体"/>
                <w:b w:val="0"/>
                <w:sz w:val="19"/>
              </w:rPr>
              <w:t>健康评分≥90且RUL≥365天</w:t>
            </w:r>
          </w:p>
        </w:tc>
        <w:tc>
          <w:tcPr>
            <w:tcW w:type="dxa" w:w="2986"/>
            <w:vAlign w:val="center"/>
          </w:tcPr>
          <w:p>
            <w:pPr>
              <w:spacing w:line="288" w:lineRule="auto"/>
              <w:jc w:val="center"/>
            </w:pPr>
            <w:r/>
            <w:r>
              <w:rPr>
                <w:rFonts w:ascii="宋体" w:hAnsi="宋体" w:eastAsia="宋体"/>
                <w:b w:val="0"/>
                <w:sz w:val="19"/>
              </w:rPr>
              <w:t>90天常规复检</w:t>
            </w:r>
          </w:p>
        </w:tc>
      </w:tr>
      <w:tr>
        <w:tc>
          <w:tcPr>
            <w:tcW w:type="dxa" w:w="2986"/>
            <w:vAlign w:val="center"/>
          </w:tcPr>
          <w:p>
            <w:pPr>
              <w:spacing w:line="288" w:lineRule="auto"/>
              <w:jc w:val="center"/>
            </w:pPr>
            <w:r/>
            <w:r>
              <w:rPr>
                <w:rFonts w:ascii="宋体" w:hAnsi="宋体" w:eastAsia="宋体"/>
                <w:b w:val="0"/>
                <w:sz w:val="19"/>
              </w:rPr>
              <w:t>关注</w:t>
            </w:r>
          </w:p>
        </w:tc>
        <w:tc>
          <w:tcPr>
            <w:tcW w:type="dxa" w:w="2986"/>
            <w:vAlign w:val="center"/>
          </w:tcPr>
          <w:p>
            <w:pPr>
              <w:spacing w:line="288" w:lineRule="auto"/>
              <w:jc w:val="left"/>
            </w:pPr>
            <w:r/>
            <w:r>
              <w:rPr>
                <w:rFonts w:ascii="宋体" w:hAnsi="宋体" w:eastAsia="宋体"/>
                <w:b w:val="0"/>
                <w:sz w:val="19"/>
              </w:rPr>
              <w:t>健康评分80～89或RUL 180～365天</w:t>
            </w:r>
          </w:p>
        </w:tc>
        <w:tc>
          <w:tcPr>
            <w:tcW w:type="dxa" w:w="2986"/>
            <w:vAlign w:val="center"/>
          </w:tcPr>
          <w:p>
            <w:pPr>
              <w:spacing w:line="288" w:lineRule="auto"/>
              <w:jc w:val="center"/>
            </w:pPr>
            <w:r/>
            <w:r>
              <w:rPr>
                <w:rFonts w:ascii="宋体" w:hAnsi="宋体" w:eastAsia="宋体"/>
                <w:b w:val="0"/>
                <w:sz w:val="19"/>
              </w:rPr>
              <w:t>60天趋势复核</w:t>
            </w:r>
          </w:p>
        </w:tc>
      </w:tr>
      <w:tr>
        <w:tc>
          <w:tcPr>
            <w:tcW w:type="dxa" w:w="2986"/>
            <w:vAlign w:val="center"/>
          </w:tcPr>
          <w:p>
            <w:pPr>
              <w:spacing w:line="288" w:lineRule="auto"/>
              <w:jc w:val="center"/>
            </w:pPr>
            <w:r/>
            <w:r>
              <w:rPr>
                <w:rFonts w:ascii="宋体" w:hAnsi="宋体" w:eastAsia="宋体"/>
                <w:b w:val="0"/>
                <w:sz w:val="19"/>
              </w:rPr>
              <w:t>预警</w:t>
            </w:r>
          </w:p>
        </w:tc>
        <w:tc>
          <w:tcPr>
            <w:tcW w:type="dxa" w:w="2986"/>
            <w:vAlign w:val="center"/>
          </w:tcPr>
          <w:p>
            <w:pPr>
              <w:spacing w:line="288" w:lineRule="auto"/>
              <w:jc w:val="left"/>
            </w:pPr>
            <w:r/>
            <w:r>
              <w:rPr>
                <w:rFonts w:ascii="宋体" w:hAnsi="宋体" w:eastAsia="宋体"/>
                <w:b w:val="0"/>
                <w:sz w:val="19"/>
              </w:rPr>
              <w:t>健康评分70～79或RUL 90～180天</w:t>
            </w:r>
          </w:p>
        </w:tc>
        <w:tc>
          <w:tcPr>
            <w:tcW w:type="dxa" w:w="2986"/>
            <w:vAlign w:val="center"/>
          </w:tcPr>
          <w:p>
            <w:pPr>
              <w:spacing w:line="288" w:lineRule="auto"/>
              <w:jc w:val="center"/>
            </w:pPr>
            <w:r/>
            <w:r>
              <w:rPr>
                <w:rFonts w:ascii="宋体" w:hAnsi="宋体" w:eastAsia="宋体"/>
                <w:b w:val="0"/>
                <w:sz w:val="19"/>
              </w:rPr>
              <w:t>30天内复检</w:t>
            </w:r>
          </w:p>
        </w:tc>
      </w:tr>
      <w:tr>
        <w:tc>
          <w:tcPr>
            <w:tcW w:type="dxa" w:w="2986"/>
            <w:vAlign w:val="center"/>
          </w:tcPr>
          <w:p>
            <w:pPr>
              <w:spacing w:line="288" w:lineRule="auto"/>
              <w:jc w:val="center"/>
            </w:pPr>
            <w:r/>
            <w:r>
              <w:rPr>
                <w:rFonts w:ascii="宋体" w:hAnsi="宋体" w:eastAsia="宋体"/>
                <w:b w:val="0"/>
                <w:sz w:val="19"/>
              </w:rPr>
              <w:t>加密</w:t>
            </w:r>
          </w:p>
        </w:tc>
        <w:tc>
          <w:tcPr>
            <w:tcW w:type="dxa" w:w="2986"/>
            <w:vAlign w:val="center"/>
          </w:tcPr>
          <w:p>
            <w:pPr>
              <w:spacing w:line="288" w:lineRule="auto"/>
              <w:jc w:val="left"/>
            </w:pPr>
            <w:r/>
            <w:r>
              <w:rPr>
                <w:rFonts w:ascii="宋体" w:hAnsi="宋体" w:eastAsia="宋体"/>
                <w:b w:val="0"/>
                <w:sz w:val="19"/>
              </w:rPr>
              <w:t>健康评分60～69或RUL 30～90天</w:t>
            </w:r>
          </w:p>
        </w:tc>
        <w:tc>
          <w:tcPr>
            <w:tcW w:type="dxa" w:w="2986"/>
            <w:vAlign w:val="center"/>
          </w:tcPr>
          <w:p>
            <w:pPr>
              <w:spacing w:line="288" w:lineRule="auto"/>
              <w:jc w:val="center"/>
            </w:pPr>
            <w:r/>
            <w:r>
              <w:rPr>
                <w:rFonts w:ascii="宋体" w:hAnsi="宋体" w:eastAsia="宋体"/>
                <w:b w:val="0"/>
                <w:sz w:val="19"/>
              </w:rPr>
              <w:t>14天内复检</w:t>
            </w:r>
          </w:p>
        </w:tc>
      </w:tr>
      <w:tr>
        <w:tc>
          <w:tcPr>
            <w:tcW w:type="dxa" w:w="2986"/>
            <w:vAlign w:val="center"/>
          </w:tcPr>
          <w:p>
            <w:pPr>
              <w:spacing w:line="288" w:lineRule="auto"/>
              <w:jc w:val="center"/>
            </w:pPr>
            <w:r/>
            <w:r>
              <w:rPr>
                <w:rFonts w:ascii="宋体" w:hAnsi="宋体" w:eastAsia="宋体"/>
                <w:b w:val="0"/>
                <w:sz w:val="19"/>
              </w:rPr>
              <w:t>高风险</w:t>
            </w:r>
          </w:p>
        </w:tc>
        <w:tc>
          <w:tcPr>
            <w:tcW w:type="dxa" w:w="2986"/>
            <w:vAlign w:val="center"/>
          </w:tcPr>
          <w:p>
            <w:pPr>
              <w:spacing w:line="288" w:lineRule="auto"/>
              <w:jc w:val="left"/>
            </w:pPr>
            <w:r/>
            <w:r>
              <w:rPr>
                <w:rFonts w:ascii="宋体" w:hAnsi="宋体" w:eastAsia="宋体"/>
                <w:b w:val="0"/>
                <w:sz w:val="19"/>
              </w:rPr>
              <w:t>健康评分＜60或RUL＜30天</w:t>
            </w:r>
          </w:p>
        </w:tc>
        <w:tc>
          <w:tcPr>
            <w:tcW w:type="dxa" w:w="2986"/>
            <w:vAlign w:val="center"/>
          </w:tcPr>
          <w:p>
            <w:pPr>
              <w:spacing w:line="288" w:lineRule="auto"/>
              <w:jc w:val="center"/>
            </w:pPr>
            <w:r/>
            <w:r>
              <w:rPr>
                <w:rFonts w:ascii="宋体" w:hAnsi="宋体" w:eastAsia="宋体"/>
                <w:b w:val="0"/>
                <w:sz w:val="19"/>
              </w:rPr>
              <w:t>7天内专项诊断</w:t>
            </w:r>
          </w:p>
        </w:tc>
      </w:tr>
    </w:tbl>
    <w:p/>
    <w:p>
      <w:r>
        <w:br w:type="page"/>
      </w:r>
    </w:p>
    <w:p>
      <w:pPr>
        <w:spacing w:after="240"/>
        <w:jc w:val="center"/>
      </w:pPr>
      <w:r>
        <w:rPr>
          <w:rFonts w:ascii="黑体" w:hAnsi="黑体" w:eastAsia="黑体"/>
          <w:b/>
          <w:sz w:val="32"/>
        </w:rPr>
        <w:t>第4章 系统功能设计与实现</w:t>
      </w:r>
    </w:p>
    <w:p>
      <w:pPr>
        <w:spacing w:before="240" w:after="120"/>
      </w:pPr>
      <w:r>
        <w:rPr>
          <w:rFonts w:ascii="黑体" w:hAnsi="黑体" w:eastAsia="黑体"/>
          <w:b/>
          <w:sz w:val="28"/>
        </w:rPr>
        <w:t>4.1 后端接口与数据库设计</w:t>
      </w:r>
    </w:p>
    <w:p>
      <w:pPr>
        <w:spacing w:line="360" w:lineRule="auto" w:after="0"/>
        <w:ind w:firstLine="420"/>
        <w:jc w:val="both"/>
      </w:pPr>
      <w:r>
        <w:rPr>
          <w:rFonts w:ascii="宋体" w:hAnsi="宋体" w:eastAsia="宋体"/>
          <w:b w:val="0"/>
          <w:sz w:val="21"/>
        </w:rPr>
        <w:t>后端系统采用Flask框架实现，主要接口包括用户认证、实时数据、振动数据、故障诊断、故障记录、健康报告、风场总览、单机详情、参数设置和运维问答等。数据库采用SQLite，主要数据表包括用户表、故障记录表、机组资产表和系统配置表。故障记录表保存机组编号、发生时间、故障类型、严重程度、置信度、处理状态和建议措施，为后续故障统计和模型验证提供基础。</w:t>
      </w:r>
    </w:p>
    <w:p>
      <w:pPr>
        <w:spacing w:line="360" w:lineRule="auto" w:after="0"/>
        <w:ind w:firstLine="420"/>
        <w:jc w:val="both"/>
      </w:pPr>
      <w:r>
        <w:rPr>
          <w:rFonts w:ascii="宋体" w:hAnsi="宋体" w:eastAsia="宋体"/>
          <w:b w:val="0"/>
          <w:sz w:val="21"/>
        </w:rPr>
        <w:t>实时数据接口模拟SCADA和CMS采集过程，输出油温、振动RMS、油液质量、功率、延迟、丢包率、数据质量和传感器状态。风场接口支持生成多台机组状态，包含机组编号、运行状态、有功功率、风速、油温、振动、健康评分和RUL。单机详情接口进一步提供温度列表、部件状态、报警状态、集群对标和参数组，用于构建接近风电场监控系统的单机页面。</w:t>
      </w:r>
    </w:p>
    <w:p>
      <w:pPr>
        <w:spacing w:line="360" w:lineRule="auto" w:after="0"/>
        <w:ind w:firstLine="420"/>
        <w:jc w:val="both"/>
      </w:pPr>
      <w:r>
        <w:rPr>
          <w:rFonts w:ascii="宋体" w:hAnsi="宋体" w:eastAsia="宋体"/>
          <w:b w:val="0"/>
          <w:sz w:val="21"/>
        </w:rPr>
        <w:t>数据库设计遵循简单、清晰和便于扩展的原则。用户表保存用户名、密码散列和角色信息；故障记录表保存故障类型、严重程度、置信度、处理状态和建议措施；机组资产表保存机组编号、型号、位置、投运日期和设计寿命；系统配置表保存阈值参数、采集周期和安全策略。通过这些数据表，系统能够支撑基础权限管理、历史故障追踪和健康报告生成。</w:t>
      </w:r>
    </w:p>
    <w:p>
      <w:pPr>
        <w:spacing w:line="360" w:lineRule="auto" w:after="0"/>
        <w:ind w:firstLine="420"/>
        <w:jc w:val="both"/>
      </w:pPr>
      <w:r>
        <w:rPr>
          <w:rFonts w:ascii="宋体" w:hAnsi="宋体" w:eastAsia="宋体"/>
          <w:b w:val="0"/>
          <w:sz w:val="21"/>
        </w:rPr>
        <w:t>接口返回数据统一采用JSON格式，便于前端异步请求和图表刷新。对于实时监测数据，系统可以采用轮询或SSE推送方式。轮询实现简单，适合毕业设计演示；SSE适合持续推送状态变化，能够减少前端主动请求次数。后续若接入真实风场，可根据数据刷新频率和网络环境选择更合适的通信方式。</w:t>
      </w:r>
    </w:p>
    <w:p>
      <w:pPr>
        <w:spacing w:before="240" w:after="120"/>
      </w:pPr>
      <w:r>
        <w:rPr>
          <w:rFonts w:ascii="黑体" w:hAnsi="黑体" w:eastAsia="黑体"/>
          <w:b/>
          <w:sz w:val="28"/>
        </w:rPr>
        <w:t>4.2 前端监测与可视化实现</w:t>
      </w:r>
    </w:p>
    <w:p>
      <w:pPr>
        <w:spacing w:line="360" w:lineRule="auto" w:after="0"/>
        <w:ind w:firstLine="420"/>
        <w:jc w:val="both"/>
      </w:pPr>
      <w:r>
        <w:rPr>
          <w:rFonts w:ascii="宋体" w:hAnsi="宋体" w:eastAsia="宋体"/>
          <w:b w:val="0"/>
          <w:sz w:val="21"/>
        </w:rPr>
        <w:t>前端系统围绕风电运维人员的实际使用习惯进行设计。登录后默认进入风场总览页面，展示多台风机卡片、运行状态、健康评分、功率、风速和油温。卡片中实现小风机叶片旋转效果，使总览页面更接近风电场集中监控系统。单机详情页面提供实时有功功率、实时风速、发电机转速、变桨角度、当前转矩、当日发电量、累计可利用率和累计发电量等指标，并通过阴影和交互效果增强数据卡片的可读性。</w:t>
      </w:r>
    </w:p>
    <w:p>
      <w:pPr>
        <w:spacing w:line="360" w:lineRule="auto" w:after="0"/>
        <w:ind w:firstLine="420"/>
        <w:jc w:val="both"/>
      </w:pPr>
      <w:r>
        <w:rPr>
          <w:rFonts w:ascii="宋体" w:hAnsi="宋体" w:eastAsia="宋体"/>
          <w:b w:val="0"/>
          <w:sz w:val="21"/>
        </w:rPr>
        <w:t>实时监测页面支持选择任意机组，所显示数据与单机详情保持一致。故障分析页面展示故障历史趋势、故障类型分布和故障严重程度分布，并按当前机组生成差异化数据。健康评估页面仅展示关键数据，避免报告内容冗余。系统还优化了参数设置页面、系统通知、故障数据管理和故障诊断中心，使界面更加符合实际风电运维场景。</w:t>
      </w:r>
    </w:p>
    <w:p>
      <w:pPr>
        <w:spacing w:line="360" w:lineRule="auto" w:after="0"/>
        <w:ind w:firstLine="420"/>
        <w:jc w:val="both"/>
      </w:pPr>
      <w:r>
        <w:rPr>
          <w:rFonts w:ascii="宋体" w:hAnsi="宋体" w:eastAsia="宋体"/>
          <w:b w:val="0"/>
          <w:sz w:val="21"/>
        </w:rPr>
        <w:t>单机详情页面是系统展示的核心页面之一。页面上方展示实时有功功率、风速、发电机转速、变桨角度、当前转矩、当日发电量、累计可利用率和累计发电量等关键指标；左侧展示温度和寿命信息；中部展示透明机舱剖视模型；右侧展示实时状态码、预警信息和集群对标。该布局参考风电场集中监控系统，使用户能够在一个页面内完成单机状态判断。</w:t>
      </w:r>
    </w:p>
    <w:p>
      <w:pPr>
        <w:spacing w:line="360" w:lineRule="auto" w:after="0"/>
        <w:ind w:firstLine="420"/>
        <w:jc w:val="both"/>
      </w:pPr>
      <w:r>
        <w:rPr>
          <w:rFonts w:ascii="宋体" w:hAnsi="宋体" w:eastAsia="宋体"/>
          <w:b w:val="0"/>
          <w:sz w:val="21"/>
        </w:rPr>
        <w:t>为了增强系统的工程感和交互性，前端对多个页面进行了针对性优化。例如，风场总览卡片中的小风机叶片可旋转，单机指标卡片具有阴影和悬停效果，系统通知支持单条已读，参数设置页面按运行控制、偏航控制、刹车控制、安全设置和4-20mA设置分组展示。这些细节虽然不直接影响算法，但能够提升系统可用性和答辩展示效果。</w:t>
      </w:r>
    </w:p>
    <w:p>
      <w:pPr>
        <w:jc w:val="center"/>
      </w:pPr>
      <w:r>
        <w:rPr>
          <w:rFonts w:ascii="黑体" w:hAnsi="黑体" w:eastAsia="黑体"/>
          <w:b/>
          <w:sz w:val="21"/>
        </w:rPr>
        <w:t>表4.1 系统主要功能模块</w:t>
      </w:r>
    </w:p>
    <w:tbl>
      <w:tblPr>
        <w:tblW w:type="auto" w:w="0"/>
        <w:tblLook w:firstColumn="1" w:firstRow="1" w:lastColumn="0" w:lastRow="0" w:noHBand="0" w:noVBand="1" w:val="04A0"/>
      </w:tblPr>
      <w:tblGrid>
        <w:gridCol w:w="4479"/>
        <w:gridCol w:w="4479"/>
      </w:tblGrid>
      <w:tr>
        <w:tc>
          <w:tcPr>
            <w:tcW w:type="dxa" w:w="4479"/>
            <w:shd w:fill="DCEBFA"/>
            <w:vAlign w:val="center"/>
          </w:tcPr>
          <w:p>
            <w:pPr>
              <w:spacing w:line="288" w:lineRule="auto"/>
              <w:jc w:val="center"/>
            </w:pPr>
            <w:r/>
            <w:r>
              <w:rPr>
                <w:rFonts w:ascii="宋体" w:hAnsi="宋体" w:eastAsia="宋体"/>
                <w:b/>
                <w:sz w:val="19"/>
              </w:rPr>
              <w:t>模块</w:t>
            </w:r>
          </w:p>
        </w:tc>
        <w:tc>
          <w:tcPr>
            <w:tcW w:type="dxa" w:w="4479"/>
            <w:shd w:fill="DCEBFA"/>
            <w:vAlign w:val="center"/>
          </w:tcPr>
          <w:p>
            <w:pPr>
              <w:spacing w:line="288" w:lineRule="auto"/>
              <w:jc w:val="center"/>
            </w:pPr>
            <w:r/>
            <w:r>
              <w:rPr>
                <w:rFonts w:ascii="宋体" w:hAnsi="宋体" w:eastAsia="宋体"/>
                <w:b/>
                <w:sz w:val="19"/>
              </w:rPr>
              <w:t>功能说明</w:t>
            </w:r>
          </w:p>
        </w:tc>
      </w:tr>
      <w:tr>
        <w:tc>
          <w:tcPr>
            <w:tcW w:type="dxa" w:w="4479"/>
            <w:vAlign w:val="center"/>
          </w:tcPr>
          <w:p>
            <w:pPr>
              <w:spacing w:line="288" w:lineRule="auto"/>
              <w:jc w:val="center"/>
            </w:pPr>
            <w:r/>
            <w:r>
              <w:rPr>
                <w:rFonts w:ascii="宋体" w:hAnsi="宋体" w:eastAsia="宋体"/>
                <w:b w:val="0"/>
                <w:sz w:val="19"/>
              </w:rPr>
              <w:t>风场总览</w:t>
            </w:r>
          </w:p>
        </w:tc>
        <w:tc>
          <w:tcPr>
            <w:tcW w:type="dxa" w:w="4479"/>
            <w:vAlign w:val="center"/>
          </w:tcPr>
          <w:p>
            <w:pPr>
              <w:spacing w:line="288" w:lineRule="auto"/>
              <w:jc w:val="left"/>
            </w:pPr>
            <w:r/>
            <w:r>
              <w:rPr>
                <w:rFonts w:ascii="宋体" w:hAnsi="宋体" w:eastAsia="宋体"/>
                <w:b w:val="0"/>
                <w:sz w:val="19"/>
              </w:rPr>
              <w:t>展示多台风机状态、健康评分、功率、风速、油温和小风机动画</w:t>
            </w:r>
          </w:p>
        </w:tc>
      </w:tr>
      <w:tr>
        <w:tc>
          <w:tcPr>
            <w:tcW w:type="dxa" w:w="4479"/>
            <w:vAlign w:val="center"/>
          </w:tcPr>
          <w:p>
            <w:pPr>
              <w:spacing w:line="288" w:lineRule="auto"/>
              <w:jc w:val="center"/>
            </w:pPr>
            <w:r/>
            <w:r>
              <w:rPr>
                <w:rFonts w:ascii="宋体" w:hAnsi="宋体" w:eastAsia="宋体"/>
                <w:b w:val="0"/>
                <w:sz w:val="19"/>
              </w:rPr>
              <w:t>单机详情</w:t>
            </w:r>
          </w:p>
        </w:tc>
        <w:tc>
          <w:tcPr>
            <w:tcW w:type="dxa" w:w="4479"/>
            <w:vAlign w:val="center"/>
          </w:tcPr>
          <w:p>
            <w:pPr>
              <w:spacing w:line="288" w:lineRule="auto"/>
              <w:jc w:val="left"/>
            </w:pPr>
            <w:r/>
            <w:r>
              <w:rPr>
                <w:rFonts w:ascii="宋体" w:hAnsi="宋体" w:eastAsia="宋体"/>
                <w:b w:val="0"/>
                <w:sz w:val="19"/>
              </w:rPr>
              <w:t>展示单台机组实时指标、温度寿命、机舱模型、报警和集群对标</w:t>
            </w:r>
          </w:p>
        </w:tc>
      </w:tr>
      <w:tr>
        <w:tc>
          <w:tcPr>
            <w:tcW w:type="dxa" w:w="4479"/>
            <w:vAlign w:val="center"/>
          </w:tcPr>
          <w:p>
            <w:pPr>
              <w:spacing w:line="288" w:lineRule="auto"/>
              <w:jc w:val="center"/>
            </w:pPr>
            <w:r/>
            <w:r>
              <w:rPr>
                <w:rFonts w:ascii="宋体" w:hAnsi="宋体" w:eastAsia="宋体"/>
                <w:b w:val="0"/>
                <w:sz w:val="19"/>
              </w:rPr>
              <w:t>实时监测</w:t>
            </w:r>
          </w:p>
        </w:tc>
        <w:tc>
          <w:tcPr>
            <w:tcW w:type="dxa" w:w="4479"/>
            <w:vAlign w:val="center"/>
          </w:tcPr>
          <w:p>
            <w:pPr>
              <w:spacing w:line="288" w:lineRule="auto"/>
              <w:jc w:val="left"/>
            </w:pPr>
            <w:r/>
            <w:r>
              <w:rPr>
                <w:rFonts w:ascii="宋体" w:hAnsi="宋体" w:eastAsia="宋体"/>
                <w:b w:val="0"/>
                <w:sz w:val="19"/>
              </w:rPr>
              <w:t>同步当前机组数据，展示SCADA/CMS状态和振动波形</w:t>
            </w:r>
          </w:p>
        </w:tc>
      </w:tr>
      <w:tr>
        <w:tc>
          <w:tcPr>
            <w:tcW w:type="dxa" w:w="4479"/>
            <w:vAlign w:val="center"/>
          </w:tcPr>
          <w:p>
            <w:pPr>
              <w:spacing w:line="288" w:lineRule="auto"/>
              <w:jc w:val="center"/>
            </w:pPr>
            <w:r/>
            <w:r>
              <w:rPr>
                <w:rFonts w:ascii="宋体" w:hAnsi="宋体" w:eastAsia="宋体"/>
                <w:b w:val="0"/>
                <w:sz w:val="19"/>
              </w:rPr>
              <w:t>故障诊断</w:t>
            </w:r>
          </w:p>
        </w:tc>
        <w:tc>
          <w:tcPr>
            <w:tcW w:type="dxa" w:w="4479"/>
            <w:vAlign w:val="center"/>
          </w:tcPr>
          <w:p>
            <w:pPr>
              <w:spacing w:line="288" w:lineRule="auto"/>
              <w:jc w:val="left"/>
            </w:pPr>
            <w:r/>
            <w:r>
              <w:rPr>
                <w:rFonts w:ascii="宋体" w:hAnsi="宋体" w:eastAsia="宋体"/>
                <w:b w:val="0"/>
                <w:sz w:val="19"/>
              </w:rPr>
              <w:t>选择机组并运行诊断，输出故障类型、置信度和建议</w:t>
            </w:r>
          </w:p>
        </w:tc>
      </w:tr>
      <w:tr>
        <w:tc>
          <w:tcPr>
            <w:tcW w:type="dxa" w:w="4479"/>
            <w:vAlign w:val="center"/>
          </w:tcPr>
          <w:p>
            <w:pPr>
              <w:spacing w:line="288" w:lineRule="auto"/>
              <w:jc w:val="center"/>
            </w:pPr>
            <w:r/>
            <w:r>
              <w:rPr>
                <w:rFonts w:ascii="宋体" w:hAnsi="宋体" w:eastAsia="宋体"/>
                <w:b w:val="0"/>
                <w:sz w:val="19"/>
              </w:rPr>
              <w:t>故障数据管理</w:t>
            </w:r>
          </w:p>
        </w:tc>
        <w:tc>
          <w:tcPr>
            <w:tcW w:type="dxa" w:w="4479"/>
            <w:vAlign w:val="center"/>
          </w:tcPr>
          <w:p>
            <w:pPr>
              <w:spacing w:line="288" w:lineRule="auto"/>
              <w:jc w:val="left"/>
            </w:pPr>
            <w:r/>
            <w:r>
              <w:rPr>
                <w:rFonts w:ascii="宋体" w:hAnsi="宋体" w:eastAsia="宋体"/>
                <w:b w:val="0"/>
                <w:sz w:val="19"/>
              </w:rPr>
              <w:t>管理历史故障记录、严重程度、处理状态和导出数据</w:t>
            </w:r>
          </w:p>
        </w:tc>
      </w:tr>
      <w:tr>
        <w:tc>
          <w:tcPr>
            <w:tcW w:type="dxa" w:w="4479"/>
            <w:vAlign w:val="center"/>
          </w:tcPr>
          <w:p>
            <w:pPr>
              <w:spacing w:line="288" w:lineRule="auto"/>
              <w:jc w:val="center"/>
            </w:pPr>
            <w:r/>
            <w:r>
              <w:rPr>
                <w:rFonts w:ascii="宋体" w:hAnsi="宋体" w:eastAsia="宋体"/>
                <w:b w:val="0"/>
                <w:sz w:val="19"/>
              </w:rPr>
              <w:t>健康评估报告</w:t>
            </w:r>
          </w:p>
        </w:tc>
        <w:tc>
          <w:tcPr>
            <w:tcW w:type="dxa" w:w="4479"/>
            <w:vAlign w:val="center"/>
          </w:tcPr>
          <w:p>
            <w:pPr>
              <w:spacing w:line="288" w:lineRule="auto"/>
              <w:jc w:val="left"/>
            </w:pPr>
            <w:r/>
            <w:r>
              <w:rPr>
                <w:rFonts w:ascii="宋体" w:hAnsi="宋体" w:eastAsia="宋体"/>
                <w:b w:val="0"/>
                <w:sz w:val="19"/>
              </w:rPr>
              <w:t>生成健康评分、RUL、复检周期和关键指标报告</w:t>
            </w:r>
          </w:p>
        </w:tc>
      </w:tr>
      <w:tr>
        <w:tc>
          <w:tcPr>
            <w:tcW w:type="dxa" w:w="4479"/>
            <w:vAlign w:val="center"/>
          </w:tcPr>
          <w:p>
            <w:pPr>
              <w:spacing w:line="288" w:lineRule="auto"/>
              <w:jc w:val="center"/>
            </w:pPr>
            <w:r/>
            <w:r>
              <w:rPr>
                <w:rFonts w:ascii="宋体" w:hAnsi="宋体" w:eastAsia="宋体"/>
                <w:b w:val="0"/>
                <w:sz w:val="19"/>
              </w:rPr>
              <w:t>AI专家问答</w:t>
            </w:r>
          </w:p>
        </w:tc>
        <w:tc>
          <w:tcPr>
            <w:tcW w:type="dxa" w:w="4479"/>
            <w:vAlign w:val="center"/>
          </w:tcPr>
          <w:p>
            <w:pPr>
              <w:spacing w:line="288" w:lineRule="auto"/>
              <w:jc w:val="left"/>
            </w:pPr>
            <w:r/>
            <w:r>
              <w:rPr>
                <w:rFonts w:ascii="宋体" w:hAnsi="宋体" w:eastAsia="宋体"/>
                <w:b w:val="0"/>
                <w:sz w:val="19"/>
              </w:rPr>
              <w:t>结合知识库和当前工况回答运维问题</w:t>
            </w:r>
          </w:p>
        </w:tc>
      </w:tr>
      <w:tr>
        <w:tc>
          <w:tcPr>
            <w:tcW w:type="dxa" w:w="4479"/>
            <w:vAlign w:val="center"/>
          </w:tcPr>
          <w:p>
            <w:pPr>
              <w:spacing w:line="288" w:lineRule="auto"/>
              <w:jc w:val="center"/>
            </w:pPr>
            <w:r/>
            <w:r>
              <w:rPr>
                <w:rFonts w:ascii="宋体" w:hAnsi="宋体" w:eastAsia="宋体"/>
                <w:b w:val="0"/>
                <w:sz w:val="19"/>
              </w:rPr>
              <w:t>参数设置</w:t>
            </w:r>
          </w:p>
        </w:tc>
        <w:tc>
          <w:tcPr>
            <w:tcW w:type="dxa" w:w="4479"/>
            <w:vAlign w:val="center"/>
          </w:tcPr>
          <w:p>
            <w:pPr>
              <w:spacing w:line="288" w:lineRule="auto"/>
              <w:jc w:val="left"/>
            </w:pPr>
            <w:r/>
            <w:r>
              <w:rPr>
                <w:rFonts w:ascii="宋体" w:hAnsi="宋体" w:eastAsia="宋体"/>
                <w:b w:val="0"/>
                <w:sz w:val="19"/>
              </w:rPr>
              <w:t>展示运行控制、偏航、刹车、安全和4-20mA参数</w:t>
            </w:r>
          </w:p>
        </w:tc>
      </w:tr>
    </w:tbl>
    <w:p/>
    <w:p>
      <w:pPr>
        <w:spacing w:before="240" w:after="120"/>
      </w:pPr>
      <w:r>
        <w:rPr>
          <w:rFonts w:ascii="黑体" w:hAnsi="黑体" w:eastAsia="黑体"/>
          <w:b/>
          <w:sz w:val="28"/>
        </w:rPr>
        <w:t>4.3 AI专家问答与报告生成</w:t>
      </w:r>
    </w:p>
    <w:p>
      <w:pPr>
        <w:spacing w:line="360" w:lineRule="auto" w:after="0"/>
        <w:ind w:firstLine="420"/>
        <w:jc w:val="both"/>
      </w:pPr>
      <w:r>
        <w:rPr>
          <w:rFonts w:ascii="宋体" w:hAnsi="宋体" w:eastAsia="宋体"/>
          <w:b w:val="0"/>
          <w:sz w:val="21"/>
        </w:rPr>
        <w:t>AI专家问答模块以风电齿轮箱故障知识、系统当前状态和诊断结果为输入，生成面向运维人员的解释性回答。用户可以询问当前健康评分下多久复检、M-IALO-SVR如何用于油温残差预测、齿轮箱常见故障有哪些等问题。系统回答不只给出泛泛解释，还结合当前健康评分、RUL和报警状态给出结论。健康报告模块则面向管理和论文展示场景，输出关键指标、诊断结论、复检周期和工单建议。</w:t>
      </w:r>
    </w:p>
    <w:p>
      <w:pPr>
        <w:spacing w:line="360" w:lineRule="auto" w:after="0"/>
        <w:ind w:firstLine="420"/>
        <w:jc w:val="both"/>
      </w:pPr>
      <w:r>
        <w:rPr>
          <w:rFonts w:ascii="宋体" w:hAnsi="宋体" w:eastAsia="宋体"/>
          <w:b w:val="0"/>
          <w:sz w:val="21"/>
        </w:rPr>
        <w:t>问答模块的设计重点是“有依据地回答”。当用户提出复检周期问题时，系统优先读取健康评分、RUL和复检等级；当用户询问油温残差预测时，系统优先解释M-IALO-SVR模型输入、预测目标和残差判据；当用户询问故障类型时，系统结合知识库列出齿轮、轴承、冷却和润滑相关故障。这样可以避免问答结果脱离当前系统状态。</w:t>
      </w:r>
    </w:p>
    <w:p>
      <w:pPr>
        <w:spacing w:line="360" w:lineRule="auto" w:after="0"/>
        <w:ind w:firstLine="420"/>
        <w:jc w:val="both"/>
      </w:pPr>
      <w:r>
        <w:rPr>
          <w:rFonts w:ascii="宋体" w:hAnsi="宋体" w:eastAsia="宋体"/>
          <w:b w:val="0"/>
          <w:sz w:val="21"/>
        </w:rPr>
        <w:t>健康评估报告则强调简洁和可执行。早期版本中报告内容较多，容易出现与实际运维无关的信息。优化后报告主要保留机组编号、时间范围、油温、振动、功率、健康评分、RUL、复检周期、诊断结论和处理建议，导出内容也只包含与健康评估相关的数据，便于提交给运维负责人或作为论文案例材料。</w:t>
      </w:r>
    </w:p>
    <w:p>
      <w:r>
        <w:br w:type="page"/>
      </w:r>
    </w:p>
    <w:p>
      <w:pPr>
        <w:spacing w:after="240"/>
        <w:jc w:val="center"/>
      </w:pPr>
      <w:r>
        <w:rPr>
          <w:rFonts w:ascii="黑体" w:hAnsi="黑体" w:eastAsia="黑体"/>
          <w:b/>
          <w:sz w:val="32"/>
        </w:rPr>
        <w:t>第5章 系统测试与结果分析</w:t>
      </w:r>
    </w:p>
    <w:p>
      <w:pPr>
        <w:spacing w:before="240" w:after="120"/>
      </w:pPr>
      <w:r>
        <w:rPr>
          <w:rFonts w:ascii="黑体" w:hAnsi="黑体" w:eastAsia="黑体"/>
          <w:b/>
          <w:sz w:val="28"/>
        </w:rPr>
        <w:t>5.1 功能测试</w:t>
      </w:r>
    </w:p>
    <w:p>
      <w:pPr>
        <w:spacing w:line="360" w:lineRule="auto" w:after="0"/>
        <w:ind w:firstLine="420"/>
        <w:jc w:val="both"/>
      </w:pPr>
      <w:r>
        <w:rPr>
          <w:rFonts w:ascii="宋体" w:hAnsi="宋体" w:eastAsia="宋体"/>
          <w:b w:val="0"/>
          <w:sz w:val="21"/>
        </w:rPr>
        <w:t>系统测试主要围绕登录、风场总览、单机详情、实时监测、故障诊断、故障数据管理、健康评估、参数设置和AI问答等模块展开。测试结果表明，系统能够完成页面跳转、数据刷新、机组切换、诊断执行、故障记录展示、报告生成和用户管理等功能。单机详情中的停机、启动、复位、HMI和清空按钮已按运维逻辑优化，停机命令下发后机组保持待机状态，只有启动命令下发后才恢复运行。</w:t>
      </w:r>
    </w:p>
    <w:p>
      <w:pPr>
        <w:spacing w:line="360" w:lineRule="auto" w:after="0"/>
        <w:ind w:firstLine="420"/>
        <w:jc w:val="both"/>
      </w:pPr>
      <w:r>
        <w:rPr>
          <w:rFonts w:ascii="宋体" w:hAnsi="宋体" w:eastAsia="宋体"/>
          <w:b w:val="0"/>
          <w:sz w:val="21"/>
        </w:rPr>
        <w:t>除功能测试外，还对页面一致性进行了检查。实时监测页面的当前机组选择与单机详情保持一致，机组切换后功率、风速、油温、健康评分和故障分析数据同步变化；风场总览和单机详情中的寿命年限统一按20年设计寿命显示；故障数据管理页面对机组编号和严重程度进行了规范化展示。这些测试保证了系统在演示过程中不会出现同一机组数据前后不一致的问题。</w:t>
      </w:r>
    </w:p>
    <w:p>
      <w:pPr>
        <w:jc w:val="center"/>
      </w:pPr>
      <w:r>
        <w:rPr>
          <w:rFonts w:ascii="黑体" w:hAnsi="黑体" w:eastAsia="黑体"/>
          <w:b/>
          <w:sz w:val="21"/>
        </w:rPr>
        <w:t>表5.1 功能测试结果</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测试项</w:t>
            </w:r>
          </w:p>
        </w:tc>
        <w:tc>
          <w:tcPr>
            <w:tcW w:type="dxa" w:w="2986"/>
            <w:shd w:fill="DCEBFA"/>
            <w:vAlign w:val="center"/>
          </w:tcPr>
          <w:p>
            <w:pPr>
              <w:spacing w:line="288" w:lineRule="auto"/>
              <w:jc w:val="center"/>
            </w:pPr>
            <w:r/>
            <w:r>
              <w:rPr>
                <w:rFonts w:ascii="宋体" w:hAnsi="宋体" w:eastAsia="宋体"/>
                <w:b/>
                <w:sz w:val="19"/>
              </w:rPr>
              <w:t>预期结果</w:t>
            </w:r>
          </w:p>
        </w:tc>
        <w:tc>
          <w:tcPr>
            <w:tcW w:type="dxa" w:w="2986"/>
            <w:shd w:fill="DCEBFA"/>
            <w:vAlign w:val="center"/>
          </w:tcPr>
          <w:p>
            <w:pPr>
              <w:spacing w:line="288" w:lineRule="auto"/>
              <w:jc w:val="center"/>
            </w:pPr>
            <w:r/>
            <w:r>
              <w:rPr>
                <w:rFonts w:ascii="宋体" w:hAnsi="宋体" w:eastAsia="宋体"/>
                <w:b/>
                <w:sz w:val="19"/>
              </w:rPr>
              <w:t>测试结论</w:t>
            </w:r>
          </w:p>
        </w:tc>
      </w:tr>
      <w:tr>
        <w:tc>
          <w:tcPr>
            <w:tcW w:type="dxa" w:w="2986"/>
            <w:vAlign w:val="center"/>
          </w:tcPr>
          <w:p>
            <w:pPr>
              <w:spacing w:line="288" w:lineRule="auto"/>
              <w:jc w:val="center"/>
            </w:pPr>
            <w:r/>
            <w:r>
              <w:rPr>
                <w:rFonts w:ascii="宋体" w:hAnsi="宋体" w:eastAsia="宋体"/>
                <w:b w:val="0"/>
                <w:sz w:val="19"/>
              </w:rPr>
              <w:t>登录与权限</w:t>
            </w:r>
          </w:p>
        </w:tc>
        <w:tc>
          <w:tcPr>
            <w:tcW w:type="dxa" w:w="2986"/>
            <w:vAlign w:val="center"/>
          </w:tcPr>
          <w:p>
            <w:pPr>
              <w:spacing w:line="288" w:lineRule="auto"/>
              <w:jc w:val="left"/>
            </w:pPr>
            <w:r/>
            <w:r>
              <w:rPr>
                <w:rFonts w:ascii="宋体" w:hAnsi="宋体" w:eastAsia="宋体"/>
                <w:b w:val="0"/>
                <w:sz w:val="19"/>
              </w:rPr>
              <w:t>管理员能够登录并进入总览页面</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风场总览</w:t>
            </w:r>
          </w:p>
        </w:tc>
        <w:tc>
          <w:tcPr>
            <w:tcW w:type="dxa" w:w="2986"/>
            <w:vAlign w:val="center"/>
          </w:tcPr>
          <w:p>
            <w:pPr>
              <w:spacing w:line="288" w:lineRule="auto"/>
              <w:jc w:val="left"/>
            </w:pPr>
            <w:r/>
            <w:r>
              <w:rPr>
                <w:rFonts w:ascii="宋体" w:hAnsi="宋体" w:eastAsia="宋体"/>
                <w:b w:val="0"/>
                <w:sz w:val="19"/>
              </w:rPr>
              <w:t>显示多机组状态并支持新增机组</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单机详情</w:t>
            </w:r>
          </w:p>
        </w:tc>
        <w:tc>
          <w:tcPr>
            <w:tcW w:type="dxa" w:w="2986"/>
            <w:vAlign w:val="center"/>
          </w:tcPr>
          <w:p>
            <w:pPr>
              <w:spacing w:line="288" w:lineRule="auto"/>
              <w:jc w:val="left"/>
            </w:pPr>
            <w:r/>
            <w:r>
              <w:rPr>
                <w:rFonts w:ascii="宋体" w:hAnsi="宋体" w:eastAsia="宋体"/>
                <w:b w:val="0"/>
                <w:sz w:val="19"/>
              </w:rPr>
              <w:t>切换机组后指标和报警同步变化</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实时监测</w:t>
            </w:r>
          </w:p>
        </w:tc>
        <w:tc>
          <w:tcPr>
            <w:tcW w:type="dxa" w:w="2986"/>
            <w:vAlign w:val="center"/>
          </w:tcPr>
          <w:p>
            <w:pPr>
              <w:spacing w:line="288" w:lineRule="auto"/>
              <w:jc w:val="left"/>
            </w:pPr>
            <w:r/>
            <w:r>
              <w:rPr>
                <w:rFonts w:ascii="宋体" w:hAnsi="宋体" w:eastAsia="宋体"/>
                <w:b w:val="0"/>
                <w:sz w:val="19"/>
              </w:rPr>
              <w:t>当前机组数据与单机详情一致</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故障分析</w:t>
            </w:r>
          </w:p>
        </w:tc>
        <w:tc>
          <w:tcPr>
            <w:tcW w:type="dxa" w:w="2986"/>
            <w:vAlign w:val="center"/>
          </w:tcPr>
          <w:p>
            <w:pPr>
              <w:spacing w:line="288" w:lineRule="auto"/>
              <w:jc w:val="left"/>
            </w:pPr>
            <w:r/>
            <w:r>
              <w:rPr>
                <w:rFonts w:ascii="宋体" w:hAnsi="宋体" w:eastAsia="宋体"/>
                <w:b w:val="0"/>
                <w:sz w:val="19"/>
              </w:rPr>
              <w:t>趋势、类型和严重程度按机组区分</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控制命令</w:t>
            </w:r>
          </w:p>
        </w:tc>
        <w:tc>
          <w:tcPr>
            <w:tcW w:type="dxa" w:w="2986"/>
            <w:vAlign w:val="center"/>
          </w:tcPr>
          <w:p>
            <w:pPr>
              <w:spacing w:line="288" w:lineRule="auto"/>
              <w:jc w:val="left"/>
            </w:pPr>
            <w:r/>
            <w:r>
              <w:rPr>
                <w:rFonts w:ascii="宋体" w:hAnsi="宋体" w:eastAsia="宋体"/>
                <w:b w:val="0"/>
                <w:sz w:val="19"/>
              </w:rPr>
              <w:t>停机保持待机，启动后恢复运行</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健康报告</w:t>
            </w:r>
          </w:p>
        </w:tc>
        <w:tc>
          <w:tcPr>
            <w:tcW w:type="dxa" w:w="2986"/>
            <w:vAlign w:val="center"/>
          </w:tcPr>
          <w:p>
            <w:pPr>
              <w:spacing w:line="288" w:lineRule="auto"/>
              <w:jc w:val="center"/>
            </w:pPr>
            <w:r/>
            <w:r>
              <w:rPr>
                <w:rFonts w:ascii="宋体" w:hAnsi="宋体" w:eastAsia="宋体"/>
                <w:b w:val="0"/>
                <w:sz w:val="19"/>
              </w:rPr>
              <w:t>仅导出关键运维数据</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AI问答</w:t>
            </w:r>
          </w:p>
        </w:tc>
        <w:tc>
          <w:tcPr>
            <w:tcW w:type="dxa" w:w="2986"/>
            <w:vAlign w:val="center"/>
          </w:tcPr>
          <w:p>
            <w:pPr>
              <w:spacing w:line="288" w:lineRule="auto"/>
              <w:jc w:val="left"/>
            </w:pPr>
            <w:r/>
            <w:r>
              <w:rPr>
                <w:rFonts w:ascii="宋体" w:hAnsi="宋体" w:eastAsia="宋体"/>
                <w:b w:val="0"/>
                <w:sz w:val="19"/>
              </w:rPr>
              <w:t>能够结合知识条目和当前工况回答</w:t>
            </w:r>
          </w:p>
        </w:tc>
        <w:tc>
          <w:tcPr>
            <w:tcW w:type="dxa" w:w="2986"/>
            <w:vAlign w:val="center"/>
          </w:tcPr>
          <w:p>
            <w:pPr>
              <w:spacing w:line="288" w:lineRule="auto"/>
              <w:jc w:val="center"/>
            </w:pPr>
            <w:r/>
            <w:r>
              <w:rPr>
                <w:rFonts w:ascii="宋体" w:hAnsi="宋体" w:eastAsia="宋体"/>
                <w:b w:val="0"/>
                <w:sz w:val="19"/>
              </w:rPr>
              <w:t>通过</w:t>
            </w:r>
          </w:p>
        </w:tc>
      </w:tr>
    </w:tbl>
    <w:p/>
    <w:p>
      <w:pPr>
        <w:spacing w:before="240" w:after="120"/>
      </w:pPr>
      <w:r>
        <w:rPr>
          <w:rFonts w:ascii="黑体" w:hAnsi="黑体" w:eastAsia="黑体"/>
          <w:b/>
          <w:sz w:val="28"/>
        </w:rPr>
        <w:t>5.2 数据展示与诊断效果分析</w:t>
      </w:r>
    </w:p>
    <w:p>
      <w:pPr>
        <w:spacing w:line="360" w:lineRule="auto" w:after="0"/>
        <w:ind w:firstLine="420"/>
        <w:jc w:val="both"/>
      </w:pPr>
      <w:r>
        <w:rPr>
          <w:rFonts w:ascii="宋体" w:hAnsi="宋体" w:eastAsia="宋体"/>
          <w:b w:val="0"/>
          <w:sz w:val="21"/>
        </w:rPr>
        <w:t>在模拟数据条件下，系统能够生成不同机组的功率、风速、油温、振动和健康评分差异。以单机详情页面为例，实时有功功率、实时风速、发电机转速、变桨角度、当前转矩、当日发电量和累计可利用率均能够随当前机组变化。故障趋势图、故障类型分布和严重程度分布也能够根据机组编号生成不同结果，避免所有机组共用同一套数据造成的展示失真。</w:t>
      </w:r>
    </w:p>
    <w:p>
      <w:pPr>
        <w:spacing w:line="360" w:lineRule="auto" w:after="0"/>
        <w:ind w:firstLine="420"/>
        <w:jc w:val="both"/>
      </w:pPr>
      <w:r>
        <w:rPr>
          <w:rFonts w:ascii="宋体" w:hAnsi="宋体" w:eastAsia="宋体"/>
          <w:b w:val="0"/>
          <w:sz w:val="21"/>
        </w:rPr>
        <w:t>故障诊断结果能够覆盖齿轮齿面磨损、齿面点蚀/剥落、齿轮断齿、轴承磨损、高速轴承过温、齿轮箱油温过高、润滑油污染、轴系不对中、齿轮啮合异常、基础松动和冷却系统故障等类型。系统根据诊断结果给出严重程度、置信度和维修建议，为后续接入真实故障样本和检修工单提供基础。</w:t>
      </w:r>
    </w:p>
    <w:p>
      <w:pPr>
        <w:spacing w:line="360" w:lineRule="auto" w:after="0"/>
        <w:ind w:firstLine="420"/>
        <w:jc w:val="both"/>
      </w:pPr>
      <w:r>
        <w:rPr>
          <w:rFonts w:ascii="宋体" w:hAnsi="宋体" w:eastAsia="宋体"/>
          <w:b w:val="0"/>
          <w:sz w:val="21"/>
        </w:rPr>
        <w:t>在数据展示方面，系统尽量避免单纯堆砌图表，而是围绕运维判断组织信息。故障类型分布用于判断某台机组主要风险来源；严重程度分布用于判断是否需要立即处置；历史趋势用于观察故障是否集中发生或逐渐增加；集群对标用于判断某台机组是否明显偏离场站平均水平。这些展示方式符合风电场运维人员关注趋势、对比和风险等级的工作习惯。</w:t>
      </w:r>
    </w:p>
    <w:p>
      <w:pPr>
        <w:spacing w:line="360" w:lineRule="auto" w:after="0"/>
        <w:ind w:firstLine="420"/>
        <w:jc w:val="both"/>
      </w:pPr>
      <w:r>
        <w:rPr>
          <w:rFonts w:ascii="宋体" w:hAnsi="宋体" w:eastAsia="宋体"/>
          <w:b w:val="0"/>
          <w:sz w:val="21"/>
        </w:rPr>
        <w:t>在诊断效果分析中，需要注意模拟数据无法完全代表真实现场。模拟数据可以验证系统流程和页面逻辑，但不能替代真实故障样本对模型精度的检验。因此，本文将系统定位为工程原型，后续必须通过真实风场数据对模型进行训练、校准和验证，特别是要结合检修记录确认诊断结果是否与实际故障一致。</w:t>
      </w:r>
    </w:p>
    <w:p>
      <w:pPr>
        <w:spacing w:before="240" w:after="120"/>
      </w:pPr>
      <w:r>
        <w:rPr>
          <w:rFonts w:ascii="黑体" w:hAnsi="黑体" w:eastAsia="黑体"/>
          <w:b/>
          <w:sz w:val="28"/>
        </w:rPr>
        <w:t>5.3 工程应用价值分析</w:t>
      </w:r>
    </w:p>
    <w:p>
      <w:pPr>
        <w:spacing w:line="360" w:lineRule="auto" w:after="0"/>
        <w:ind w:firstLine="420"/>
        <w:jc w:val="both"/>
      </w:pPr>
      <w:r>
        <w:rPr>
          <w:rFonts w:ascii="宋体" w:hAnsi="宋体" w:eastAsia="宋体"/>
          <w:b w:val="0"/>
          <w:sz w:val="21"/>
        </w:rPr>
        <w:t>该系统虽然目前仍以工程原型和模拟数据为主，但整体架构已经接近实际风电运维平台需求。后续接入真实SCADA/PLC/CMS数据后，可进一步验证油温残差模型、健康评分规则和RUL估计效果。系统能够为风电场提供多机组状态看板、单机精细化诊断、故障趋势分析、复检周期建议和报告导出能力，具有一定工程应用价值。</w:t>
      </w:r>
    </w:p>
    <w:p>
      <w:pPr>
        <w:spacing w:line="360" w:lineRule="auto" w:after="0"/>
        <w:ind w:firstLine="420"/>
        <w:jc w:val="both"/>
      </w:pPr>
      <w:r>
        <w:rPr>
          <w:rFonts w:ascii="宋体" w:hAnsi="宋体" w:eastAsia="宋体"/>
          <w:b w:val="0"/>
          <w:sz w:val="21"/>
        </w:rPr>
        <w:t>从现场应用角度看，系统可作为风电场现有监控系统的辅助分析层，而不是替代原有SCADA或PLC系统。它的价值在于把分散数据转化为健康状态、故障风险和运维建议，帮助值班人员快速识别重点机组。对于场站管理人员，系统生成的健康报告和趋势对比结果可用于安排检修计划、备件采购和运行策略调整。</w:t>
      </w:r>
    </w:p>
    <w:p>
      <w:pPr>
        <w:spacing w:line="360" w:lineRule="auto" w:after="0"/>
        <w:ind w:firstLine="420"/>
        <w:jc w:val="both"/>
      </w:pPr>
      <w:r>
        <w:rPr>
          <w:rFonts w:ascii="宋体" w:hAnsi="宋体" w:eastAsia="宋体"/>
          <w:b w:val="0"/>
          <w:sz w:val="21"/>
        </w:rPr>
        <w:t>从研究延展角度看，本系统后续可以继续深化三个方向。第一，接入真实数据并建立标准样本库，提升模型可信度；第二，引入更完善的工单闭环，将诊断结果、现场处理和复测验收关联起来；第三，增强模型可解释性，将油温残差、振动特征和报警码转化为清晰的诊断依据。这些方向能够使毕业设计成果进一步接近工程应用。</w:t>
      </w:r>
    </w:p>
    <w:p>
      <w:r>
        <w:br w:type="page"/>
      </w:r>
    </w:p>
    <w:p>
      <w:pPr>
        <w:spacing w:after="240"/>
        <w:jc w:val="center"/>
      </w:pPr>
      <w:r>
        <w:rPr>
          <w:rFonts w:ascii="黑体" w:hAnsi="黑体" w:eastAsia="黑体"/>
          <w:b/>
          <w:sz w:val="32"/>
        </w:rPr>
        <w:t>结论</w:t>
      </w:r>
    </w:p>
    <w:p>
      <w:pPr>
        <w:spacing w:line="360" w:lineRule="auto" w:after="0"/>
        <w:ind w:firstLine="420"/>
        <w:jc w:val="both"/>
      </w:pPr>
      <w:r>
        <w:rPr>
          <w:rFonts w:ascii="宋体" w:hAnsi="宋体" w:eastAsia="宋体"/>
          <w:b w:val="0"/>
          <w:sz w:val="21"/>
        </w:rPr>
        <w:t>本文围绕华锐SL1500型双馈式风机齿轮箱智能健康管理系统设计与实现开展研究，分析了SL1500型双馈式风机齿轮箱的故障机理和运维需求，设计了多源数据接入方案、油温残差预测方法、故障诊断流程和健康评估规则，并开发了一套基于Web的智能健康管理系统。</w:t>
      </w:r>
    </w:p>
    <w:p>
      <w:pPr>
        <w:spacing w:line="360" w:lineRule="auto" w:after="0"/>
        <w:ind w:firstLine="420"/>
        <w:jc w:val="both"/>
      </w:pPr>
      <w:r>
        <w:rPr>
          <w:rFonts w:ascii="宋体" w:hAnsi="宋体" w:eastAsia="宋体"/>
          <w:b w:val="0"/>
          <w:sz w:val="21"/>
        </w:rPr>
        <w:t>系统实现了风场总览、单机详情、实时监测、故障诊断、故障数据管理、健康评估报告、参数设置、用户管理和AI专家问答等功能。通过模拟数据测试，系统能够展示多机组差异化运行状态，支持故障趋势和分布分析，能够根据健康评分和RUL给出复检周期建议。</w:t>
      </w:r>
    </w:p>
    <w:p>
      <w:pPr>
        <w:spacing w:line="360" w:lineRule="auto" w:after="0"/>
        <w:ind w:firstLine="420"/>
        <w:jc w:val="both"/>
      </w:pPr>
      <w:r>
        <w:rPr>
          <w:rFonts w:ascii="宋体" w:hAnsi="宋体" w:eastAsia="宋体"/>
          <w:b w:val="0"/>
          <w:sz w:val="21"/>
        </w:rPr>
        <w:t>本文的不足在于目前系统仍以模拟数据和规则模型为主，真实风电场数据接入和真实故障样本验证仍需进一步开展。后续研究可重点推进SCADA/PLC/CMS真实数据对接、M-IALO-SVR模型训练验证、诊断结果到检修工单的闭环管理以及更多风机型号的适配。</w:t>
      </w:r>
    </w:p>
    <w:p>
      <w:pPr>
        <w:spacing w:line="360" w:lineRule="auto" w:after="0"/>
        <w:ind w:firstLine="420"/>
        <w:jc w:val="both"/>
      </w:pPr>
      <w:r>
        <w:rPr>
          <w:rFonts w:ascii="宋体" w:hAnsi="宋体" w:eastAsia="宋体"/>
          <w:b w:val="0"/>
          <w:sz w:val="21"/>
        </w:rPr>
        <w:t>总体而言，本文完成了从需求分析、算法设计、系统开发到测试验证的完整过程。系统虽仍处于毕业设计原型阶段，但已经具备继续接入真实数据和开展现场验证的基础。随着真实样本积累和模型不断校准，系统有望进一步提高早期故障识别能力和运维建议的可靠性。</w:t>
      </w:r>
    </w:p>
    <w:p>
      <w:r>
        <w:br w:type="page"/>
      </w:r>
    </w:p>
    <w:p>
      <w:pPr>
        <w:spacing w:after="240"/>
        <w:jc w:val="center"/>
      </w:pPr>
      <w:r>
        <w:rPr>
          <w:rFonts w:ascii="黑体" w:hAnsi="黑体" w:eastAsia="黑体"/>
          <w:b/>
          <w:sz w:val="32"/>
        </w:rPr>
        <w:t>参考文献</w:t>
      </w:r>
    </w:p>
    <w:p>
      <w:pPr>
        <w:spacing w:line="360" w:lineRule="auto" w:after="0"/>
        <w:jc w:val="both"/>
      </w:pPr>
      <w:r>
        <w:rPr>
          <w:rFonts w:ascii="宋体" w:hAnsi="宋体" w:eastAsia="宋体"/>
          <w:b w:val="0"/>
          <w:sz w:val="21"/>
        </w:rPr>
        <w:t>[1] IEC 61400-25. Communications for monitoring and control of wind power plants[S]. International Electrotechnical Commission.</w:t>
      </w:r>
    </w:p>
    <w:p>
      <w:pPr>
        <w:spacing w:line="360" w:lineRule="auto" w:after="0"/>
        <w:jc w:val="both"/>
      </w:pPr>
      <w:r>
        <w:rPr>
          <w:rFonts w:ascii="宋体" w:hAnsi="宋体" w:eastAsia="宋体"/>
          <w:b w:val="0"/>
          <w:sz w:val="21"/>
        </w:rPr>
        <w:t>[2] IEC 61400-1. Wind energy generation systems - Design requirements[S]. International Electrotechnical Commission.</w:t>
      </w:r>
    </w:p>
    <w:p>
      <w:pPr>
        <w:spacing w:line="360" w:lineRule="auto" w:after="0"/>
        <w:jc w:val="both"/>
      </w:pPr>
      <w:r>
        <w:rPr>
          <w:rFonts w:ascii="宋体" w:hAnsi="宋体" w:eastAsia="宋体"/>
          <w:b w:val="0"/>
          <w:sz w:val="21"/>
        </w:rPr>
        <w:t>[3] ISO 20816-1. Mechanical vibration - Measurement and evaluation of machine vibration[S]. International Organization for Standardization.</w:t>
      </w:r>
    </w:p>
    <w:p>
      <w:pPr>
        <w:spacing w:line="360" w:lineRule="auto" w:after="0"/>
        <w:jc w:val="both"/>
      </w:pPr>
      <w:r>
        <w:rPr>
          <w:rFonts w:ascii="宋体" w:hAnsi="宋体" w:eastAsia="宋体"/>
          <w:b w:val="0"/>
          <w:sz w:val="21"/>
        </w:rPr>
        <w:t>[4] GB/T 18451.1 风力发电机组 设计要求[S].</w:t>
      </w:r>
    </w:p>
    <w:p>
      <w:pPr>
        <w:spacing w:line="360" w:lineRule="auto" w:after="0"/>
        <w:jc w:val="both"/>
      </w:pPr>
      <w:r>
        <w:rPr>
          <w:rFonts w:ascii="宋体" w:hAnsi="宋体" w:eastAsia="宋体"/>
          <w:b w:val="0"/>
          <w:sz w:val="21"/>
        </w:rPr>
        <w:t>[5] Vapnik V N. The Nature of Statistical Learning Theory[M]. New York: Springer, 1995.</w:t>
      </w:r>
    </w:p>
    <w:p>
      <w:pPr>
        <w:spacing w:line="360" w:lineRule="auto" w:after="0"/>
        <w:jc w:val="both"/>
      </w:pPr>
      <w:r>
        <w:rPr>
          <w:rFonts w:ascii="宋体" w:hAnsi="宋体" w:eastAsia="宋体"/>
          <w:b w:val="0"/>
          <w:sz w:val="21"/>
        </w:rPr>
        <w:t>[6] Bishop C M. Pattern Recognition and Machine Learning[M]. New York: Springer, 2006.</w:t>
      </w:r>
    </w:p>
    <w:p>
      <w:pPr>
        <w:spacing w:line="360" w:lineRule="auto" w:after="0"/>
        <w:jc w:val="both"/>
      </w:pPr>
      <w:r>
        <w:rPr>
          <w:rFonts w:ascii="宋体" w:hAnsi="宋体" w:eastAsia="宋体"/>
          <w:b w:val="0"/>
          <w:sz w:val="21"/>
        </w:rPr>
        <w:t>[7] Randall R B. Vibration-based Condition Monitoring[M]. Chichester: John Wiley &amp; Sons, 2011.</w:t>
      </w:r>
    </w:p>
    <w:p>
      <w:pPr>
        <w:spacing w:line="360" w:lineRule="auto" w:after="0"/>
        <w:jc w:val="both"/>
      </w:pPr>
      <w:r>
        <w:rPr>
          <w:rFonts w:ascii="宋体" w:hAnsi="宋体" w:eastAsia="宋体"/>
          <w:b w:val="0"/>
          <w:sz w:val="21"/>
        </w:rPr>
        <w:t>[8] Jardine A K S, Lin D, Banjevic D. A review on machinery diagnostics and prognostics implementing condition-based maintenance[J]. Mechanical Systems and Signal Processing, 2006, 20(7): 1483-1510.</w:t>
      </w:r>
    </w:p>
    <w:p>
      <w:pPr>
        <w:spacing w:line="360" w:lineRule="auto" w:after="0"/>
        <w:jc w:val="both"/>
      </w:pPr>
      <w:r>
        <w:rPr>
          <w:rFonts w:ascii="宋体" w:hAnsi="宋体" w:eastAsia="宋体"/>
          <w:b w:val="0"/>
          <w:sz w:val="21"/>
        </w:rPr>
        <w:t>[9] Lei Y, Li N, Guo L, et al. Machinery health prognostics: A systematic review from data acquisition to RUL prediction[J]. Mechanical Systems and Signal Processing, 2018, 104: 799-834.</w:t>
      </w:r>
    </w:p>
    <w:p>
      <w:pPr>
        <w:spacing w:line="360" w:lineRule="auto" w:after="0"/>
        <w:jc w:val="both"/>
      </w:pPr>
      <w:r>
        <w:rPr>
          <w:rFonts w:ascii="宋体" w:hAnsi="宋体" w:eastAsia="宋体"/>
          <w:b w:val="0"/>
          <w:sz w:val="21"/>
        </w:rPr>
        <w:t>[10] Hameed Z, Hong Y S, Cho Y M, et al. Condition monitoring and fault detection of wind turbines and related algorithms: A review[J]. Renewable and Sustainable Energy Reviews, 2009, 13(1): 1-39.</w:t>
      </w:r>
    </w:p>
    <w:p>
      <w:pPr>
        <w:spacing w:line="360" w:lineRule="auto" w:after="0"/>
        <w:jc w:val="both"/>
      </w:pPr>
      <w:r>
        <w:rPr>
          <w:rFonts w:ascii="宋体" w:hAnsi="宋体" w:eastAsia="宋体"/>
          <w:b w:val="0"/>
          <w:sz w:val="21"/>
        </w:rPr>
        <w:t>[11] Kusiak A, Li W. The prediction and diagnosis of wind turbine faults[J]. Renewable Energy, 2011, 36(1): 16-23.</w:t>
      </w:r>
    </w:p>
    <w:p>
      <w:pPr>
        <w:spacing w:line="360" w:lineRule="auto" w:after="0"/>
        <w:jc w:val="both"/>
      </w:pPr>
      <w:r>
        <w:rPr>
          <w:rFonts w:ascii="宋体" w:hAnsi="宋体" w:eastAsia="宋体"/>
          <w:b w:val="0"/>
          <w:sz w:val="21"/>
        </w:rPr>
        <w:t>[12] Qiao W, Lu D. A survey on wind turbine condition monitoring and fault diagnosis - Part I: Components and subsystems[J]. IEEE Transactions on Industrial Electronics, 2015, 62(10): 6536-6545.</w:t>
      </w:r>
    </w:p>
    <w:p>
      <w:r>
        <w:br w:type="page"/>
      </w:r>
    </w:p>
    <w:p>
      <w:pPr>
        <w:spacing w:after="240"/>
        <w:jc w:val="center"/>
      </w:pPr>
      <w:r>
        <w:rPr>
          <w:rFonts w:ascii="黑体" w:hAnsi="黑体" w:eastAsia="黑体"/>
          <w:b/>
          <w:sz w:val="32"/>
        </w:rPr>
        <w:t>致谢</w:t>
      </w:r>
    </w:p>
    <w:p>
      <w:pPr>
        <w:spacing w:line="360" w:lineRule="auto" w:after="0"/>
        <w:ind w:firstLine="420"/>
        <w:jc w:val="both"/>
      </w:pPr>
      <w:r>
        <w:rPr>
          <w:rFonts w:ascii="宋体" w:hAnsi="宋体" w:eastAsia="宋体"/>
          <w:b w:val="0"/>
          <w:sz w:val="21"/>
        </w:rPr>
        <w:t>本毕业设计从选题、需求分析、系统设计到论文撰写，得到了指导教师的悉心指导和同学们的帮助。在系统开发过程中，本人进一步学习了Python Web开发、数据分析、故障诊断、前端可视化和文档写作等知识。感谢指导教师在研究方向、系统功能和论文结构方面提出的宝贵意见，感谢同学在测试和问题反馈中的支持。由于本人水平有限，论文和系统仍存在不足之处，恳请各位老师批评指正。</w:t>
      </w:r>
    </w:p>
    <w:p>
      <w:r>
        <w:br w:type="page"/>
      </w:r>
    </w:p>
    <w:p>
      <w:pPr>
        <w:spacing w:after="240"/>
        <w:jc w:val="center"/>
      </w:pPr>
      <w:r>
        <w:rPr>
          <w:rFonts w:ascii="黑体" w:hAnsi="黑体" w:eastAsia="黑体"/>
          <w:b/>
          <w:sz w:val="32"/>
        </w:rPr>
        <w:t>附录</w:t>
      </w:r>
    </w:p>
    <w:p>
      <w:pPr>
        <w:spacing w:before="240" w:after="120"/>
      </w:pPr>
      <w:r>
        <w:rPr>
          <w:rFonts w:ascii="黑体" w:hAnsi="黑体" w:eastAsia="黑体"/>
          <w:b/>
          <w:sz w:val="28"/>
        </w:rPr>
        <w:t>附录A 系统主要接口</w:t>
      </w:r>
    </w:p>
    <w:p>
      <w:pPr>
        <w:jc w:val="center"/>
      </w:pPr>
      <w:r>
        <w:rPr>
          <w:rFonts w:ascii="黑体" w:hAnsi="黑体" w:eastAsia="黑体"/>
          <w:b/>
          <w:sz w:val="21"/>
        </w:rPr>
        <w:t>表A.1 后端主要接口</w:t>
      </w:r>
    </w:p>
    <w:tbl>
      <w:tblPr>
        <w:tblW w:type="auto" w:w="0"/>
        <w:tblLook w:firstColumn="1" w:firstRow="1" w:lastColumn="0" w:lastRow="0" w:noHBand="0" w:noVBand="1" w:val="04A0"/>
      </w:tblPr>
      <w:tblGrid>
        <w:gridCol w:w="4479"/>
        <w:gridCol w:w="4479"/>
      </w:tblGrid>
      <w:tr>
        <w:tc>
          <w:tcPr>
            <w:tcW w:type="dxa" w:w="4479"/>
            <w:shd w:fill="DCEBFA"/>
            <w:vAlign w:val="center"/>
          </w:tcPr>
          <w:p>
            <w:pPr>
              <w:spacing w:line="288" w:lineRule="auto"/>
              <w:jc w:val="center"/>
            </w:pPr>
            <w:r/>
            <w:r>
              <w:rPr>
                <w:rFonts w:ascii="宋体" w:hAnsi="宋体" w:eastAsia="宋体"/>
                <w:b/>
                <w:sz w:val="19"/>
              </w:rPr>
              <w:t>接口</w:t>
            </w:r>
          </w:p>
        </w:tc>
        <w:tc>
          <w:tcPr>
            <w:tcW w:type="dxa" w:w="4479"/>
            <w:shd w:fill="DCEBFA"/>
            <w:vAlign w:val="center"/>
          </w:tcPr>
          <w:p>
            <w:pPr>
              <w:spacing w:line="288" w:lineRule="auto"/>
              <w:jc w:val="center"/>
            </w:pPr>
            <w:r/>
            <w:r>
              <w:rPr>
                <w:rFonts w:ascii="宋体" w:hAnsi="宋体" w:eastAsia="宋体"/>
                <w:b/>
                <w:sz w:val="19"/>
              </w:rPr>
              <w:t>功能</w:t>
            </w:r>
          </w:p>
        </w:tc>
      </w:tr>
      <w:tr>
        <w:tc>
          <w:tcPr>
            <w:tcW w:type="dxa" w:w="4479"/>
            <w:vAlign w:val="center"/>
          </w:tcPr>
          <w:p>
            <w:pPr>
              <w:spacing w:line="288" w:lineRule="auto"/>
              <w:jc w:val="left"/>
            </w:pPr>
            <w:r/>
            <w:r>
              <w:rPr>
                <w:rFonts w:ascii="宋体" w:hAnsi="宋体" w:eastAsia="宋体"/>
                <w:b w:val="0"/>
                <w:sz w:val="19"/>
              </w:rPr>
              <w:t>/api/data/status</w:t>
            </w:r>
          </w:p>
        </w:tc>
        <w:tc>
          <w:tcPr>
            <w:tcW w:type="dxa" w:w="4479"/>
            <w:vAlign w:val="center"/>
          </w:tcPr>
          <w:p>
            <w:pPr>
              <w:spacing w:line="288" w:lineRule="auto"/>
              <w:jc w:val="left"/>
            </w:pPr>
            <w:r/>
            <w:r>
              <w:rPr>
                <w:rFonts w:ascii="宋体" w:hAnsi="宋体" w:eastAsia="宋体"/>
                <w:b w:val="0"/>
                <w:sz w:val="19"/>
              </w:rPr>
              <w:t>获取实时运行状态和数据质量</w:t>
            </w:r>
          </w:p>
        </w:tc>
      </w:tr>
      <w:tr>
        <w:tc>
          <w:tcPr>
            <w:tcW w:type="dxa" w:w="4479"/>
            <w:vAlign w:val="center"/>
          </w:tcPr>
          <w:p>
            <w:pPr>
              <w:spacing w:line="288" w:lineRule="auto"/>
              <w:jc w:val="left"/>
            </w:pPr>
            <w:r/>
            <w:r>
              <w:rPr>
                <w:rFonts w:ascii="宋体" w:hAnsi="宋体" w:eastAsia="宋体"/>
                <w:b w:val="0"/>
                <w:sz w:val="19"/>
              </w:rPr>
              <w:t>/api/data/vibration</w:t>
            </w:r>
          </w:p>
        </w:tc>
        <w:tc>
          <w:tcPr>
            <w:tcW w:type="dxa" w:w="4479"/>
            <w:vAlign w:val="center"/>
          </w:tcPr>
          <w:p>
            <w:pPr>
              <w:spacing w:line="288" w:lineRule="auto"/>
              <w:jc w:val="center"/>
            </w:pPr>
            <w:r/>
            <w:r>
              <w:rPr>
                <w:rFonts w:ascii="宋体" w:hAnsi="宋体" w:eastAsia="宋体"/>
                <w:b w:val="0"/>
                <w:sz w:val="19"/>
              </w:rPr>
              <w:t>获取振动波形和包络数据</w:t>
            </w:r>
          </w:p>
        </w:tc>
      </w:tr>
      <w:tr>
        <w:tc>
          <w:tcPr>
            <w:tcW w:type="dxa" w:w="4479"/>
            <w:vAlign w:val="center"/>
          </w:tcPr>
          <w:p>
            <w:pPr>
              <w:spacing w:line="288" w:lineRule="auto"/>
              <w:jc w:val="left"/>
            </w:pPr>
            <w:r/>
            <w:r>
              <w:rPr>
                <w:rFonts w:ascii="宋体" w:hAnsi="宋体" w:eastAsia="宋体"/>
                <w:b w:val="0"/>
                <w:sz w:val="19"/>
              </w:rPr>
              <w:t>/api/data/diagnosis</w:t>
            </w:r>
          </w:p>
        </w:tc>
        <w:tc>
          <w:tcPr>
            <w:tcW w:type="dxa" w:w="4479"/>
            <w:vAlign w:val="center"/>
          </w:tcPr>
          <w:p>
            <w:pPr>
              <w:spacing w:line="288" w:lineRule="auto"/>
              <w:jc w:val="center"/>
            </w:pPr>
            <w:r/>
            <w:r>
              <w:rPr>
                <w:rFonts w:ascii="宋体" w:hAnsi="宋体" w:eastAsia="宋体"/>
                <w:b w:val="0"/>
                <w:sz w:val="19"/>
              </w:rPr>
              <w:t>执行故障诊断</w:t>
            </w:r>
          </w:p>
        </w:tc>
      </w:tr>
      <w:tr>
        <w:tc>
          <w:tcPr>
            <w:tcW w:type="dxa" w:w="4479"/>
            <w:vAlign w:val="center"/>
          </w:tcPr>
          <w:p>
            <w:pPr>
              <w:spacing w:line="288" w:lineRule="auto"/>
              <w:jc w:val="left"/>
            </w:pPr>
            <w:r/>
            <w:r>
              <w:rPr>
                <w:rFonts w:ascii="宋体" w:hAnsi="宋体" w:eastAsia="宋体"/>
                <w:b w:val="0"/>
                <w:sz w:val="19"/>
              </w:rPr>
              <w:t>/api/data/trend</w:t>
            </w:r>
          </w:p>
        </w:tc>
        <w:tc>
          <w:tcPr>
            <w:tcW w:type="dxa" w:w="4479"/>
            <w:vAlign w:val="center"/>
          </w:tcPr>
          <w:p>
            <w:pPr>
              <w:spacing w:line="288" w:lineRule="auto"/>
              <w:jc w:val="center"/>
            </w:pPr>
            <w:r/>
            <w:r>
              <w:rPr>
                <w:rFonts w:ascii="宋体" w:hAnsi="宋体" w:eastAsia="宋体"/>
                <w:b w:val="0"/>
                <w:sz w:val="19"/>
              </w:rPr>
              <w:t>获取故障趋势和分布统计</w:t>
            </w:r>
          </w:p>
        </w:tc>
      </w:tr>
      <w:tr>
        <w:tc>
          <w:tcPr>
            <w:tcW w:type="dxa" w:w="4479"/>
            <w:vAlign w:val="center"/>
          </w:tcPr>
          <w:p>
            <w:pPr>
              <w:spacing w:line="288" w:lineRule="auto"/>
              <w:jc w:val="left"/>
            </w:pPr>
            <w:r/>
            <w:r>
              <w:rPr>
                <w:rFonts w:ascii="宋体" w:hAnsi="宋体" w:eastAsia="宋体"/>
                <w:b w:val="0"/>
                <w:sz w:val="19"/>
              </w:rPr>
              <w:t>/api/windfarm/overview</w:t>
            </w:r>
          </w:p>
        </w:tc>
        <w:tc>
          <w:tcPr>
            <w:tcW w:type="dxa" w:w="4479"/>
            <w:vAlign w:val="center"/>
          </w:tcPr>
          <w:p>
            <w:pPr>
              <w:spacing w:line="288" w:lineRule="auto"/>
              <w:jc w:val="center"/>
            </w:pPr>
            <w:r/>
            <w:r>
              <w:rPr>
                <w:rFonts w:ascii="宋体" w:hAnsi="宋体" w:eastAsia="宋体"/>
                <w:b w:val="0"/>
                <w:sz w:val="19"/>
              </w:rPr>
              <w:t>获取风场总览数据</w:t>
            </w:r>
          </w:p>
        </w:tc>
      </w:tr>
      <w:tr>
        <w:tc>
          <w:tcPr>
            <w:tcW w:type="dxa" w:w="4479"/>
            <w:vAlign w:val="center"/>
          </w:tcPr>
          <w:p>
            <w:pPr>
              <w:spacing w:line="288" w:lineRule="auto"/>
              <w:jc w:val="left"/>
            </w:pPr>
            <w:r/>
            <w:r>
              <w:rPr>
                <w:rFonts w:ascii="宋体" w:hAnsi="宋体" w:eastAsia="宋体"/>
                <w:b w:val="0"/>
                <w:sz w:val="19"/>
              </w:rPr>
              <w:t>/api/windfarm/turbine/&lt;unit_id&gt;</w:t>
            </w:r>
          </w:p>
        </w:tc>
        <w:tc>
          <w:tcPr>
            <w:tcW w:type="dxa" w:w="4479"/>
            <w:vAlign w:val="center"/>
          </w:tcPr>
          <w:p>
            <w:pPr>
              <w:spacing w:line="288" w:lineRule="auto"/>
              <w:jc w:val="center"/>
            </w:pPr>
            <w:r/>
            <w:r>
              <w:rPr>
                <w:rFonts w:ascii="宋体" w:hAnsi="宋体" w:eastAsia="宋体"/>
                <w:b w:val="0"/>
                <w:sz w:val="19"/>
              </w:rPr>
              <w:t>获取单机详情数据</w:t>
            </w:r>
          </w:p>
        </w:tc>
      </w:tr>
      <w:tr>
        <w:tc>
          <w:tcPr>
            <w:tcW w:type="dxa" w:w="4479"/>
            <w:vAlign w:val="center"/>
          </w:tcPr>
          <w:p>
            <w:pPr>
              <w:spacing w:line="288" w:lineRule="auto"/>
              <w:jc w:val="left"/>
            </w:pPr>
            <w:r/>
            <w:r>
              <w:rPr>
                <w:rFonts w:ascii="宋体" w:hAnsi="宋体" w:eastAsia="宋体"/>
                <w:b w:val="0"/>
                <w:sz w:val="19"/>
              </w:rPr>
              <w:t>/api/report/generate</w:t>
            </w:r>
          </w:p>
        </w:tc>
        <w:tc>
          <w:tcPr>
            <w:tcW w:type="dxa" w:w="4479"/>
            <w:vAlign w:val="center"/>
          </w:tcPr>
          <w:p>
            <w:pPr>
              <w:spacing w:line="288" w:lineRule="auto"/>
              <w:jc w:val="center"/>
            </w:pPr>
            <w:r/>
            <w:r>
              <w:rPr>
                <w:rFonts w:ascii="宋体" w:hAnsi="宋体" w:eastAsia="宋体"/>
                <w:b w:val="0"/>
                <w:sz w:val="19"/>
              </w:rPr>
              <w:t>生成健康评估报告</w:t>
            </w:r>
          </w:p>
        </w:tc>
      </w:tr>
      <w:tr>
        <w:tc>
          <w:tcPr>
            <w:tcW w:type="dxa" w:w="4479"/>
            <w:vAlign w:val="center"/>
          </w:tcPr>
          <w:p>
            <w:pPr>
              <w:spacing w:line="288" w:lineRule="auto"/>
              <w:jc w:val="center"/>
            </w:pPr>
            <w:r/>
            <w:r>
              <w:rPr>
                <w:rFonts w:ascii="宋体" w:hAnsi="宋体" w:eastAsia="宋体"/>
                <w:b w:val="0"/>
                <w:sz w:val="19"/>
              </w:rPr>
              <w:t>/api/qa/ask</w:t>
            </w:r>
          </w:p>
        </w:tc>
        <w:tc>
          <w:tcPr>
            <w:tcW w:type="dxa" w:w="4479"/>
            <w:vAlign w:val="center"/>
          </w:tcPr>
          <w:p>
            <w:pPr>
              <w:spacing w:line="288" w:lineRule="auto"/>
              <w:jc w:val="center"/>
            </w:pPr>
            <w:r/>
            <w:r>
              <w:rPr>
                <w:rFonts w:ascii="宋体" w:hAnsi="宋体" w:eastAsia="宋体"/>
                <w:b w:val="0"/>
                <w:sz w:val="19"/>
              </w:rPr>
              <w:t>执行AI专家问答</w:t>
            </w:r>
          </w:p>
        </w:tc>
      </w:tr>
    </w:tbl>
    <w:p/>
    <w:p>
      <w:pPr>
        <w:spacing w:before="240" w:after="120"/>
      </w:pPr>
      <w:r>
        <w:rPr>
          <w:rFonts w:ascii="黑体" w:hAnsi="黑体" w:eastAsia="黑体"/>
          <w:b/>
          <w:sz w:val="28"/>
        </w:rPr>
        <w:t>附录B 风电场数据对接字段建议</w:t>
      </w:r>
    </w:p>
    <w:p>
      <w:pPr>
        <w:spacing w:line="360" w:lineRule="auto" w:after="0"/>
        <w:ind w:firstLine="420"/>
        <w:jc w:val="both"/>
      </w:pPr>
      <w:r>
        <w:rPr>
          <w:rFonts w:ascii="宋体" w:hAnsi="宋体" w:eastAsia="宋体"/>
          <w:b w:val="0"/>
          <w:sz w:val="21"/>
        </w:rPr>
        <w:t>建议风电场提供机组编号、时间戳、运行状态、有功功率、风速、发电机转速、变桨角、偏航角、齿轮箱油温、高速轴承温度、振动RMS、油液NAS等级、报警码、停机原因和检修记录等字段。所有字段应明确单位、采样周期、数据来源和缺失值表示方式。</w:t>
      </w:r>
    </w:p>
    <w:p>
      <w:pPr>
        <w:spacing w:line="360" w:lineRule="auto" w:after="0"/>
        <w:ind w:firstLine="420"/>
        <w:jc w:val="both"/>
      </w:pPr>
      <w:r>
        <w:rPr>
          <w:rFonts w:ascii="宋体" w:hAnsi="宋体" w:eastAsia="宋体"/>
          <w:b w:val="0"/>
          <w:sz w:val="21"/>
        </w:rPr>
        <w:t>在正式接入前，应先选择少量机组进行试采集和字段核对，确认数据稳定后再扩展到全场机组。</w:t>
      </w:r>
    </w:p>
    <w:sectPr w:rsidR="00953C75" w:rsidRPr="00034B39">
      <w:pgSz w:w="11906" w:h="16838"/>
      <w:pgMar w:top="1417" w:right="1417" w:bottom="1247" w:left="1531" w:header="851" w:footer="992" w:gutter="284"/>
      <w:pgNumType w:chapStyle="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54F73C" w14:textId="77777777" w:rsidR="00D27BA2" w:rsidRDefault="00D27BA2" w:rsidP="00B60C36">
      <w:r>
        <w:separator/>
      </w:r>
    </w:p>
  </w:endnote>
  <w:endnote w:type="continuationSeparator" w:id="0">
    <w:p w14:paraId="494F5F97" w14:textId="77777777" w:rsidR="00D27BA2" w:rsidRDefault="00D27BA2" w:rsidP="00B60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ADA4EA" w14:textId="77777777" w:rsidR="00F0400B" w:rsidRDefault="00F0400B">
    <w:pPr>
      <w:pStyle w:val="a5"/>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375129"/>
    </w:sdtPr>
    <w:sdtEndPr/>
    <w:sdtContent>
      <w:p w14:paraId="5F484159" w14:textId="2A402279" w:rsidR="00034B39" w:rsidRDefault="00034B39">
        <w:pPr>
          <w:pStyle w:val="a5"/>
          <w:ind w:firstLine="360"/>
          <w:jc w:val="center"/>
        </w:pPr>
        <w:r>
          <w:fldChar w:fldCharType="begin"/>
        </w:r>
        <w:r>
          <w:instrText>PAGE   \* MERGEFORMAT</w:instrText>
        </w:r>
        <w:r>
          <w:fldChar w:fldCharType="separate"/>
        </w:r>
        <w:r w:rsidR="00BC48B8">
          <w:rPr>
            <w:noProof/>
          </w:rPr>
          <w:t>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7759894"/>
    </w:sdtPr>
    <w:sdtEndPr/>
    <w:sdtContent>
      <w:p w14:paraId="2A3656CA" w14:textId="2126DF3C" w:rsidR="00034B39" w:rsidRDefault="00034B39">
        <w:pPr>
          <w:pStyle w:val="a5"/>
          <w:ind w:firstLine="360"/>
          <w:jc w:val="center"/>
        </w:pPr>
        <w:r>
          <w:fldChar w:fldCharType="begin"/>
        </w:r>
        <w:r>
          <w:instrText>PAGE   \* MERGEFORMAT</w:instrText>
        </w:r>
        <w:r>
          <w:fldChar w:fldCharType="separate"/>
        </w:r>
        <w:r w:rsidR="00BC48B8" w:rsidRPr="00BC48B8">
          <w:rPr>
            <w:noProof/>
            <w:lang w:val="zh-CN"/>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A7EF98" w14:textId="77777777" w:rsidR="00D27BA2" w:rsidRDefault="00D27BA2" w:rsidP="00B60C36">
      <w:r>
        <w:separator/>
      </w:r>
    </w:p>
  </w:footnote>
  <w:footnote w:type="continuationSeparator" w:id="0">
    <w:p w14:paraId="76B50CC5" w14:textId="77777777" w:rsidR="00D27BA2" w:rsidRDefault="00D27BA2" w:rsidP="00B60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56D437" w14:textId="77777777" w:rsidR="00F0400B" w:rsidRDefault="00F0400B">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2E6CB" w14:textId="760DBF56" w:rsidR="00034B39" w:rsidRDefault="00F8443B" w:rsidP="00BC0BBC">
    <w:pPr>
      <w:pStyle w:val="a3"/>
      <w:rPr>
        <w:sz w:val="21"/>
        <w:szCs w:val="21"/>
      </w:rPr>
    </w:pPr>
    <w:r>
      <w:rPr>
        <w:rFonts w:hint="eastAsia"/>
        <w:sz w:val="21"/>
        <w:szCs w:val="21"/>
      </w:rPr>
      <w:t>河北建筑工程学院学士</w:t>
    </w:r>
    <w:r w:rsidR="00F127AF">
      <w:rPr>
        <w:rFonts w:hint="eastAsia"/>
        <w:sz w:val="21"/>
        <w:szCs w:val="21"/>
      </w:rPr>
      <w:t>学位</w:t>
    </w:r>
    <w:r>
      <w:rPr>
        <w:rFonts w:hint="eastAsia"/>
        <w:sz w:val="21"/>
        <w:szCs w:val="21"/>
      </w:rPr>
      <w:t>毕业</w:t>
    </w:r>
    <w:r w:rsidR="007444F6">
      <w:rPr>
        <w:rFonts w:hint="eastAsia"/>
        <w:sz w:val="21"/>
        <w:szCs w:val="21"/>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84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86402EC"/>
  <w15:docId w15:val="{5A6205B8-80D6-4451-8A96-E04444194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0C36"/>
    <w:pPr>
      <w:widowControl w:val="0"/>
      <w:jc w:val="both"/>
    </w:pPr>
    <w:rPr>
      <w:rFonts w:ascii="宋体" w:eastAsia="宋体" w:hAnsi="宋体" w:cs="Times New Roman"/>
      <w:sz w:val="21"/>
      <w:szCs w:val="24"/>
    </w:rPr>
  </w:style>
  <w:style w:type="paragraph" w:styleId="1">
    <w:name w:val="heading 1"/>
    <w:basedOn w:val="a"/>
    <w:next w:val="a"/>
    <w:link w:val="10"/>
    <w:qFormat/>
    <w:rsid w:val="00953C75"/>
    <w:pPr>
      <w:keepNext/>
      <w:keepLines/>
      <w:spacing w:before="800" w:after="400" w:line="400" w:lineRule="exact"/>
      <w:jc w:val="center"/>
      <w:outlineLvl w:val="0"/>
    </w:pPr>
    <w:rPr>
      <w:rFonts w:ascii="黑体" w:eastAsia="黑体" w:hAnsi="宋体"/>
      <w:sz w:val="30"/>
      <w:szCs w:val="20"/>
    </w:rPr>
  </w:style>
  <w:style w:type="paragraph" w:styleId="2">
    <w:name w:val="heading 2"/>
    <w:basedOn w:val="a"/>
    <w:next w:val="a"/>
    <w:link w:val="20"/>
    <w:qFormat/>
    <w:rsid w:val="00953C75"/>
    <w:pPr>
      <w:keepNext/>
      <w:keepLines/>
      <w:spacing w:before="480" w:after="120" w:line="400" w:lineRule="exact"/>
      <w:outlineLvl w:val="1"/>
    </w:pPr>
    <w:rPr>
      <w:rFonts w:ascii="黑体" w:eastAsia="黑体" w:hAnsi="黑体"/>
      <w:sz w:val="28"/>
      <w:szCs w:val="20"/>
    </w:rPr>
  </w:style>
  <w:style w:type="paragraph" w:styleId="3">
    <w:name w:val="heading 3"/>
    <w:basedOn w:val="a"/>
    <w:next w:val="a"/>
    <w:link w:val="30"/>
    <w:qFormat/>
    <w:rsid w:val="00953C75"/>
    <w:pPr>
      <w:keepNext/>
      <w:keepLines/>
      <w:spacing w:before="240" w:after="120" w:line="400" w:lineRule="exact"/>
      <w:outlineLvl w:val="2"/>
    </w:pPr>
    <w:rPr>
      <w:rFonts w:ascii="黑体" w:eastAsia="黑体" w:hAnsi="黑体"/>
      <w:sz w:val="26"/>
      <w:szCs w:val="20"/>
    </w:rPr>
  </w:style>
  <w:style w:type="paragraph" w:styleId="5">
    <w:name w:val="heading 5"/>
    <w:basedOn w:val="a"/>
    <w:next w:val="a"/>
    <w:link w:val="50"/>
    <w:qFormat/>
    <w:rsid w:val="00953C75"/>
    <w:pPr>
      <w:keepNext/>
      <w:spacing w:before="120" w:after="240"/>
      <w:jc w:val="center"/>
      <w:outlineLvl w:val="4"/>
    </w:pPr>
    <w:rPr>
      <w:rFonts w:ascii="黑体" w:eastAsia="黑体" w:hAnsi="黑体"/>
      <w:sz w:val="22"/>
      <w:szCs w:val="20"/>
    </w:rPr>
  </w:style>
  <w:style w:type="paragraph" w:styleId="6">
    <w:name w:val="heading 6"/>
    <w:basedOn w:val="a"/>
    <w:next w:val="a"/>
    <w:link w:val="60"/>
    <w:uiPriority w:val="9"/>
    <w:unhideWhenUsed/>
    <w:qFormat/>
    <w:rsid w:val="00953C75"/>
    <w:pPr>
      <w:keepNext/>
      <w:keepLines/>
      <w:widowControl/>
      <w:spacing w:before="120" w:after="240"/>
      <w:jc w:val="center"/>
      <w:outlineLvl w:val="5"/>
    </w:pPr>
    <w:rPr>
      <w:rFonts w:eastAsiaTheme="minorEastAsia" w:cstheme="majorBidi"/>
      <w:bCs/>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B60C3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qFormat/>
    <w:rsid w:val="00B60C36"/>
    <w:rPr>
      <w:sz w:val="18"/>
      <w:szCs w:val="18"/>
    </w:rPr>
  </w:style>
  <w:style w:type="paragraph" w:styleId="a5">
    <w:name w:val="footer"/>
    <w:basedOn w:val="a"/>
    <w:link w:val="a6"/>
    <w:uiPriority w:val="99"/>
    <w:unhideWhenUsed/>
    <w:qFormat/>
    <w:rsid w:val="00B60C3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qFormat/>
    <w:rsid w:val="00B60C36"/>
    <w:rPr>
      <w:sz w:val="18"/>
      <w:szCs w:val="18"/>
    </w:rPr>
  </w:style>
  <w:style w:type="paragraph" w:styleId="a7">
    <w:name w:val="Balloon Text"/>
    <w:basedOn w:val="a"/>
    <w:link w:val="a8"/>
    <w:uiPriority w:val="99"/>
    <w:semiHidden/>
    <w:unhideWhenUsed/>
    <w:rsid w:val="00B60C36"/>
    <w:rPr>
      <w:sz w:val="18"/>
      <w:szCs w:val="18"/>
    </w:rPr>
  </w:style>
  <w:style w:type="character" w:customStyle="1" w:styleId="a8">
    <w:name w:val="批注框文本 字符"/>
    <w:basedOn w:val="a0"/>
    <w:link w:val="a7"/>
    <w:uiPriority w:val="99"/>
    <w:semiHidden/>
    <w:rsid w:val="00B60C36"/>
    <w:rPr>
      <w:rFonts w:ascii="Times New Roman" w:eastAsia="宋体" w:hAnsi="Times New Roman" w:cs="Times New Roman"/>
      <w:sz w:val="18"/>
      <w:szCs w:val="18"/>
    </w:rPr>
  </w:style>
  <w:style w:type="character" w:customStyle="1" w:styleId="10">
    <w:name w:val="标题 1 字符"/>
    <w:basedOn w:val="a0"/>
    <w:link w:val="1"/>
    <w:qFormat/>
    <w:rsid w:val="00953C75"/>
    <w:rPr>
      <w:rFonts w:ascii="黑体" w:eastAsia="黑体" w:hAnsi="宋体" w:cs="Times New Roman"/>
      <w:sz w:val="30"/>
      <w:szCs w:val="20"/>
    </w:rPr>
  </w:style>
  <w:style w:type="character" w:customStyle="1" w:styleId="20">
    <w:name w:val="标题 2 字符"/>
    <w:basedOn w:val="a0"/>
    <w:link w:val="2"/>
    <w:qFormat/>
    <w:rsid w:val="00953C75"/>
    <w:rPr>
      <w:rFonts w:ascii="黑体" w:eastAsia="黑体" w:hAnsi="黑体" w:cs="Times New Roman"/>
      <w:sz w:val="28"/>
      <w:szCs w:val="20"/>
    </w:rPr>
  </w:style>
  <w:style w:type="character" w:customStyle="1" w:styleId="30">
    <w:name w:val="标题 3 字符"/>
    <w:basedOn w:val="a0"/>
    <w:link w:val="3"/>
    <w:qFormat/>
    <w:rsid w:val="00953C75"/>
    <w:rPr>
      <w:rFonts w:ascii="黑体" w:eastAsia="黑体" w:hAnsi="黑体" w:cs="Times New Roman"/>
      <w:sz w:val="26"/>
      <w:szCs w:val="20"/>
    </w:rPr>
  </w:style>
  <w:style w:type="character" w:customStyle="1" w:styleId="50">
    <w:name w:val="标题 5 字符"/>
    <w:basedOn w:val="a0"/>
    <w:link w:val="5"/>
    <w:qFormat/>
    <w:rsid w:val="00953C75"/>
    <w:rPr>
      <w:rFonts w:ascii="黑体" w:eastAsia="黑体" w:hAnsi="黑体" w:cs="Times New Roman"/>
      <w:sz w:val="22"/>
      <w:szCs w:val="20"/>
    </w:rPr>
  </w:style>
  <w:style w:type="character" w:customStyle="1" w:styleId="60">
    <w:name w:val="标题 6 字符"/>
    <w:basedOn w:val="a0"/>
    <w:link w:val="6"/>
    <w:uiPriority w:val="9"/>
    <w:qFormat/>
    <w:rsid w:val="00953C75"/>
    <w:rPr>
      <w:rFonts w:ascii="Times New Roman" w:hAnsi="Times New Roman" w:cstheme="majorBidi"/>
      <w:bCs/>
      <w:kern w:val="0"/>
      <w:sz w:val="22"/>
      <w:szCs w:val="24"/>
    </w:rPr>
  </w:style>
  <w:style w:type="paragraph" w:styleId="a9">
    <w:name w:val="caption"/>
    <w:basedOn w:val="a"/>
    <w:next w:val="a"/>
    <w:qFormat/>
    <w:rsid w:val="00953C75"/>
    <w:pPr>
      <w:spacing w:before="60" w:after="60" w:line="400" w:lineRule="exact"/>
    </w:pPr>
    <w:rPr>
      <w:rFonts w:eastAsiaTheme="minorEastAsia"/>
      <w:szCs w:val="20"/>
    </w:rPr>
  </w:style>
  <w:style w:type="paragraph" w:styleId="aa">
    <w:name w:val="Quote"/>
    <w:basedOn w:val="a"/>
    <w:next w:val="a"/>
    <w:link w:val="ab"/>
    <w:uiPriority w:val="29"/>
    <w:qFormat/>
    <w:rsid w:val="00953C75"/>
    <w:pPr>
      <w:widowControl/>
      <w:spacing w:before="60" w:line="320" w:lineRule="exact"/>
    </w:pPr>
    <w:rPr>
      <w:rFonts w:eastAsiaTheme="minorEastAsia"/>
      <w:iCs/>
      <w:color w:val="000000" w:themeColor="text1"/>
      <w:kern w:val="0"/>
      <w:szCs w:val="22"/>
    </w:rPr>
  </w:style>
  <w:style w:type="character" w:customStyle="1" w:styleId="ab">
    <w:name w:val="引用 字符"/>
    <w:basedOn w:val="a0"/>
    <w:link w:val="aa"/>
    <w:uiPriority w:val="29"/>
    <w:qFormat/>
    <w:rsid w:val="00953C75"/>
    <w:rPr>
      <w:rFonts w:ascii="Times New Roman" w:hAnsi="Times New Roman" w:cs="Times New Roman"/>
      <w:iCs/>
      <w:color w:val="000000" w:themeColor="text1"/>
      <w:kern w:val="0"/>
    </w:rPr>
  </w:style>
  <w:style w:type="paragraph" w:styleId="ac">
    <w:name w:val="List Paragraph"/>
    <w:basedOn w:val="a"/>
    <w:uiPriority w:val="34"/>
    <w:qFormat/>
    <w:rsid w:val="008154C2"/>
    <w:pPr>
      <w:ind w:firstLineChars="200" w:firstLine="420"/>
    </w:pPr>
  </w:style>
  <w:style w:type="paragraph" w:customStyle="1" w:styleId="11">
    <w:name w:val="正文首行缩进1"/>
    <w:basedOn w:val="a"/>
    <w:qFormat/>
    <w:rsid w:val="00404735"/>
    <w:pPr>
      <w:suppressAutoHyphens/>
      <w:ind w:firstLine="498"/>
    </w:pPr>
    <w:rPr>
      <w:kern w:val="1"/>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8</Pages>
  <Words>429</Words>
  <Characters>2448</Characters>
  <Application>Microsoft Office Word</Application>
  <DocSecurity>0</DocSecurity>
  <Lines>20</Lines>
  <Paragraphs>5</Paragraphs>
  <ScaleCrop>false</ScaleCrop>
  <Company>微软中国</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aa</cp:lastModifiedBy>
  <cp:revision>45</cp:revision>
  <cp:lastPrinted>2021-11-28T13:51:00Z</cp:lastPrinted>
  <dcterms:created xsi:type="dcterms:W3CDTF">2019-12-23T02:24:00Z</dcterms:created>
  <dcterms:modified xsi:type="dcterms:W3CDTF">2023-05-24T03:09:00Z</dcterms:modified>
</cp:coreProperties>
</file>