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7DD03">
      <w:pPr>
        <w:spacing w:before="800" w:after="1000"/>
        <w:jc w:val="center"/>
      </w:pPr>
      <w:r>
        <w:rPr>
          <w:rFonts w:ascii="黑体" w:hAnsi="黑体" w:eastAsia="黑体"/>
          <w:b/>
          <w:sz w:val="40"/>
        </w:rPr>
        <w:t>学士学位毕业设计</w:t>
      </w:r>
    </w:p>
    <w:p w14:paraId="248B34A1">
      <w:pPr>
        <w:spacing w:before="0" w:after="840"/>
        <w:jc w:val="center"/>
      </w:pPr>
      <w:r>
        <w:rPr>
          <w:rFonts w:ascii="黑体" w:hAnsi="黑体" w:eastAsia="黑体"/>
          <w:b/>
          <w:sz w:val="36"/>
        </w:rPr>
        <w:t>华锐SL1500型双馈式风机齿轮箱智能健康管理系统设计与实现</w:t>
      </w:r>
    </w:p>
    <w:p w14:paraId="01599B07">
      <w:pPr>
        <w:spacing w:after="200"/>
        <w:jc w:val="center"/>
      </w:pPr>
      <w:r>
        <w:rPr>
          <w:rFonts w:ascii="宋体" w:hAnsi="宋体" w:eastAsia="宋体"/>
          <w:b w:val="0"/>
          <w:sz w:val="28"/>
        </w:rPr>
        <w:t>姓    名  ____</w:t>
      </w:r>
      <w:r>
        <w:rPr>
          <w:rFonts w:hint="eastAsia"/>
          <w:b w:val="0"/>
          <w:sz w:val="28"/>
          <w:lang w:val="en-US" w:eastAsia="zh-CN"/>
        </w:rPr>
        <w:t xml:space="preserve">            </w:t>
      </w:r>
      <w:r>
        <w:rPr>
          <w:rFonts w:ascii="宋体" w:hAnsi="宋体" w:eastAsia="宋体"/>
          <w:b w:val="0"/>
          <w:sz w:val="28"/>
        </w:rPr>
        <w:t>________</w:t>
      </w:r>
    </w:p>
    <w:p w14:paraId="5F1B4180">
      <w:pPr>
        <w:spacing w:after="200"/>
        <w:jc w:val="center"/>
      </w:pPr>
      <w:r>
        <w:rPr>
          <w:rFonts w:ascii="宋体" w:hAnsi="宋体" w:eastAsia="宋体"/>
          <w:b w:val="0"/>
          <w:sz w:val="28"/>
        </w:rPr>
        <w:t>学    号  __</w:t>
      </w:r>
      <w:r>
        <w:rPr>
          <w:rFonts w:hint="eastAsia"/>
          <w:b w:val="0"/>
          <w:sz w:val="28"/>
          <w:lang w:val="en-US" w:eastAsia="zh-CN"/>
        </w:rPr>
        <w:t xml:space="preserve">            </w:t>
      </w:r>
      <w:r>
        <w:rPr>
          <w:rFonts w:ascii="宋体" w:hAnsi="宋体" w:eastAsia="宋体"/>
          <w:b w:val="0"/>
          <w:sz w:val="28"/>
        </w:rPr>
        <w:t>__________</w:t>
      </w:r>
    </w:p>
    <w:p w14:paraId="2E8D9254">
      <w:pPr>
        <w:spacing w:after="200"/>
        <w:jc w:val="center"/>
      </w:pPr>
      <w:r>
        <w:rPr>
          <w:rFonts w:ascii="宋体" w:hAnsi="宋体" w:eastAsia="宋体"/>
          <w:b w:val="0"/>
          <w:sz w:val="28"/>
        </w:rPr>
        <w:t xml:space="preserve">院    系  </w:t>
      </w:r>
      <w:r>
        <w:rPr>
          <w:rFonts w:hint="eastAsia"/>
          <w:b w:val="0"/>
          <w:sz w:val="28"/>
          <w:lang w:val="en-US" w:eastAsia="zh-CN"/>
        </w:rPr>
        <w:t xml:space="preserve">            </w:t>
      </w:r>
      <w:r>
        <w:rPr>
          <w:rFonts w:ascii="宋体" w:hAnsi="宋体" w:eastAsia="宋体"/>
          <w:b w:val="0"/>
          <w:sz w:val="28"/>
        </w:rPr>
        <w:t>信息工程学院</w:t>
      </w:r>
    </w:p>
    <w:p w14:paraId="2401EA54">
      <w:pPr>
        <w:spacing w:after="200"/>
        <w:jc w:val="center"/>
      </w:pPr>
      <w:r>
        <w:rPr>
          <w:rFonts w:ascii="宋体" w:hAnsi="宋体" w:eastAsia="宋体"/>
          <w:b w:val="0"/>
          <w:sz w:val="28"/>
        </w:rPr>
        <w:t xml:space="preserve">专    业 </w:t>
      </w:r>
      <w:r>
        <w:rPr>
          <w:rFonts w:hint="eastAsia"/>
          <w:b w:val="0"/>
          <w:sz w:val="28"/>
          <w:lang w:val="en-US" w:eastAsia="zh-CN"/>
        </w:rPr>
        <w:t xml:space="preserve">        </w:t>
      </w:r>
      <w:r>
        <w:rPr>
          <w:rFonts w:ascii="宋体" w:hAnsi="宋体" w:eastAsia="宋体"/>
          <w:b w:val="0"/>
          <w:sz w:val="28"/>
        </w:rPr>
        <w:t xml:space="preserve"> 计算机科学与技术</w:t>
      </w:r>
    </w:p>
    <w:p w14:paraId="42AECB1F">
      <w:pPr>
        <w:spacing w:after="200"/>
        <w:jc w:val="center"/>
      </w:pPr>
      <w:r>
        <w:rPr>
          <w:rFonts w:ascii="宋体" w:hAnsi="宋体" w:eastAsia="宋体"/>
          <w:b w:val="0"/>
          <w:sz w:val="28"/>
        </w:rPr>
        <w:t xml:space="preserve">班    级  </w:t>
      </w:r>
      <w:r>
        <w:rPr>
          <w:rFonts w:hint="eastAsia"/>
          <w:b w:val="0"/>
          <w:sz w:val="28"/>
          <w:lang w:val="en-US" w:eastAsia="zh-CN"/>
        </w:rPr>
        <w:t xml:space="preserve">           </w:t>
      </w:r>
      <w:r>
        <w:rPr>
          <w:rFonts w:ascii="宋体" w:hAnsi="宋体" w:eastAsia="宋体"/>
          <w:b w:val="0"/>
          <w:sz w:val="28"/>
        </w:rPr>
        <w:t>____________</w:t>
      </w:r>
    </w:p>
    <w:p w14:paraId="2F948C26">
      <w:pPr>
        <w:spacing w:after="200"/>
        <w:jc w:val="center"/>
      </w:pPr>
      <w:r>
        <w:rPr>
          <w:rFonts w:ascii="宋体" w:hAnsi="宋体" w:eastAsia="宋体"/>
          <w:b w:val="0"/>
          <w:sz w:val="28"/>
        </w:rPr>
        <w:t>指导教师  _</w:t>
      </w:r>
      <w:r>
        <w:rPr>
          <w:rFonts w:hint="eastAsia"/>
          <w:b w:val="0"/>
          <w:sz w:val="28"/>
          <w:lang w:val="en-US" w:eastAsia="zh-CN"/>
        </w:rPr>
        <w:t xml:space="preserve">           </w:t>
      </w:r>
      <w:r>
        <w:rPr>
          <w:rFonts w:ascii="宋体" w:hAnsi="宋体" w:eastAsia="宋体"/>
          <w:b w:val="0"/>
          <w:sz w:val="28"/>
        </w:rPr>
        <w:t>___________</w:t>
      </w:r>
    </w:p>
    <w:p w14:paraId="00A8FAC0">
      <w:pPr>
        <w:spacing w:after="200"/>
        <w:ind w:left="1680" w:leftChars="0" w:firstLine="420" w:firstLineChars="0"/>
        <w:jc w:val="both"/>
      </w:pPr>
      <w:bookmarkStart w:id="0" w:name="_GoBack"/>
      <w:bookmarkEnd w:id="0"/>
      <w:r>
        <w:rPr>
          <w:rFonts w:ascii="宋体" w:hAnsi="宋体" w:eastAsia="宋体"/>
          <w:b w:val="0"/>
          <w:sz w:val="28"/>
        </w:rPr>
        <w:t>辅导教师</w:t>
      </w:r>
      <w:r>
        <w:rPr>
          <w:rFonts w:hint="eastAsia"/>
          <w:b w:val="0"/>
          <w:sz w:val="28"/>
          <w:lang w:val="en-US" w:eastAsia="zh-CN"/>
        </w:rPr>
        <w:t xml:space="preserve">          </w:t>
      </w:r>
      <w:r>
        <w:rPr>
          <w:rFonts w:ascii="宋体" w:hAnsi="宋体" w:eastAsia="宋体"/>
          <w:b w:val="0"/>
          <w:sz w:val="28"/>
        </w:rPr>
        <w:t xml:space="preserve">  ____________</w:t>
      </w:r>
    </w:p>
    <w:p w14:paraId="41E47DC0">
      <w:pPr>
        <w:spacing w:before="1200" w:after="160"/>
        <w:jc w:val="center"/>
      </w:pPr>
      <w:r>
        <w:rPr>
          <w:rFonts w:ascii="宋体" w:hAnsi="宋体" w:eastAsia="宋体"/>
          <w:b w:val="0"/>
          <w:sz w:val="28"/>
        </w:rPr>
        <w:t>2026 年 5 月</w:t>
      </w:r>
    </w:p>
    <w:p w14:paraId="6C5A40AD">
      <w:r>
        <w:br w:type="page"/>
      </w:r>
    </w:p>
    <w:p w14:paraId="4B939462">
      <w:pPr>
        <w:spacing w:before="0" w:after="360"/>
        <w:jc w:val="center"/>
      </w:pPr>
      <w:r>
        <w:rPr>
          <w:rFonts w:ascii="黑体" w:hAnsi="黑体" w:eastAsia="黑体"/>
          <w:b/>
          <w:sz w:val="32"/>
        </w:rPr>
        <w:t>关于毕业设计（论文）的著作权声明</w:t>
      </w:r>
    </w:p>
    <w:p w14:paraId="316B548D">
      <w:pPr>
        <w:spacing w:after="0" w:line="360" w:lineRule="auto"/>
        <w:jc w:val="both"/>
      </w:pPr>
      <w:r>
        <w:rPr>
          <w:rFonts w:ascii="宋体" w:hAnsi="宋体" w:eastAsia="宋体"/>
          <w:b w:val="0"/>
          <w:sz w:val="21"/>
        </w:rPr>
        <w:t>毕业设计（论文）题目：华锐SL1500型双馈式风机齿轮箱智能健康管理系统设计与实现</w:t>
      </w:r>
    </w:p>
    <w:p w14:paraId="0BCE9961">
      <w:pPr>
        <w:spacing w:after="0" w:line="360" w:lineRule="auto"/>
        <w:ind w:firstLine="420"/>
        <w:jc w:val="both"/>
      </w:pPr>
      <w:r>
        <w:rPr>
          <w:rFonts w:ascii="宋体" w:hAnsi="宋体" w:eastAsia="宋体"/>
          <w:b w:val="0"/>
          <w:sz w:val="21"/>
        </w:rPr>
        <w:t>1.本毕业设计（论文）作者及指导教师共同声明：本成果属于职务工作成果，成果归学校、本毕业设计（论文）作者和指导教师共有；本毕业设计（论文）作者和指导教师依据本设计成果发表论文、申报奖项和专利等，应以适当形式注明该成果来源。</w:t>
      </w:r>
    </w:p>
    <w:p w14:paraId="318D9275">
      <w:pPr>
        <w:spacing w:after="0" w:line="360" w:lineRule="auto"/>
        <w:ind w:firstLine="420"/>
        <w:jc w:val="both"/>
      </w:pPr>
      <w:r>
        <w:rPr>
          <w:rFonts w:ascii="宋体" w:hAnsi="宋体" w:eastAsia="宋体"/>
          <w:b w:val="0"/>
          <w:sz w:val="21"/>
        </w:rPr>
        <w:t>2.本毕业设计（论文）作者声明：本毕业设计（论文）全部成果均为本人在指导教师指导下独立完成，本人和指导教师都有权使用本成果学术内容。</w:t>
      </w:r>
    </w:p>
    <w:p w14:paraId="2025D005">
      <w:pPr>
        <w:spacing w:after="0" w:line="360" w:lineRule="auto"/>
        <w:ind w:firstLine="420"/>
        <w:jc w:val="both"/>
      </w:pPr>
      <w:r>
        <w:rPr>
          <w:rFonts w:ascii="宋体" w:hAnsi="宋体" w:eastAsia="宋体"/>
          <w:b w:val="0"/>
          <w:sz w:val="21"/>
        </w:rPr>
        <w:t>3.指导教师声明：同意本毕业设计（论文）作者上述声明。</w:t>
      </w:r>
    </w:p>
    <w:p w14:paraId="03CECBD5">
      <w:pPr>
        <w:spacing w:after="0" w:line="360" w:lineRule="auto"/>
        <w:jc w:val="both"/>
      </w:pPr>
      <w:r>
        <w:rPr>
          <w:rFonts w:ascii="宋体" w:hAnsi="宋体" w:eastAsia="宋体"/>
          <w:b w:val="0"/>
          <w:sz w:val="21"/>
        </w:rPr>
        <w:t>毕业设计（论文）作者签名：</w:t>
      </w:r>
    </w:p>
    <w:p w14:paraId="127DE700">
      <w:pPr>
        <w:spacing w:after="0" w:line="360" w:lineRule="auto"/>
        <w:jc w:val="both"/>
      </w:pPr>
      <w:r>
        <w:rPr>
          <w:rFonts w:ascii="宋体" w:hAnsi="宋体" w:eastAsia="宋体"/>
          <w:b w:val="0"/>
          <w:sz w:val="21"/>
        </w:rPr>
        <w:t>毕业设计（论文）作者学号：____________</w:t>
      </w:r>
    </w:p>
    <w:p w14:paraId="46DF8E0E">
      <w:pPr>
        <w:spacing w:after="0" w:line="360" w:lineRule="auto"/>
        <w:jc w:val="both"/>
      </w:pPr>
      <w:r>
        <w:rPr>
          <w:rFonts w:ascii="宋体" w:hAnsi="宋体" w:eastAsia="宋体"/>
          <w:b w:val="0"/>
          <w:sz w:val="21"/>
        </w:rPr>
        <w:t>指导教师签名：</w:t>
      </w:r>
    </w:p>
    <w:p w14:paraId="3FDDE3D3">
      <w:pPr>
        <w:spacing w:after="0" w:line="360" w:lineRule="auto"/>
        <w:jc w:val="both"/>
      </w:pPr>
      <w:r>
        <w:rPr>
          <w:rFonts w:ascii="宋体" w:hAnsi="宋体" w:eastAsia="宋体"/>
          <w:b w:val="0"/>
          <w:sz w:val="21"/>
        </w:rPr>
        <w:t>2026 年 5 月</w:t>
      </w:r>
    </w:p>
    <w:p w14:paraId="0DBFC012">
      <w:r>
        <w:br w:type="page"/>
      </w:r>
    </w:p>
    <w:p w14:paraId="52D6B579">
      <w:pPr>
        <w:spacing w:before="0" w:after="360"/>
        <w:jc w:val="center"/>
      </w:pPr>
      <w:r>
        <w:rPr>
          <w:rFonts w:ascii="黑体" w:hAnsi="黑体" w:eastAsia="黑体"/>
          <w:b/>
          <w:sz w:val="32"/>
        </w:rPr>
        <w:t>毕业设计原创性声明</w:t>
      </w:r>
    </w:p>
    <w:p w14:paraId="56C4E5E7">
      <w:pPr>
        <w:spacing w:after="0" w:line="360" w:lineRule="auto"/>
        <w:ind w:firstLine="420"/>
        <w:jc w:val="both"/>
      </w:pPr>
      <w:r>
        <w:rPr>
          <w:rFonts w:ascii="宋体" w:hAnsi="宋体" w:eastAsia="宋体"/>
          <w:b w:val="0"/>
          <w:sz w:val="21"/>
        </w:rPr>
        <w:t>本人所提交的毕业设计《华锐SL1500型双馈式风机齿轮箱智能健康管理系统设计与实现》，是在导师的指导下，独立进行研究工作所取得的原创性成果。除文中已经注明引用的内容外，本毕业设计不包含任何其他个人或集体已经发表或撰写过的研究成果。对本文的研究做出重要贡献的个人和集体，均已在文中以明确方式标明。</w:t>
      </w:r>
    </w:p>
    <w:p w14:paraId="321F9370">
      <w:pPr>
        <w:spacing w:after="0" w:line="360" w:lineRule="auto"/>
        <w:ind w:firstLine="420"/>
        <w:jc w:val="both"/>
      </w:pPr>
      <w:r>
        <w:rPr>
          <w:rFonts w:ascii="宋体" w:hAnsi="宋体" w:eastAsia="宋体"/>
          <w:b w:val="0"/>
          <w:sz w:val="21"/>
        </w:rPr>
        <w:t>本声明的法律后果由本人承担。</w:t>
      </w:r>
    </w:p>
    <w:p w14:paraId="160A9D1B">
      <w:pPr>
        <w:spacing w:after="0" w:line="360" w:lineRule="auto"/>
        <w:jc w:val="both"/>
      </w:pPr>
      <w:r>
        <w:rPr>
          <w:rFonts w:ascii="宋体" w:hAnsi="宋体" w:eastAsia="宋体"/>
          <w:b w:val="0"/>
          <w:sz w:val="21"/>
        </w:rPr>
        <w:t>毕业设计作者（签名）：                指导教师确认（签名）：</w:t>
      </w:r>
    </w:p>
    <w:p w14:paraId="5F38CCC8">
      <w:pPr>
        <w:spacing w:after="0" w:line="360" w:lineRule="auto"/>
        <w:jc w:val="both"/>
      </w:pPr>
      <w:r>
        <w:rPr>
          <w:rFonts w:ascii="宋体" w:hAnsi="宋体" w:eastAsia="宋体"/>
          <w:b w:val="0"/>
          <w:sz w:val="21"/>
        </w:rPr>
        <w:t>年   月   日                           年   月   日</w:t>
      </w:r>
    </w:p>
    <w:p w14:paraId="50432D39">
      <w:r>
        <w:br w:type="page"/>
      </w:r>
    </w:p>
    <w:p w14:paraId="29F03326">
      <w:pPr>
        <w:spacing w:before="0" w:after="360"/>
        <w:jc w:val="center"/>
      </w:pPr>
      <w:r>
        <w:rPr>
          <w:rFonts w:ascii="黑体" w:hAnsi="黑体" w:eastAsia="黑体"/>
          <w:b/>
          <w:sz w:val="32"/>
        </w:rPr>
        <w:t>毕业设计版权使用授权书</w:t>
      </w:r>
    </w:p>
    <w:p w14:paraId="13E79B67">
      <w:pPr>
        <w:spacing w:after="0" w:line="360" w:lineRule="auto"/>
        <w:ind w:firstLine="420"/>
        <w:jc w:val="both"/>
      </w:pPr>
      <w:r>
        <w:rPr>
          <w:rFonts w:ascii="宋体" w:hAnsi="宋体" w:eastAsia="宋体"/>
          <w:b w:val="0"/>
          <w:sz w:val="21"/>
        </w:rPr>
        <w:t>本毕业设计作者完全了解学校有关保留、使用毕业设计的规定，同意学校保留并向国家有关部门或机构送交毕业设计的复印件和电子文档，允许毕业设计被查阅和借阅。本人授权学校可以将毕业设计的全部或部分内容编入有关数据库进行检索，可以采用影印、缩印或其他复制手段保存、汇编本毕业设计。</w:t>
      </w:r>
    </w:p>
    <w:p w14:paraId="4EAC6491">
      <w:pPr>
        <w:spacing w:after="0" w:line="360" w:lineRule="auto"/>
        <w:ind w:firstLine="420"/>
        <w:jc w:val="both"/>
      </w:pPr>
      <w:r>
        <w:rPr>
          <w:rFonts w:ascii="宋体" w:hAnsi="宋体" w:eastAsia="宋体"/>
          <w:b w:val="0"/>
          <w:sz w:val="21"/>
        </w:rPr>
        <w:t>保密的毕业设计在_______年解密后适用本授权书。</w:t>
      </w:r>
    </w:p>
    <w:p w14:paraId="675AB152">
      <w:pPr>
        <w:spacing w:after="0" w:line="360" w:lineRule="auto"/>
        <w:jc w:val="both"/>
      </w:pPr>
      <w:r>
        <w:rPr>
          <w:rFonts w:ascii="宋体" w:hAnsi="宋体" w:eastAsia="宋体"/>
          <w:b w:val="0"/>
          <w:sz w:val="21"/>
        </w:rPr>
        <w:t>毕业设计作者（签名）：               指导教师（签名）：</w:t>
      </w:r>
    </w:p>
    <w:p w14:paraId="51D52DC1">
      <w:pPr>
        <w:spacing w:after="0" w:line="360" w:lineRule="auto"/>
        <w:jc w:val="both"/>
      </w:pPr>
      <w:r>
        <w:rPr>
          <w:rFonts w:ascii="宋体" w:hAnsi="宋体" w:eastAsia="宋体"/>
          <w:b w:val="0"/>
          <w:sz w:val="21"/>
        </w:rPr>
        <w:t>年   月   日                      年   月   日</w:t>
      </w:r>
    </w:p>
    <w:p w14:paraId="07EAEEBC">
      <w:r>
        <w:br w:type="page"/>
      </w:r>
    </w:p>
    <w:p w14:paraId="2CF8EAAA">
      <w:pPr>
        <w:spacing w:before="0" w:after="360"/>
        <w:jc w:val="center"/>
      </w:pPr>
      <w:r>
        <w:rPr>
          <w:rFonts w:ascii="黑体" w:hAnsi="黑体" w:eastAsia="黑体"/>
          <w:b/>
          <w:sz w:val="32"/>
        </w:rPr>
        <w:t>摘  要</w:t>
      </w:r>
    </w:p>
    <w:p w14:paraId="6F7C9705">
      <w:pPr>
        <w:spacing w:after="0" w:line="360" w:lineRule="auto"/>
        <w:ind w:firstLine="420"/>
        <w:jc w:val="both"/>
      </w:pPr>
      <w:r>
        <w:rPr>
          <w:rFonts w:ascii="宋体" w:hAnsi="宋体" w:eastAsia="宋体"/>
          <w:b w:val="0"/>
          <w:sz w:val="21"/>
        </w:rPr>
        <w:t>随着风电装机规模持续扩大，风电机组运行可靠性和智能化运维能力已成为影响风电场发电效率与运维成本的重要因素。齿轮箱作为双馈式风机传动链中的关键部件，长期承受交变载荷、冲击载荷和复杂环境影响，容易出现齿面磨损、点蚀剥落、轴承损伤、油温过高和润滑状态劣化等故障。传统依靠人工巡检和单一阈值报警的方式难以及时发现早期异常，也难以支撑多机组、长周期、精细化的健康管理需求。针对上述问题，本文以华锐SL1500型双馈式风机齿轮箱为研究对象，设计并实现了一套齿轮箱智能健康管理系统。</w:t>
      </w:r>
    </w:p>
    <w:p w14:paraId="08809D7A">
      <w:pPr>
        <w:spacing w:after="0" w:line="360" w:lineRule="auto"/>
        <w:ind w:firstLine="420"/>
        <w:jc w:val="both"/>
      </w:pPr>
      <w:r>
        <w:rPr>
          <w:rFonts w:ascii="宋体" w:hAnsi="宋体" w:eastAsia="宋体"/>
          <w:b w:val="0"/>
          <w:sz w:val="21"/>
        </w:rPr>
        <w:t>系统采用 Flask 后端、SQLite 数据库和 HTML/CSS/JavaScript 前端架构，集成 ECharts 图表、机舱剖视模型、实时监测、故障诊断、故障数据管理、健康评估报告、参数设置、用户权限管理和 AI 专家运维问答等功能。数据层面，系统围绕 SCADA、PLC、CMS、油液监测和检修台账等多源数据建立统一字段体系，重点采集齿轮箱油温、振动 RMS、油液 NAS 等级、风速、有功功率、发电机转速、变桨角、偏航角、报警状态和检修记录。算法层面，本文构建了以油温残差预测、振动特征分析、健康评分和剩余寿命估计为核心的诊断流程，提出将 M-IALO-SVR 用于正常工况下油温预测，并通过实测油温与预测油温残差识别齿轮箱热异常趋势。</w:t>
      </w:r>
    </w:p>
    <w:p w14:paraId="7EC16361">
      <w:pPr>
        <w:spacing w:after="0" w:line="360" w:lineRule="auto"/>
        <w:ind w:firstLine="420"/>
        <w:jc w:val="both"/>
      </w:pPr>
      <w:r>
        <w:rPr>
          <w:rFonts w:ascii="宋体" w:hAnsi="宋体" w:eastAsia="宋体"/>
          <w:b w:val="0"/>
          <w:sz w:val="21"/>
        </w:rPr>
        <w:t>系统实现结果表明，所设计的平台能够完成多机组状态总览、单机运行详情查看、实时数据刷新、故障趋势和分布分析、健康评分计算、RUL 估计和复检周期推荐，能够为风电场运维人员提供较为直观的状态感知与辅助决策依据。本文研究对双馈式风机齿轮箱状态监测、故障诊断和智能运维系统建设具有一定工程参考价值。</w:t>
      </w:r>
    </w:p>
    <w:p w14:paraId="6DF222E7">
      <w:pPr>
        <w:spacing w:after="0" w:line="360" w:lineRule="auto"/>
        <w:jc w:val="both"/>
      </w:pPr>
      <w:r>
        <w:rPr>
          <w:rFonts w:ascii="宋体" w:hAnsi="宋体" w:eastAsia="宋体"/>
          <w:b w:val="0"/>
          <w:sz w:val="21"/>
        </w:rPr>
        <w:t>关键词：风力发电；齿轮箱；故障诊断；M-IALO-SVR；健康评估；智能运维</w:t>
      </w:r>
    </w:p>
    <w:p w14:paraId="333314C4">
      <w:r>
        <w:br w:type="page"/>
      </w:r>
    </w:p>
    <w:p w14:paraId="166E2124">
      <w:pPr>
        <w:spacing w:before="0" w:after="360"/>
        <w:jc w:val="center"/>
      </w:pPr>
      <w:r>
        <w:rPr>
          <w:rFonts w:ascii="Times New Roman" w:hAnsi="Times New Roman" w:eastAsia="Times New Roman"/>
          <w:b/>
          <w:sz w:val="32"/>
        </w:rPr>
        <w:t>ABSTRACT</w:t>
      </w:r>
    </w:p>
    <w:p w14:paraId="0B298295">
      <w:pPr>
        <w:spacing w:after="0" w:line="360" w:lineRule="auto"/>
        <w:ind w:firstLine="420"/>
        <w:jc w:val="both"/>
      </w:pPr>
      <w:r>
        <w:rPr>
          <w:rFonts w:ascii="宋体" w:hAnsi="宋体" w:eastAsia="宋体"/>
          <w:b w:val="0"/>
          <w:sz w:val="21"/>
        </w:rPr>
        <w:t>With the continuous growth of wind power capacity, the reliability and intelligent operation capability of wind turbines have become important factors affecting power generation efficiency and maintenance cost. The gearbox is a key component in the transmission chain of a doubly-fed wind turbine. It is exposed to alternating loads, impact loads and complex environmental conditions for a long time, and is prone to gear wear, pitting, bearing damage, abnormal oil temperature and lubricant deterioration. Traditional manual inspection and single-threshold alarm methods are not sufficient for early fault detection and refined health management.</w:t>
      </w:r>
    </w:p>
    <w:p w14:paraId="6DC53EC7">
      <w:pPr>
        <w:spacing w:after="0" w:line="360" w:lineRule="auto"/>
        <w:ind w:firstLine="420"/>
        <w:jc w:val="both"/>
      </w:pPr>
      <w:r>
        <w:rPr>
          <w:rFonts w:ascii="宋体" w:hAnsi="宋体" w:eastAsia="宋体"/>
          <w:b w:val="0"/>
          <w:sz w:val="21"/>
        </w:rPr>
        <w:t>Taking the gearbox of the SL1500 doubly-fed wind turbine as the research object, this thesis designs and implements an intelligent health management system. The system adopts a Flask backend, SQLite database and a web frontend based on HTML, CSS and JavaScript. It integrates real-time monitoring, fault diagnosis, fault data management, health assessment reports, parameter settings, user permission management, visualization charts and an AI-based operation and maintenance assistant. A multi-source data framework is designed for SCADA, PLC, CMS, oil monitoring and maintenance records.</w:t>
      </w:r>
    </w:p>
    <w:p w14:paraId="102B4073">
      <w:pPr>
        <w:spacing w:after="0" w:line="360" w:lineRule="auto"/>
        <w:ind w:firstLine="420"/>
        <w:jc w:val="both"/>
      </w:pPr>
      <w:r>
        <w:rPr>
          <w:rFonts w:ascii="宋体" w:hAnsi="宋体" w:eastAsia="宋体"/>
          <w:b w:val="0"/>
          <w:sz w:val="21"/>
        </w:rPr>
        <w:t>The proposed system focuses on oil temperature residual prediction, vibration feature analysis, health score calculation and remaining useful life estimation. The M-IALO-SVR method is introduced to predict the normal oil temperature under operating conditions, and the residual between the measured and predicted oil temperature is used to identify abnormal thermal trends. The implementation results show that the system can support wind farm overview, single-turbine detail monitoring, fault trend analysis, health assessment and maintenance interval recommendation, providing useful decision support for wind farm operation and maintenance.</w:t>
      </w:r>
    </w:p>
    <w:p w14:paraId="652C8BB6">
      <w:pPr>
        <w:spacing w:after="0" w:line="360" w:lineRule="auto"/>
        <w:jc w:val="both"/>
      </w:pPr>
      <w:r>
        <w:rPr>
          <w:rFonts w:ascii="宋体" w:hAnsi="宋体" w:eastAsia="宋体"/>
          <w:b w:val="0"/>
          <w:sz w:val="21"/>
        </w:rPr>
        <w:t>Key words: wind turbine; gearbox; fault diagnosis; M-IALO-SVR; health assessment; intelligent operation and maintenance</w:t>
      </w:r>
    </w:p>
    <w:p w14:paraId="60FCEC60">
      <w:r>
        <w:br w:type="page"/>
      </w:r>
    </w:p>
    <w:p w14:paraId="4BB361A2">
      <w:pPr>
        <w:spacing w:before="0" w:after="360"/>
        <w:jc w:val="center"/>
      </w:pPr>
      <w:r>
        <w:rPr>
          <w:rFonts w:ascii="黑体" w:hAnsi="黑体" w:eastAsia="黑体"/>
          <w:b/>
          <w:sz w:val="32"/>
        </w:rPr>
        <w:t>目  录</w:t>
      </w:r>
    </w:p>
    <w:p w14:paraId="2CE16A7B">
      <w:pPr>
        <w:spacing w:line="384" w:lineRule="auto"/>
      </w:pPr>
      <w:r>
        <w:rPr>
          <w:rFonts w:ascii="宋体" w:hAnsi="宋体" w:eastAsia="宋体"/>
          <w:b w:val="0"/>
          <w:sz w:val="21"/>
        </w:rPr>
        <w:t>第1章 绪论</w:t>
      </w:r>
      <w:r>
        <w:rPr>
          <w:rFonts w:ascii="宋体" w:hAnsi="宋体" w:eastAsia="宋体"/>
          <w:b w:val="0"/>
          <w:sz w:val="21"/>
        </w:rPr>
        <w:tab/>
      </w:r>
    </w:p>
    <w:p w14:paraId="2CB8B68A">
      <w:pPr>
        <w:spacing w:line="384" w:lineRule="auto"/>
      </w:pPr>
      <w:r>
        <w:rPr>
          <w:rFonts w:ascii="宋体" w:hAnsi="宋体" w:eastAsia="宋体"/>
          <w:b w:val="0"/>
          <w:sz w:val="21"/>
        </w:rPr>
        <w:t xml:space="preserve">  1.1 研究背景</w:t>
      </w:r>
      <w:r>
        <w:rPr>
          <w:rFonts w:ascii="宋体" w:hAnsi="宋体" w:eastAsia="宋体"/>
          <w:b w:val="0"/>
          <w:sz w:val="21"/>
        </w:rPr>
        <w:tab/>
      </w:r>
    </w:p>
    <w:p w14:paraId="764F5EA6">
      <w:pPr>
        <w:spacing w:line="384" w:lineRule="auto"/>
      </w:pPr>
      <w:r>
        <w:rPr>
          <w:rFonts w:ascii="宋体" w:hAnsi="宋体" w:eastAsia="宋体"/>
          <w:b w:val="0"/>
          <w:sz w:val="21"/>
        </w:rPr>
        <w:t xml:space="preserve">  1.2 国内外研究现状</w:t>
      </w:r>
      <w:r>
        <w:rPr>
          <w:rFonts w:ascii="宋体" w:hAnsi="宋体" w:eastAsia="宋体"/>
          <w:b w:val="0"/>
          <w:sz w:val="21"/>
        </w:rPr>
        <w:tab/>
      </w:r>
    </w:p>
    <w:p w14:paraId="1D8C6A6A">
      <w:pPr>
        <w:spacing w:line="384" w:lineRule="auto"/>
      </w:pPr>
      <w:r>
        <w:rPr>
          <w:rFonts w:ascii="宋体" w:hAnsi="宋体" w:eastAsia="宋体"/>
          <w:b w:val="0"/>
          <w:sz w:val="21"/>
        </w:rPr>
        <w:t xml:space="preserve">  1.3 研究意义与目的</w:t>
      </w:r>
      <w:r>
        <w:rPr>
          <w:rFonts w:ascii="宋体" w:hAnsi="宋体" w:eastAsia="宋体"/>
          <w:b w:val="0"/>
          <w:sz w:val="21"/>
        </w:rPr>
        <w:tab/>
      </w:r>
    </w:p>
    <w:p w14:paraId="5CDA2D49">
      <w:pPr>
        <w:spacing w:line="384" w:lineRule="auto"/>
      </w:pPr>
      <w:r>
        <w:rPr>
          <w:rFonts w:ascii="宋体" w:hAnsi="宋体" w:eastAsia="宋体"/>
          <w:b w:val="0"/>
          <w:sz w:val="21"/>
        </w:rPr>
        <w:t xml:space="preserve">  1.4 研究方法与思路</w:t>
      </w:r>
      <w:r>
        <w:rPr>
          <w:rFonts w:ascii="宋体" w:hAnsi="宋体" w:eastAsia="宋体"/>
          <w:b w:val="0"/>
          <w:sz w:val="21"/>
        </w:rPr>
        <w:tab/>
      </w:r>
    </w:p>
    <w:p w14:paraId="4182F108">
      <w:pPr>
        <w:spacing w:line="384" w:lineRule="auto"/>
      </w:pPr>
      <w:r>
        <w:rPr>
          <w:rFonts w:ascii="宋体" w:hAnsi="宋体" w:eastAsia="宋体"/>
          <w:b w:val="0"/>
          <w:sz w:val="21"/>
        </w:rPr>
        <w:t xml:space="preserve">  1.5 论文结构</w:t>
      </w:r>
      <w:r>
        <w:rPr>
          <w:rFonts w:ascii="宋体" w:hAnsi="宋体" w:eastAsia="宋体"/>
          <w:b w:val="0"/>
          <w:sz w:val="21"/>
        </w:rPr>
        <w:tab/>
      </w:r>
    </w:p>
    <w:p w14:paraId="061F6233">
      <w:pPr>
        <w:spacing w:line="384" w:lineRule="auto"/>
      </w:pPr>
      <w:r>
        <w:rPr>
          <w:rFonts w:ascii="宋体" w:hAnsi="宋体" w:eastAsia="宋体"/>
          <w:b w:val="0"/>
          <w:sz w:val="21"/>
        </w:rPr>
        <w:t>第2章 相关技术研究</w:t>
      </w:r>
      <w:r>
        <w:rPr>
          <w:rFonts w:ascii="宋体" w:hAnsi="宋体" w:eastAsia="宋体"/>
          <w:b w:val="0"/>
          <w:sz w:val="21"/>
        </w:rPr>
        <w:tab/>
      </w:r>
    </w:p>
    <w:p w14:paraId="7BE21F09">
      <w:pPr>
        <w:spacing w:line="384" w:lineRule="auto"/>
      </w:pPr>
      <w:r>
        <w:rPr>
          <w:rFonts w:ascii="宋体" w:hAnsi="宋体" w:eastAsia="宋体"/>
          <w:b w:val="0"/>
          <w:sz w:val="21"/>
        </w:rPr>
        <w:t xml:space="preserve">  2.1 风机齿轮箱状态监测技术</w:t>
      </w:r>
      <w:r>
        <w:rPr>
          <w:rFonts w:ascii="宋体" w:hAnsi="宋体" w:eastAsia="宋体"/>
          <w:b w:val="0"/>
          <w:sz w:val="21"/>
        </w:rPr>
        <w:tab/>
      </w:r>
    </w:p>
    <w:p w14:paraId="30E4D7CA">
      <w:pPr>
        <w:spacing w:line="384" w:lineRule="auto"/>
      </w:pPr>
      <w:r>
        <w:rPr>
          <w:rFonts w:ascii="宋体" w:hAnsi="宋体" w:eastAsia="宋体"/>
          <w:b w:val="0"/>
          <w:sz w:val="21"/>
        </w:rPr>
        <w:t xml:space="preserve">  2.2 SCADA、PLC与CMS数据采集技术</w:t>
      </w:r>
      <w:r>
        <w:rPr>
          <w:rFonts w:ascii="宋体" w:hAnsi="宋体" w:eastAsia="宋体"/>
          <w:b w:val="0"/>
          <w:sz w:val="21"/>
        </w:rPr>
        <w:tab/>
      </w:r>
    </w:p>
    <w:p w14:paraId="040F476E">
      <w:pPr>
        <w:spacing w:line="384" w:lineRule="auto"/>
      </w:pPr>
      <w:r>
        <w:rPr>
          <w:rFonts w:ascii="宋体" w:hAnsi="宋体" w:eastAsia="宋体"/>
          <w:b w:val="0"/>
          <w:sz w:val="21"/>
        </w:rPr>
        <w:t xml:space="preserve">  2.3 机器学习与SVR回归方法</w:t>
      </w:r>
      <w:r>
        <w:rPr>
          <w:rFonts w:ascii="宋体" w:hAnsi="宋体" w:eastAsia="宋体"/>
          <w:b w:val="0"/>
          <w:sz w:val="21"/>
        </w:rPr>
        <w:tab/>
      </w:r>
    </w:p>
    <w:p w14:paraId="3337D609">
      <w:pPr>
        <w:spacing w:line="384" w:lineRule="auto"/>
      </w:pPr>
      <w:r>
        <w:rPr>
          <w:rFonts w:ascii="宋体" w:hAnsi="宋体" w:eastAsia="宋体"/>
          <w:b w:val="0"/>
          <w:sz w:val="21"/>
        </w:rPr>
        <w:t xml:space="preserve">  2.4 Web系统开发与可视化技术</w:t>
      </w:r>
      <w:r>
        <w:rPr>
          <w:rFonts w:ascii="宋体" w:hAnsi="宋体" w:eastAsia="宋体"/>
          <w:b w:val="0"/>
          <w:sz w:val="21"/>
        </w:rPr>
        <w:tab/>
      </w:r>
    </w:p>
    <w:p w14:paraId="4BDCCFD9">
      <w:pPr>
        <w:spacing w:line="384" w:lineRule="auto"/>
      </w:pPr>
      <w:r>
        <w:rPr>
          <w:rFonts w:ascii="宋体" w:hAnsi="宋体" w:eastAsia="宋体"/>
          <w:b w:val="0"/>
          <w:sz w:val="21"/>
        </w:rPr>
        <w:t>第3章 研究方法</w:t>
      </w:r>
      <w:r>
        <w:rPr>
          <w:rFonts w:ascii="宋体" w:hAnsi="宋体" w:eastAsia="宋体"/>
          <w:b w:val="0"/>
          <w:sz w:val="21"/>
        </w:rPr>
        <w:tab/>
      </w:r>
    </w:p>
    <w:p w14:paraId="2BCAA03E">
      <w:pPr>
        <w:spacing w:line="384" w:lineRule="auto"/>
      </w:pPr>
      <w:r>
        <w:rPr>
          <w:rFonts w:ascii="宋体" w:hAnsi="宋体" w:eastAsia="宋体"/>
          <w:b w:val="0"/>
          <w:sz w:val="21"/>
        </w:rPr>
        <w:t xml:space="preserve">  3.1 系统需求分析</w:t>
      </w:r>
      <w:r>
        <w:rPr>
          <w:rFonts w:ascii="宋体" w:hAnsi="宋体" w:eastAsia="宋体"/>
          <w:b w:val="0"/>
          <w:sz w:val="21"/>
        </w:rPr>
        <w:tab/>
      </w:r>
    </w:p>
    <w:p w14:paraId="2BE4B187">
      <w:pPr>
        <w:spacing w:line="384" w:lineRule="auto"/>
      </w:pPr>
      <w:r>
        <w:rPr>
          <w:rFonts w:ascii="宋体" w:hAnsi="宋体" w:eastAsia="宋体"/>
          <w:b w:val="0"/>
          <w:sz w:val="21"/>
        </w:rPr>
        <w:t xml:space="preserve">  3.2 多源数据预处理方法</w:t>
      </w:r>
      <w:r>
        <w:rPr>
          <w:rFonts w:ascii="宋体" w:hAnsi="宋体" w:eastAsia="宋体"/>
          <w:b w:val="0"/>
          <w:sz w:val="21"/>
        </w:rPr>
        <w:tab/>
      </w:r>
    </w:p>
    <w:p w14:paraId="787F9449">
      <w:pPr>
        <w:spacing w:line="384" w:lineRule="auto"/>
      </w:pPr>
      <w:r>
        <w:rPr>
          <w:rFonts w:ascii="宋体" w:hAnsi="宋体" w:eastAsia="宋体"/>
          <w:b w:val="0"/>
          <w:sz w:val="21"/>
        </w:rPr>
        <w:t xml:space="preserve">  3.3 M-IALO-SVR油温残差预测方法</w:t>
      </w:r>
      <w:r>
        <w:rPr>
          <w:rFonts w:ascii="宋体" w:hAnsi="宋体" w:eastAsia="宋体"/>
          <w:b w:val="0"/>
          <w:sz w:val="21"/>
        </w:rPr>
        <w:tab/>
      </w:r>
    </w:p>
    <w:p w14:paraId="70949D9A">
      <w:pPr>
        <w:spacing w:line="384" w:lineRule="auto"/>
      </w:pPr>
      <w:r>
        <w:rPr>
          <w:rFonts w:ascii="宋体" w:hAnsi="宋体" w:eastAsia="宋体"/>
          <w:b w:val="0"/>
          <w:sz w:val="21"/>
        </w:rPr>
        <w:t xml:space="preserve">  3.4 健康评分与RUL评估方法</w:t>
      </w:r>
      <w:r>
        <w:rPr>
          <w:rFonts w:ascii="宋体" w:hAnsi="宋体" w:eastAsia="宋体"/>
          <w:b w:val="0"/>
          <w:sz w:val="21"/>
        </w:rPr>
        <w:tab/>
      </w:r>
    </w:p>
    <w:p w14:paraId="49C91ACA">
      <w:pPr>
        <w:spacing w:line="384" w:lineRule="auto"/>
      </w:pPr>
      <w:r>
        <w:rPr>
          <w:rFonts w:ascii="宋体" w:hAnsi="宋体" w:eastAsia="宋体"/>
          <w:b w:val="0"/>
          <w:sz w:val="21"/>
        </w:rPr>
        <w:t>第4章 系统实现与结果分析</w:t>
      </w:r>
      <w:r>
        <w:rPr>
          <w:rFonts w:ascii="宋体" w:hAnsi="宋体" w:eastAsia="宋体"/>
          <w:b w:val="0"/>
          <w:sz w:val="21"/>
        </w:rPr>
        <w:tab/>
      </w:r>
    </w:p>
    <w:p w14:paraId="7EA592FF">
      <w:pPr>
        <w:spacing w:line="384" w:lineRule="auto"/>
      </w:pPr>
      <w:r>
        <w:rPr>
          <w:rFonts w:ascii="宋体" w:hAnsi="宋体" w:eastAsia="宋体"/>
          <w:b w:val="0"/>
          <w:sz w:val="21"/>
        </w:rPr>
        <w:t xml:space="preserve">  4.1 系统开发环境与总体实现</w:t>
      </w:r>
      <w:r>
        <w:rPr>
          <w:rFonts w:ascii="宋体" w:hAnsi="宋体" w:eastAsia="宋体"/>
          <w:b w:val="0"/>
          <w:sz w:val="21"/>
        </w:rPr>
        <w:tab/>
      </w:r>
    </w:p>
    <w:p w14:paraId="20051360">
      <w:pPr>
        <w:spacing w:line="384" w:lineRule="auto"/>
      </w:pPr>
      <w:r>
        <w:rPr>
          <w:rFonts w:ascii="宋体" w:hAnsi="宋体" w:eastAsia="宋体"/>
          <w:b w:val="0"/>
          <w:sz w:val="21"/>
        </w:rPr>
        <w:t xml:space="preserve">  4.2 模型与系统参数设定</w:t>
      </w:r>
      <w:r>
        <w:rPr>
          <w:rFonts w:ascii="宋体" w:hAnsi="宋体" w:eastAsia="宋体"/>
          <w:b w:val="0"/>
          <w:sz w:val="21"/>
        </w:rPr>
        <w:tab/>
      </w:r>
    </w:p>
    <w:p w14:paraId="19FFECE3">
      <w:pPr>
        <w:spacing w:line="384" w:lineRule="auto"/>
      </w:pPr>
      <w:r>
        <w:rPr>
          <w:rFonts w:ascii="宋体" w:hAnsi="宋体" w:eastAsia="宋体"/>
          <w:b w:val="0"/>
          <w:sz w:val="21"/>
        </w:rPr>
        <w:t xml:space="preserve">  4.3 功能模块实现</w:t>
      </w:r>
      <w:r>
        <w:rPr>
          <w:rFonts w:ascii="宋体" w:hAnsi="宋体" w:eastAsia="宋体"/>
          <w:b w:val="0"/>
          <w:sz w:val="21"/>
        </w:rPr>
        <w:tab/>
      </w:r>
    </w:p>
    <w:p w14:paraId="11791DAA">
      <w:pPr>
        <w:spacing w:line="384" w:lineRule="auto"/>
      </w:pPr>
      <w:r>
        <w:rPr>
          <w:rFonts w:ascii="宋体" w:hAnsi="宋体" w:eastAsia="宋体"/>
          <w:b w:val="0"/>
          <w:sz w:val="21"/>
        </w:rPr>
        <w:t xml:space="preserve">  4.4 系统测试与结果分析</w:t>
      </w:r>
      <w:r>
        <w:rPr>
          <w:rFonts w:ascii="宋体" w:hAnsi="宋体" w:eastAsia="宋体"/>
          <w:b w:val="0"/>
          <w:sz w:val="21"/>
        </w:rPr>
        <w:tab/>
      </w:r>
    </w:p>
    <w:p w14:paraId="553B9F36">
      <w:pPr>
        <w:spacing w:line="384" w:lineRule="auto"/>
      </w:pPr>
      <w:r>
        <w:rPr>
          <w:rFonts w:ascii="宋体" w:hAnsi="宋体" w:eastAsia="宋体"/>
          <w:b w:val="0"/>
          <w:sz w:val="21"/>
        </w:rPr>
        <w:t xml:space="preserve">  4.5 前端展示效果</w:t>
      </w:r>
      <w:r>
        <w:rPr>
          <w:rFonts w:ascii="宋体" w:hAnsi="宋体" w:eastAsia="宋体"/>
          <w:b w:val="0"/>
          <w:sz w:val="21"/>
        </w:rPr>
        <w:tab/>
      </w:r>
    </w:p>
    <w:p w14:paraId="3552A9D8">
      <w:pPr>
        <w:spacing w:line="384" w:lineRule="auto"/>
      </w:pPr>
      <w:r>
        <w:rPr>
          <w:rFonts w:ascii="宋体" w:hAnsi="宋体" w:eastAsia="宋体"/>
          <w:b w:val="0"/>
          <w:sz w:val="21"/>
        </w:rPr>
        <w:t>第5章 结论与展望</w:t>
      </w:r>
      <w:r>
        <w:rPr>
          <w:rFonts w:ascii="宋体" w:hAnsi="宋体" w:eastAsia="宋体"/>
          <w:b w:val="0"/>
          <w:sz w:val="21"/>
        </w:rPr>
        <w:tab/>
      </w:r>
    </w:p>
    <w:p w14:paraId="415E74B0">
      <w:pPr>
        <w:spacing w:line="384" w:lineRule="auto"/>
      </w:pPr>
      <w:r>
        <w:rPr>
          <w:rFonts w:ascii="宋体" w:hAnsi="宋体" w:eastAsia="宋体"/>
          <w:b w:val="0"/>
          <w:sz w:val="21"/>
        </w:rPr>
        <w:t xml:space="preserve">  5.1 研究结论</w:t>
      </w:r>
      <w:r>
        <w:rPr>
          <w:rFonts w:ascii="宋体" w:hAnsi="宋体" w:eastAsia="宋体"/>
          <w:b w:val="0"/>
          <w:sz w:val="21"/>
        </w:rPr>
        <w:tab/>
      </w:r>
    </w:p>
    <w:p w14:paraId="05432259">
      <w:pPr>
        <w:spacing w:line="384" w:lineRule="auto"/>
      </w:pPr>
      <w:r>
        <w:rPr>
          <w:rFonts w:ascii="宋体" w:hAnsi="宋体" w:eastAsia="宋体"/>
          <w:b w:val="0"/>
          <w:sz w:val="21"/>
        </w:rPr>
        <w:t xml:space="preserve">  5.2 存在的问题与不足</w:t>
      </w:r>
      <w:r>
        <w:rPr>
          <w:rFonts w:ascii="宋体" w:hAnsi="宋体" w:eastAsia="宋体"/>
          <w:b w:val="0"/>
          <w:sz w:val="21"/>
        </w:rPr>
        <w:tab/>
      </w:r>
    </w:p>
    <w:p w14:paraId="78638094">
      <w:pPr>
        <w:spacing w:line="384" w:lineRule="auto"/>
      </w:pPr>
      <w:r>
        <w:rPr>
          <w:rFonts w:ascii="宋体" w:hAnsi="宋体" w:eastAsia="宋体"/>
          <w:b w:val="0"/>
          <w:sz w:val="21"/>
        </w:rPr>
        <w:t xml:space="preserve">  5.3 后续研究展望</w:t>
      </w:r>
      <w:r>
        <w:rPr>
          <w:rFonts w:ascii="宋体" w:hAnsi="宋体" w:eastAsia="宋体"/>
          <w:b w:val="0"/>
          <w:sz w:val="21"/>
        </w:rPr>
        <w:tab/>
      </w:r>
    </w:p>
    <w:p w14:paraId="194E6BCA">
      <w:pPr>
        <w:spacing w:line="384" w:lineRule="auto"/>
      </w:pPr>
      <w:r>
        <w:rPr>
          <w:rFonts w:ascii="宋体" w:hAnsi="宋体" w:eastAsia="宋体"/>
          <w:b w:val="0"/>
          <w:sz w:val="21"/>
        </w:rPr>
        <w:t>参考文献</w:t>
      </w:r>
      <w:r>
        <w:rPr>
          <w:rFonts w:ascii="宋体" w:hAnsi="宋体" w:eastAsia="宋体"/>
          <w:b w:val="0"/>
          <w:sz w:val="21"/>
        </w:rPr>
        <w:tab/>
      </w:r>
    </w:p>
    <w:p w14:paraId="17E25F89">
      <w:pPr>
        <w:spacing w:line="384" w:lineRule="auto"/>
      </w:pPr>
      <w:r>
        <w:rPr>
          <w:rFonts w:ascii="宋体" w:hAnsi="宋体" w:eastAsia="宋体"/>
          <w:b w:val="0"/>
          <w:sz w:val="21"/>
        </w:rPr>
        <w:t>致谢</w:t>
      </w:r>
      <w:r>
        <w:rPr>
          <w:rFonts w:ascii="宋体" w:hAnsi="宋体" w:eastAsia="宋体"/>
          <w:b w:val="0"/>
          <w:sz w:val="21"/>
        </w:rPr>
        <w:tab/>
      </w:r>
    </w:p>
    <w:p w14:paraId="31386D1D">
      <w:pPr>
        <w:spacing w:line="384" w:lineRule="auto"/>
      </w:pPr>
      <w:r>
        <w:rPr>
          <w:rFonts w:ascii="宋体" w:hAnsi="宋体" w:eastAsia="宋体"/>
          <w:b w:val="0"/>
          <w:sz w:val="21"/>
        </w:rPr>
        <w:t>附录</w:t>
      </w:r>
      <w:r>
        <w:rPr>
          <w:rFonts w:ascii="宋体" w:hAnsi="宋体" w:eastAsia="宋体"/>
          <w:b w:val="0"/>
          <w:sz w:val="21"/>
        </w:rPr>
        <w:tab/>
      </w:r>
    </w:p>
    <w:p w14:paraId="711332DA">
      <w:r>
        <w:br w:type="page"/>
      </w:r>
    </w:p>
    <w:p w14:paraId="36D8ADE3">
      <w:pPr>
        <w:spacing w:after="240"/>
        <w:jc w:val="center"/>
      </w:pPr>
      <w:r>
        <w:rPr>
          <w:rFonts w:ascii="黑体" w:hAnsi="黑体" w:eastAsia="黑体"/>
          <w:b/>
          <w:sz w:val="32"/>
        </w:rPr>
        <w:t>第1章 绪论</w:t>
      </w:r>
    </w:p>
    <w:p w14:paraId="5598A4B8">
      <w:pPr>
        <w:spacing w:before="240" w:after="120"/>
      </w:pPr>
      <w:r>
        <w:rPr>
          <w:rFonts w:ascii="黑体" w:hAnsi="黑体" w:eastAsia="黑体"/>
          <w:b/>
          <w:sz w:val="28"/>
        </w:rPr>
        <w:t>1.1 研究背景</w:t>
      </w:r>
    </w:p>
    <w:p w14:paraId="5048EC5B">
      <w:pPr>
        <w:spacing w:after="0" w:line="360" w:lineRule="auto"/>
        <w:ind w:firstLine="420"/>
        <w:jc w:val="both"/>
      </w:pPr>
      <w:r>
        <w:rPr>
          <w:rFonts w:ascii="宋体" w:hAnsi="宋体" w:eastAsia="宋体"/>
          <w:b w:val="0"/>
          <w:sz w:val="21"/>
        </w:rPr>
        <w:t>随着风电装机规模持续扩大，风电机组的安全稳定运行已经成为新能源发电领域的重要问题。齿轮箱作为双馈式风机传动链中的关键部件，长期承受随机风载、交变扭矩、启停冲击和复杂环境影响，一旦发生严重故障，往往会造成较长时间停机和较高维修成本。</w:t>
      </w:r>
    </w:p>
    <w:p w14:paraId="3434F7A5">
      <w:pPr>
        <w:spacing w:after="0" w:line="360" w:lineRule="auto"/>
        <w:ind w:firstLine="420"/>
        <w:jc w:val="both"/>
      </w:pPr>
      <w:r>
        <w:rPr>
          <w:rFonts w:ascii="宋体" w:hAnsi="宋体" w:eastAsia="宋体"/>
          <w:b w:val="0"/>
          <w:sz w:val="21"/>
        </w:rPr>
        <w:t>华锐SL1500型双馈式风机在早期风电场中应用较多，随着服役年限增加，齿轮箱油温异常、轴承振动升高、齿面磨损、润滑状态劣化等问题逐渐显现。传统依靠人工巡检和固定阈值报警的方式难以及时识别早期异常，无法满足风电场对状态检修和预测性维护的需求。</w:t>
      </w:r>
    </w:p>
    <w:p w14:paraId="5B7A2578">
      <w:pPr>
        <w:spacing w:after="0" w:line="360" w:lineRule="auto"/>
        <w:ind w:firstLine="420"/>
        <w:jc w:val="both"/>
      </w:pPr>
      <w:r>
        <w:rPr>
          <w:rFonts w:ascii="宋体" w:hAnsi="宋体" w:eastAsia="宋体"/>
          <w:b w:val="0"/>
          <w:sz w:val="21"/>
        </w:rPr>
        <w:t>在此背景下，本文以SL1500型风机齿轮箱为研究对象，结合SCADA、PLC、CMS、油液监测和检修记录等数据，设计并实现齿轮箱智能健康管理系统。系统通过实时监测、故障诊断、健康评分、剩余寿命估计和运维问答等功能，为风电场运维提供辅助决策依据。</w:t>
      </w:r>
    </w:p>
    <w:p w14:paraId="36B5754A">
      <w:pPr>
        <w:spacing w:before="240" w:after="120"/>
      </w:pPr>
      <w:r>
        <w:rPr>
          <w:rFonts w:ascii="黑体" w:hAnsi="黑体" w:eastAsia="黑体"/>
          <w:b/>
          <w:sz w:val="28"/>
        </w:rPr>
        <w:t>1.2 国内外研究现状</w:t>
      </w:r>
    </w:p>
    <w:p w14:paraId="2E70BD32">
      <w:pPr>
        <w:spacing w:after="0" w:line="360" w:lineRule="auto"/>
        <w:ind w:firstLine="420"/>
        <w:jc w:val="both"/>
      </w:pPr>
      <w:r>
        <w:rPr>
          <w:rFonts w:ascii="宋体" w:hAnsi="宋体" w:eastAsia="宋体"/>
          <w:b w:val="0"/>
          <w:sz w:val="21"/>
        </w:rPr>
        <w:t>目前，国内外关于风机齿轮箱状态监测的研究主要集中在振动信号分析、温度趋势预测、油液监测、机器学习故障分类和剩余寿命预测等方面。振动分析能够反映齿轮啮合、轴承冲击和轴系不对中等机械异常，是齿轮箱诊断中使用最广泛的方法之一。</w:t>
      </w:r>
    </w:p>
    <w:p w14:paraId="3031FCBC">
      <w:pPr>
        <w:spacing w:after="0" w:line="360" w:lineRule="auto"/>
        <w:ind w:firstLine="420"/>
        <w:jc w:val="both"/>
      </w:pPr>
      <w:r>
        <w:rPr>
          <w:rFonts w:ascii="宋体" w:hAnsi="宋体" w:eastAsia="宋体"/>
          <w:b w:val="0"/>
          <w:sz w:val="21"/>
        </w:rPr>
        <w:t>温度预测研究则重点关注齿轮箱油温与功率、风速、环境温度、转速和冷却状态之间的关系。由于油温会随工况变化而变化，直接使用固定阈值容易产生误判。基于支持向量回归、神经网络和集成学习的油温预测方法能够建立正常工况模型，并通过预测残差发现潜在热异常。</w:t>
      </w:r>
    </w:p>
    <w:p w14:paraId="6DB19ED4">
      <w:pPr>
        <w:spacing w:after="0" w:line="360" w:lineRule="auto"/>
        <w:ind w:firstLine="420"/>
        <w:jc w:val="both"/>
      </w:pPr>
      <w:r>
        <w:rPr>
          <w:rFonts w:ascii="宋体" w:hAnsi="宋体" w:eastAsia="宋体"/>
          <w:b w:val="0"/>
          <w:sz w:val="21"/>
        </w:rPr>
        <w:t>在系统实现方面，越来越多研究将算法模型与Web可视化平台结合，通过图表、报告和告警信息向运维人员展示诊断结论。但部分研究仍偏重模型精度，缺少与检修流程、工单闭环和可解释报告的结合。本文在借鉴相关研究的基础上，更强调诊断结果在风电运维场景中的可理解性和可执行性。</w:t>
      </w:r>
    </w:p>
    <w:p w14:paraId="5D7D763D">
      <w:pPr>
        <w:spacing w:before="240" w:after="120"/>
      </w:pPr>
      <w:r>
        <w:rPr>
          <w:rFonts w:ascii="黑体" w:hAnsi="黑体" w:eastAsia="黑体"/>
          <w:b/>
          <w:sz w:val="28"/>
        </w:rPr>
        <w:t>1.3 研究意义与目的</w:t>
      </w:r>
    </w:p>
    <w:p w14:paraId="01DDF9EA">
      <w:pPr>
        <w:spacing w:after="0" w:line="360" w:lineRule="auto"/>
        <w:ind w:firstLine="420"/>
        <w:jc w:val="both"/>
      </w:pPr>
      <w:r>
        <w:rPr>
          <w:rFonts w:ascii="宋体" w:hAnsi="宋体" w:eastAsia="宋体"/>
          <w:b w:val="0"/>
          <w:sz w:val="21"/>
        </w:rPr>
        <w:t>本文研究的意义主要体现在三个方面。首先，从设备运维角度看，齿轮箱智能健康管理能够提前发现潜在故障，减少非计划停机和大修风险。其次，从风电场管理角度看，健康评分和复检周期能够辅助运维人员安排检修优先级，提高检修资源利用效率。最后，从毕业设计实践角度看，本课题综合运用了数据分析、机器学习、Web开发、数据库和可视化技术，具有较强综合性。</w:t>
      </w:r>
    </w:p>
    <w:p w14:paraId="3A7F7F6C">
      <w:pPr>
        <w:spacing w:after="0" w:line="360" w:lineRule="auto"/>
        <w:ind w:firstLine="420"/>
        <w:jc w:val="both"/>
      </w:pPr>
      <w:r>
        <w:rPr>
          <w:rFonts w:ascii="宋体" w:hAnsi="宋体" w:eastAsia="宋体"/>
          <w:b w:val="0"/>
          <w:sz w:val="21"/>
        </w:rPr>
        <w:t>本文的研究目的包括：建立风机齿轮箱多源数据指标体系；设计M-IALO-SVR油温残差预测方法；构建故障诊断、健康评分和RUL评估流程；实现包含风场总览、单机详情、实时监测、故障管理、健康报告和AI问答的智能健康管理系统；通过功能测试验证系统可用性。</w:t>
      </w:r>
    </w:p>
    <w:p w14:paraId="0843C983">
      <w:pPr>
        <w:spacing w:after="0" w:line="360" w:lineRule="auto"/>
        <w:ind w:firstLine="420"/>
        <w:jc w:val="both"/>
      </w:pPr>
      <w:r>
        <w:rPr>
          <w:rFonts w:ascii="宋体" w:hAnsi="宋体" w:eastAsia="宋体"/>
          <w:b w:val="0"/>
          <w:sz w:val="21"/>
        </w:rPr>
        <w:t>从工程实际看，智能健康管理系统的目标并不是完全替代运维人员，而是为运维人员提供更及时、更集中和更可解释的信息。风电场中单台机组数据量不大，但当机组数量增加到几十台甚至上百台时，人工逐项查看指标会明显降低效率。通过系统自动汇总健康状态、风险等级和复检周期，可以帮助运维人员快速确定重点关注对象。</w:t>
      </w:r>
    </w:p>
    <w:p w14:paraId="54F0CA6A">
      <w:pPr>
        <w:spacing w:after="0" w:line="360" w:lineRule="auto"/>
        <w:ind w:firstLine="420"/>
        <w:jc w:val="both"/>
      </w:pPr>
      <w:r>
        <w:rPr>
          <w:rFonts w:ascii="宋体" w:hAnsi="宋体" w:eastAsia="宋体"/>
          <w:b w:val="0"/>
          <w:sz w:val="21"/>
        </w:rPr>
        <w:t>从教学实践看，本文选题能够把计算机专业知识与新能源装备运维问题结合起来。系统开发过程中涉及后端接口设计、数据库设计、前端交互、图表可视化、机器学习模型思路和文档报告生成，能够体现毕业设计对综合实践能力的训练要求。</w:t>
      </w:r>
    </w:p>
    <w:p w14:paraId="4CEDBD02">
      <w:pPr>
        <w:spacing w:before="240" w:after="120"/>
      </w:pPr>
      <w:r>
        <w:rPr>
          <w:rFonts w:ascii="黑体" w:hAnsi="黑体" w:eastAsia="黑体"/>
          <w:b/>
          <w:sz w:val="28"/>
        </w:rPr>
        <w:t>1.4 研究方法与思路</w:t>
      </w:r>
    </w:p>
    <w:p w14:paraId="05B96AF4">
      <w:pPr>
        <w:spacing w:after="0" w:line="360" w:lineRule="auto"/>
        <w:ind w:firstLine="420"/>
        <w:jc w:val="both"/>
      </w:pPr>
      <w:r>
        <w:rPr>
          <w:rFonts w:ascii="宋体" w:hAnsi="宋体" w:eastAsia="宋体"/>
          <w:b w:val="0"/>
          <w:sz w:val="21"/>
        </w:rPr>
        <w:t>本文采用文献研究、理论分析、系统设计、算法建模和实验验证相结合的方法。首先梳理风机齿轮箱故障类型与监测指标；其次设计SCADA、PLC、CMS、油液和检修台账数据接入方案；再次构建油温残差预测和健康评估方法；最后完成Web系统开发并通过模拟数据进行测试。</w:t>
      </w:r>
    </w:p>
    <w:p w14:paraId="6BB62E76">
      <w:pPr>
        <w:spacing w:after="0" w:line="360" w:lineRule="auto"/>
        <w:ind w:firstLine="420"/>
        <w:jc w:val="both"/>
      </w:pPr>
      <w:r>
        <w:rPr>
          <w:rFonts w:ascii="宋体" w:hAnsi="宋体" w:eastAsia="宋体"/>
          <w:b w:val="0"/>
          <w:sz w:val="21"/>
        </w:rPr>
        <w:t>本文研究思路遵循“先机理、后数据、再模型、最后系统”的路线。机理分析用于明确齿轮箱为什么会发生故障以及故障会影响哪些指标；数据分析用于确定系统需要采集哪些字段以及如何处理；模型设计用于把数据转化为诊断结论；系统实现则把模型结果以运维人员容易理解的形式展示出来。</w:t>
      </w:r>
    </w:p>
    <w:p w14:paraId="76C51B9B">
      <w:pPr>
        <w:jc w:val="center"/>
      </w:pPr>
      <w:r>
        <w:rPr>
          <w:rFonts w:ascii="黑体" w:hAnsi="黑体" w:eastAsia="黑体"/>
          <w:b/>
          <w:sz w:val="21"/>
        </w:rPr>
        <w:t>表1.1 研究方法与实施内容</w:t>
      </w:r>
    </w:p>
    <w:tbl>
      <w:tblPr>
        <w:tblStyle w:val="11"/>
        <w:tblW w:w="0" w:type="auto"/>
        <w:tblInd w:w="0" w:type="dxa"/>
        <w:tblLayout w:type="autofit"/>
        <w:tblCellMar>
          <w:top w:w="0" w:type="dxa"/>
          <w:left w:w="108" w:type="dxa"/>
          <w:bottom w:w="0" w:type="dxa"/>
          <w:right w:w="108" w:type="dxa"/>
        </w:tblCellMar>
      </w:tblPr>
      <w:tblGrid>
        <w:gridCol w:w="2963"/>
        <w:gridCol w:w="2964"/>
        <w:gridCol w:w="2963"/>
      </w:tblGrid>
      <w:tr w14:paraId="431CDFAB">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tcBorders>
            <w:vAlign w:val="center"/>
          </w:tcPr>
          <w:p w14:paraId="2D99F448">
            <w:pPr>
              <w:spacing w:line="288" w:lineRule="auto"/>
              <w:jc w:val="center"/>
            </w:pPr>
            <w:r>
              <w:rPr>
                <w:rFonts w:ascii="宋体" w:hAnsi="宋体" w:eastAsia="宋体"/>
                <w:b/>
                <w:sz w:val="19"/>
              </w:rPr>
              <w:t>研究方法</w:t>
            </w:r>
          </w:p>
        </w:tc>
        <w:tc>
          <w:tcPr>
            <w:tcW w:w="2986" w:type="dxa"/>
            <w:tcBorders>
              <w:top w:val="single" w:color="000000" w:sz="12" w:space="0"/>
              <w:left w:val="nil"/>
              <w:bottom w:val="single" w:color="000000" w:sz="6" w:space="0"/>
              <w:right w:val="nil"/>
            </w:tcBorders>
            <w:vAlign w:val="center"/>
          </w:tcPr>
          <w:p w14:paraId="7093AE56">
            <w:pPr>
              <w:spacing w:line="288" w:lineRule="auto"/>
              <w:jc w:val="center"/>
            </w:pPr>
            <w:r>
              <w:rPr>
                <w:rFonts w:ascii="宋体" w:hAnsi="宋体" w:eastAsia="宋体"/>
                <w:b/>
                <w:sz w:val="19"/>
              </w:rPr>
              <w:t>实施内容</w:t>
            </w:r>
          </w:p>
        </w:tc>
        <w:tc>
          <w:tcPr>
            <w:tcW w:w="2986" w:type="dxa"/>
            <w:tcBorders>
              <w:top w:val="single" w:color="000000" w:sz="12" w:space="0"/>
              <w:left w:val="nil"/>
              <w:bottom w:val="single" w:color="000000" w:sz="6" w:space="0"/>
              <w:right w:val="nil"/>
            </w:tcBorders>
            <w:vAlign w:val="center"/>
          </w:tcPr>
          <w:p w14:paraId="45052651">
            <w:pPr>
              <w:spacing w:line="288" w:lineRule="auto"/>
              <w:jc w:val="center"/>
            </w:pPr>
            <w:r>
              <w:rPr>
                <w:rFonts w:ascii="宋体" w:hAnsi="宋体" w:eastAsia="宋体"/>
                <w:b/>
                <w:sz w:val="19"/>
              </w:rPr>
              <w:t>作用</w:t>
            </w:r>
          </w:p>
        </w:tc>
      </w:tr>
      <w:tr w14:paraId="4015E13A">
        <w:tblPrEx>
          <w:tblCellMar>
            <w:top w:w="0" w:type="dxa"/>
            <w:left w:w="108" w:type="dxa"/>
            <w:bottom w:w="0" w:type="dxa"/>
            <w:right w:w="108" w:type="dxa"/>
          </w:tblCellMar>
        </w:tblPrEx>
        <w:tc>
          <w:tcPr>
            <w:tcW w:w="2986" w:type="dxa"/>
            <w:tcBorders>
              <w:top w:val="nil"/>
              <w:left w:val="nil"/>
              <w:bottom w:val="nil"/>
              <w:right w:val="nil"/>
            </w:tcBorders>
            <w:vAlign w:val="center"/>
          </w:tcPr>
          <w:p w14:paraId="1DF23C08">
            <w:pPr>
              <w:spacing w:line="288" w:lineRule="auto"/>
              <w:jc w:val="center"/>
            </w:pPr>
            <w:r>
              <w:rPr>
                <w:rFonts w:ascii="宋体" w:hAnsi="宋体" w:eastAsia="宋体"/>
                <w:b w:val="0"/>
                <w:sz w:val="19"/>
              </w:rPr>
              <w:t>文献研究法</w:t>
            </w:r>
          </w:p>
        </w:tc>
        <w:tc>
          <w:tcPr>
            <w:tcW w:w="2986" w:type="dxa"/>
            <w:tcBorders>
              <w:top w:val="nil"/>
              <w:left w:val="nil"/>
              <w:bottom w:val="nil"/>
              <w:right w:val="nil"/>
            </w:tcBorders>
            <w:vAlign w:val="center"/>
          </w:tcPr>
          <w:p w14:paraId="4770DDE4">
            <w:pPr>
              <w:spacing w:line="288" w:lineRule="auto"/>
              <w:jc w:val="left"/>
            </w:pPr>
            <w:r>
              <w:rPr>
                <w:rFonts w:ascii="宋体" w:hAnsi="宋体" w:eastAsia="宋体"/>
                <w:b w:val="0"/>
                <w:sz w:val="19"/>
              </w:rPr>
              <w:t>分析齿轮箱故障诊断、油温预测和健康评估相关研究</w:t>
            </w:r>
          </w:p>
        </w:tc>
        <w:tc>
          <w:tcPr>
            <w:tcW w:w="2986" w:type="dxa"/>
            <w:tcBorders>
              <w:top w:val="nil"/>
              <w:left w:val="nil"/>
              <w:bottom w:val="nil"/>
              <w:right w:val="nil"/>
            </w:tcBorders>
            <w:vAlign w:val="center"/>
          </w:tcPr>
          <w:p w14:paraId="21EB1B12">
            <w:pPr>
              <w:spacing w:line="288" w:lineRule="auto"/>
              <w:jc w:val="center"/>
            </w:pPr>
            <w:r>
              <w:rPr>
                <w:rFonts w:ascii="宋体" w:hAnsi="宋体" w:eastAsia="宋体"/>
                <w:b w:val="0"/>
                <w:sz w:val="19"/>
              </w:rPr>
              <w:t>形成理论基础</w:t>
            </w:r>
          </w:p>
        </w:tc>
      </w:tr>
      <w:tr w14:paraId="5983E29B">
        <w:tblPrEx>
          <w:tblCellMar>
            <w:top w:w="0" w:type="dxa"/>
            <w:left w:w="108" w:type="dxa"/>
            <w:bottom w:w="0" w:type="dxa"/>
            <w:right w:w="108" w:type="dxa"/>
          </w:tblCellMar>
        </w:tblPrEx>
        <w:tc>
          <w:tcPr>
            <w:tcW w:w="2986" w:type="dxa"/>
            <w:tcBorders>
              <w:top w:val="nil"/>
              <w:left w:val="nil"/>
              <w:bottom w:val="nil"/>
              <w:right w:val="nil"/>
            </w:tcBorders>
            <w:vAlign w:val="center"/>
          </w:tcPr>
          <w:p w14:paraId="002583F2">
            <w:pPr>
              <w:spacing w:line="288" w:lineRule="auto"/>
              <w:jc w:val="center"/>
            </w:pPr>
            <w:r>
              <w:rPr>
                <w:rFonts w:ascii="宋体" w:hAnsi="宋体" w:eastAsia="宋体"/>
                <w:b w:val="0"/>
                <w:sz w:val="19"/>
              </w:rPr>
              <w:t>理论分析法</w:t>
            </w:r>
          </w:p>
        </w:tc>
        <w:tc>
          <w:tcPr>
            <w:tcW w:w="2986" w:type="dxa"/>
            <w:tcBorders>
              <w:top w:val="nil"/>
              <w:left w:val="nil"/>
              <w:bottom w:val="nil"/>
              <w:right w:val="nil"/>
            </w:tcBorders>
            <w:vAlign w:val="center"/>
          </w:tcPr>
          <w:p w14:paraId="339EAD96">
            <w:pPr>
              <w:spacing w:line="288" w:lineRule="auto"/>
              <w:jc w:val="left"/>
            </w:pPr>
            <w:r>
              <w:rPr>
                <w:rFonts w:ascii="宋体" w:hAnsi="宋体" w:eastAsia="宋体"/>
                <w:b w:val="0"/>
                <w:sz w:val="19"/>
              </w:rPr>
              <w:t>分析齿轮、轴承、冷却和润滑故障机理</w:t>
            </w:r>
          </w:p>
        </w:tc>
        <w:tc>
          <w:tcPr>
            <w:tcW w:w="2986" w:type="dxa"/>
            <w:tcBorders>
              <w:top w:val="nil"/>
              <w:left w:val="nil"/>
              <w:bottom w:val="nil"/>
              <w:right w:val="nil"/>
            </w:tcBorders>
            <w:vAlign w:val="center"/>
          </w:tcPr>
          <w:p w14:paraId="791A6B83">
            <w:pPr>
              <w:spacing w:line="288" w:lineRule="auto"/>
              <w:jc w:val="center"/>
            </w:pPr>
            <w:r>
              <w:rPr>
                <w:rFonts w:ascii="宋体" w:hAnsi="宋体" w:eastAsia="宋体"/>
                <w:b w:val="0"/>
                <w:sz w:val="19"/>
              </w:rPr>
              <w:t>确定指标体系</w:t>
            </w:r>
          </w:p>
        </w:tc>
      </w:tr>
      <w:tr w14:paraId="1505E3C3">
        <w:tblPrEx>
          <w:tblCellMar>
            <w:top w:w="0" w:type="dxa"/>
            <w:left w:w="108" w:type="dxa"/>
            <w:bottom w:w="0" w:type="dxa"/>
            <w:right w:w="108" w:type="dxa"/>
          </w:tblCellMar>
        </w:tblPrEx>
        <w:tc>
          <w:tcPr>
            <w:tcW w:w="2986" w:type="dxa"/>
            <w:tcBorders>
              <w:top w:val="nil"/>
              <w:left w:val="nil"/>
              <w:bottom w:val="nil"/>
              <w:right w:val="nil"/>
            </w:tcBorders>
            <w:vAlign w:val="center"/>
          </w:tcPr>
          <w:p w14:paraId="275DD6A2">
            <w:pPr>
              <w:spacing w:line="288" w:lineRule="auto"/>
              <w:jc w:val="center"/>
            </w:pPr>
            <w:r>
              <w:rPr>
                <w:rFonts w:ascii="宋体" w:hAnsi="宋体" w:eastAsia="宋体"/>
                <w:b w:val="0"/>
                <w:sz w:val="19"/>
              </w:rPr>
              <w:t>数据驱动法</w:t>
            </w:r>
          </w:p>
        </w:tc>
        <w:tc>
          <w:tcPr>
            <w:tcW w:w="2986" w:type="dxa"/>
            <w:tcBorders>
              <w:top w:val="nil"/>
              <w:left w:val="nil"/>
              <w:bottom w:val="nil"/>
              <w:right w:val="nil"/>
            </w:tcBorders>
            <w:vAlign w:val="center"/>
          </w:tcPr>
          <w:p w14:paraId="30307B6F">
            <w:pPr>
              <w:spacing w:line="288" w:lineRule="auto"/>
              <w:jc w:val="left"/>
            </w:pPr>
            <w:r>
              <w:rPr>
                <w:rFonts w:ascii="宋体" w:hAnsi="宋体" w:eastAsia="宋体"/>
                <w:b w:val="0"/>
                <w:sz w:val="19"/>
              </w:rPr>
              <w:t>利用温度、振动、油液和工况数据构建诊断规则</w:t>
            </w:r>
          </w:p>
        </w:tc>
        <w:tc>
          <w:tcPr>
            <w:tcW w:w="2986" w:type="dxa"/>
            <w:tcBorders>
              <w:top w:val="nil"/>
              <w:left w:val="nil"/>
              <w:bottom w:val="nil"/>
              <w:right w:val="nil"/>
            </w:tcBorders>
            <w:vAlign w:val="center"/>
          </w:tcPr>
          <w:p w14:paraId="693FFF94">
            <w:pPr>
              <w:spacing w:line="288" w:lineRule="auto"/>
              <w:jc w:val="center"/>
            </w:pPr>
            <w:r>
              <w:rPr>
                <w:rFonts w:ascii="宋体" w:hAnsi="宋体" w:eastAsia="宋体"/>
                <w:b w:val="0"/>
                <w:sz w:val="19"/>
              </w:rPr>
              <w:t>支撑智能诊断</w:t>
            </w:r>
          </w:p>
        </w:tc>
      </w:tr>
      <w:tr w14:paraId="28DCA95A">
        <w:tblPrEx>
          <w:tblCellMar>
            <w:top w:w="0" w:type="dxa"/>
            <w:left w:w="108" w:type="dxa"/>
            <w:bottom w:w="0" w:type="dxa"/>
            <w:right w:w="108" w:type="dxa"/>
          </w:tblCellMar>
        </w:tblPrEx>
        <w:tc>
          <w:tcPr>
            <w:tcW w:w="2986" w:type="dxa"/>
            <w:tcBorders>
              <w:top w:val="nil"/>
              <w:left w:val="nil"/>
              <w:bottom w:val="nil"/>
              <w:right w:val="nil"/>
            </w:tcBorders>
            <w:vAlign w:val="center"/>
          </w:tcPr>
          <w:p w14:paraId="0FEF256F">
            <w:pPr>
              <w:spacing w:line="288" w:lineRule="auto"/>
              <w:jc w:val="center"/>
            </w:pPr>
            <w:r>
              <w:rPr>
                <w:rFonts w:ascii="宋体" w:hAnsi="宋体" w:eastAsia="宋体"/>
                <w:b w:val="0"/>
                <w:sz w:val="19"/>
              </w:rPr>
              <w:t>系统设计法</w:t>
            </w:r>
          </w:p>
        </w:tc>
        <w:tc>
          <w:tcPr>
            <w:tcW w:w="2986" w:type="dxa"/>
            <w:tcBorders>
              <w:top w:val="nil"/>
              <w:left w:val="nil"/>
              <w:bottom w:val="nil"/>
              <w:right w:val="nil"/>
            </w:tcBorders>
            <w:vAlign w:val="center"/>
          </w:tcPr>
          <w:p w14:paraId="51373B5C">
            <w:pPr>
              <w:spacing w:line="288" w:lineRule="auto"/>
              <w:jc w:val="left"/>
            </w:pPr>
            <w:r>
              <w:rPr>
                <w:rFonts w:ascii="宋体" w:hAnsi="宋体" w:eastAsia="宋体"/>
                <w:b w:val="0"/>
                <w:sz w:val="19"/>
              </w:rPr>
              <w:t>设计前后端架构、数据库和页面交互</w:t>
            </w:r>
          </w:p>
        </w:tc>
        <w:tc>
          <w:tcPr>
            <w:tcW w:w="2986" w:type="dxa"/>
            <w:tcBorders>
              <w:top w:val="nil"/>
              <w:left w:val="nil"/>
              <w:bottom w:val="nil"/>
              <w:right w:val="nil"/>
            </w:tcBorders>
            <w:vAlign w:val="center"/>
          </w:tcPr>
          <w:p w14:paraId="7A903E48">
            <w:pPr>
              <w:spacing w:line="288" w:lineRule="auto"/>
              <w:jc w:val="center"/>
            </w:pPr>
            <w:r>
              <w:rPr>
                <w:rFonts w:ascii="宋体" w:hAnsi="宋体" w:eastAsia="宋体"/>
                <w:b w:val="0"/>
                <w:sz w:val="19"/>
              </w:rPr>
              <w:t>实现工程原型</w:t>
            </w:r>
          </w:p>
        </w:tc>
      </w:tr>
      <w:tr w14:paraId="2B9EBAF0">
        <w:tblPrEx>
          <w:tblCellMar>
            <w:top w:w="0" w:type="dxa"/>
            <w:left w:w="108" w:type="dxa"/>
            <w:bottom w:w="0" w:type="dxa"/>
            <w:right w:w="108" w:type="dxa"/>
          </w:tblCellMar>
        </w:tblPrEx>
        <w:tc>
          <w:tcPr>
            <w:tcW w:w="2986" w:type="dxa"/>
            <w:tcBorders>
              <w:top w:val="nil"/>
              <w:left w:val="nil"/>
              <w:bottom w:val="single" w:color="000000" w:sz="12" w:space="0"/>
              <w:right w:val="nil"/>
            </w:tcBorders>
            <w:vAlign w:val="center"/>
          </w:tcPr>
          <w:p w14:paraId="62F419C4">
            <w:pPr>
              <w:spacing w:line="288" w:lineRule="auto"/>
              <w:jc w:val="center"/>
            </w:pPr>
            <w:r>
              <w:rPr>
                <w:rFonts w:ascii="宋体" w:hAnsi="宋体" w:eastAsia="宋体"/>
                <w:b w:val="0"/>
                <w:sz w:val="19"/>
              </w:rPr>
              <w:t>测试验证法</w:t>
            </w:r>
          </w:p>
        </w:tc>
        <w:tc>
          <w:tcPr>
            <w:tcW w:w="2986" w:type="dxa"/>
            <w:tcBorders>
              <w:top w:val="nil"/>
              <w:left w:val="nil"/>
              <w:bottom w:val="single" w:color="000000" w:sz="12" w:space="0"/>
              <w:right w:val="nil"/>
            </w:tcBorders>
            <w:vAlign w:val="center"/>
          </w:tcPr>
          <w:p w14:paraId="13ACF672">
            <w:pPr>
              <w:spacing w:line="288" w:lineRule="auto"/>
              <w:jc w:val="left"/>
            </w:pPr>
            <w:r>
              <w:rPr>
                <w:rFonts w:ascii="宋体" w:hAnsi="宋体" w:eastAsia="宋体"/>
                <w:b w:val="0"/>
                <w:sz w:val="19"/>
              </w:rPr>
              <w:t>开展功能、接口和展示效果测试</w:t>
            </w:r>
          </w:p>
        </w:tc>
        <w:tc>
          <w:tcPr>
            <w:tcW w:w="2986" w:type="dxa"/>
            <w:tcBorders>
              <w:top w:val="nil"/>
              <w:left w:val="nil"/>
              <w:bottom w:val="single" w:color="000000" w:sz="12" w:space="0"/>
              <w:right w:val="nil"/>
            </w:tcBorders>
            <w:vAlign w:val="center"/>
          </w:tcPr>
          <w:p w14:paraId="0719196F">
            <w:pPr>
              <w:spacing w:line="288" w:lineRule="auto"/>
              <w:jc w:val="center"/>
            </w:pPr>
            <w:r>
              <w:rPr>
                <w:rFonts w:ascii="宋体" w:hAnsi="宋体" w:eastAsia="宋体"/>
                <w:b w:val="0"/>
                <w:sz w:val="19"/>
              </w:rPr>
              <w:t>验证系统可用性</w:t>
            </w:r>
          </w:p>
        </w:tc>
      </w:tr>
    </w:tbl>
    <w:p w14:paraId="64C2C96C"/>
    <w:p w14:paraId="47CB7F44">
      <w:pPr>
        <w:spacing w:before="240" w:after="120"/>
      </w:pPr>
      <w:r>
        <w:rPr>
          <w:rFonts w:ascii="黑体" w:hAnsi="黑体" w:eastAsia="黑体"/>
          <w:b/>
          <w:sz w:val="28"/>
        </w:rPr>
        <w:t>1.5 论文结构</w:t>
      </w:r>
    </w:p>
    <w:p w14:paraId="2C1B9430">
      <w:pPr>
        <w:spacing w:after="0" w:line="360" w:lineRule="auto"/>
        <w:ind w:firstLine="420"/>
        <w:jc w:val="both"/>
      </w:pPr>
      <w:r>
        <w:rPr>
          <w:rFonts w:ascii="宋体" w:hAnsi="宋体" w:eastAsia="宋体"/>
          <w:b w:val="0"/>
          <w:sz w:val="21"/>
        </w:rPr>
        <w:t>本文共分为五章。第1章介绍研究背景、研究现状、研究意义、研究方法与论文结构；第2章介绍风机齿轮箱状态监测、数据采集、机器学习和Web可视化等相关技术；第3章阐述系统需求、多源数据预处理、M-IALO-SVR油温残差预测和健康评估方法；第4章介绍系统开发环境、功能模块实现、测试结果和前端展示；第5章总结研究成果，分析不足并提出后续研究方向。</w:t>
      </w:r>
    </w:p>
    <w:p w14:paraId="2341A953">
      <w:r>
        <w:br w:type="page"/>
      </w:r>
    </w:p>
    <w:p w14:paraId="26ABA4BD">
      <w:pPr>
        <w:spacing w:after="240"/>
        <w:jc w:val="center"/>
      </w:pPr>
      <w:r>
        <w:rPr>
          <w:rFonts w:ascii="黑体" w:hAnsi="黑体" w:eastAsia="黑体"/>
          <w:b/>
          <w:sz w:val="32"/>
        </w:rPr>
        <w:t>第2章 相关技术研究</w:t>
      </w:r>
    </w:p>
    <w:p w14:paraId="206ADF49">
      <w:pPr>
        <w:spacing w:before="240" w:after="120"/>
      </w:pPr>
      <w:r>
        <w:rPr>
          <w:rFonts w:ascii="黑体" w:hAnsi="黑体" w:eastAsia="黑体"/>
          <w:b/>
          <w:sz w:val="28"/>
        </w:rPr>
        <w:t>2.1 风机齿轮箱状态监测技术</w:t>
      </w:r>
    </w:p>
    <w:p w14:paraId="1A77680C">
      <w:pPr>
        <w:spacing w:after="0" w:line="360" w:lineRule="auto"/>
        <w:ind w:firstLine="420"/>
        <w:jc w:val="both"/>
      </w:pPr>
      <w:r>
        <w:rPr>
          <w:rFonts w:ascii="宋体" w:hAnsi="宋体" w:eastAsia="宋体"/>
          <w:b w:val="0"/>
          <w:sz w:val="21"/>
        </w:rPr>
        <w:t>风机齿轮箱状态监测主要包括振动监测、温度监测、油液监测和报警事件分析。振动监测能够反映齿轮啮合冲击、轴承局部损伤和轴系不对中等机械问题；温度监测能够反映润滑、冷却和摩擦状态；油液监测能够反映污染、磨损颗粒和润滑油老化情况；报警事件则能够反映机组保护动作和停机原因。</w:t>
      </w:r>
    </w:p>
    <w:p w14:paraId="241D7F51">
      <w:pPr>
        <w:spacing w:after="0" w:line="360" w:lineRule="auto"/>
        <w:ind w:firstLine="420"/>
        <w:jc w:val="both"/>
      </w:pPr>
      <w:r>
        <w:rPr>
          <w:rFonts w:ascii="宋体" w:hAnsi="宋体" w:eastAsia="宋体"/>
          <w:b w:val="0"/>
          <w:sz w:val="21"/>
        </w:rPr>
        <w:t>齿轮箱振动监测通常需要同时关注时域、频域和时频域特征。时域特征包括均值、方差、均方根值、峰值、峭度和峰值因子等，能够反映整体振动强度和冲击程度；频域特征则通过频谱分析观察啮合频率、轴承故障特征频率及其边带；时频域方法适合处理非平稳信号，能够观察故障冲击随时间的变化。对于风机齿轮箱而言，由于转速和载荷随风况变化，单一特征很难完整反映设备状态，因此需要多特征联合判断。</w:t>
      </w:r>
    </w:p>
    <w:p w14:paraId="2DCED7A2">
      <w:pPr>
        <w:spacing w:after="0" w:line="360" w:lineRule="auto"/>
        <w:ind w:firstLine="420"/>
        <w:jc w:val="both"/>
      </w:pPr>
      <w:r>
        <w:rPr>
          <w:rFonts w:ascii="宋体" w:hAnsi="宋体" w:eastAsia="宋体"/>
          <w:b w:val="0"/>
          <w:sz w:val="21"/>
        </w:rPr>
        <w:t>温度监测的优势在于采集成本低、数据稳定且便于长期趋势分析。齿轮箱油温升高通常与负载、环境温度、润滑状态和冷却系统效率有关。当机组处于高功率运行状态时，油温适度上升属于正常现象；但若在相似工况下油温持续高于历史水平，就可能说明冷却系统、润滑油或轴承摩擦状态存在异常。因此，本文没有简单采用固定油温阈值，而是引入油温预测与残差分析思想。</w:t>
      </w:r>
    </w:p>
    <w:p w14:paraId="5AC8F892">
      <w:pPr>
        <w:spacing w:after="0" w:line="360" w:lineRule="auto"/>
        <w:ind w:firstLine="420"/>
        <w:jc w:val="both"/>
      </w:pPr>
      <w:r>
        <w:rPr>
          <w:rFonts w:ascii="宋体" w:hAnsi="宋体" w:eastAsia="宋体"/>
          <w:b w:val="0"/>
          <w:sz w:val="21"/>
        </w:rPr>
        <w:t>油液监测是机械设备状态监测中的重要辅助手段。润滑油中的颗粒度、水分和金属磨粒能够反映齿轮与轴承的磨损程度。对于风机齿轮箱，油液数据采样频率通常低于SCADA和CMS数据，但其对润滑失效和磨损故障具有较强指示意义。将油液特征与振动、温度和报警记录融合，可以提高故障诊断的可靠性。</w:t>
      </w:r>
    </w:p>
    <w:p w14:paraId="101064A4">
      <w:pPr>
        <w:jc w:val="center"/>
      </w:pPr>
      <w:r>
        <w:rPr>
          <w:rFonts w:ascii="黑体" w:hAnsi="黑体" w:eastAsia="黑体"/>
          <w:b/>
          <w:sz w:val="21"/>
        </w:rPr>
        <w:t>表2.1 齿轮箱典型故障与监测特征</w:t>
      </w:r>
    </w:p>
    <w:tbl>
      <w:tblPr>
        <w:tblStyle w:val="11"/>
        <w:tblW w:w="0" w:type="auto"/>
        <w:tblInd w:w="0" w:type="dxa"/>
        <w:tblLayout w:type="autofit"/>
        <w:tblCellMar>
          <w:top w:w="0" w:type="dxa"/>
          <w:left w:w="108" w:type="dxa"/>
          <w:bottom w:w="0" w:type="dxa"/>
          <w:right w:w="108" w:type="dxa"/>
        </w:tblCellMar>
      </w:tblPr>
      <w:tblGrid>
        <w:gridCol w:w="2961"/>
        <w:gridCol w:w="2964"/>
        <w:gridCol w:w="2965"/>
      </w:tblGrid>
      <w:tr w14:paraId="26246471">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tcBorders>
            <w:vAlign w:val="center"/>
          </w:tcPr>
          <w:p w14:paraId="7220086D">
            <w:pPr>
              <w:spacing w:line="288" w:lineRule="auto"/>
              <w:jc w:val="center"/>
            </w:pPr>
            <w:r>
              <w:rPr>
                <w:rFonts w:ascii="宋体" w:hAnsi="宋体" w:eastAsia="宋体"/>
                <w:b/>
                <w:sz w:val="19"/>
              </w:rPr>
              <w:t>故障类型</w:t>
            </w:r>
          </w:p>
        </w:tc>
        <w:tc>
          <w:tcPr>
            <w:tcW w:w="2986" w:type="dxa"/>
            <w:tcBorders>
              <w:top w:val="single" w:color="000000" w:sz="12" w:space="0"/>
              <w:left w:val="nil"/>
              <w:bottom w:val="single" w:color="000000" w:sz="6" w:space="0"/>
              <w:right w:val="nil"/>
            </w:tcBorders>
            <w:vAlign w:val="center"/>
          </w:tcPr>
          <w:p w14:paraId="63F516CB">
            <w:pPr>
              <w:spacing w:line="288" w:lineRule="auto"/>
              <w:jc w:val="center"/>
            </w:pPr>
            <w:r>
              <w:rPr>
                <w:rFonts w:ascii="宋体" w:hAnsi="宋体" w:eastAsia="宋体"/>
                <w:b/>
                <w:sz w:val="19"/>
              </w:rPr>
              <w:t>主要表现</w:t>
            </w:r>
          </w:p>
        </w:tc>
        <w:tc>
          <w:tcPr>
            <w:tcW w:w="2986" w:type="dxa"/>
            <w:tcBorders>
              <w:top w:val="single" w:color="000000" w:sz="12" w:space="0"/>
              <w:left w:val="nil"/>
              <w:bottom w:val="single" w:color="000000" w:sz="6" w:space="0"/>
              <w:right w:val="nil"/>
            </w:tcBorders>
            <w:vAlign w:val="center"/>
          </w:tcPr>
          <w:p w14:paraId="51D0453B">
            <w:pPr>
              <w:spacing w:line="288" w:lineRule="auto"/>
              <w:jc w:val="center"/>
            </w:pPr>
            <w:r>
              <w:rPr>
                <w:rFonts w:ascii="宋体" w:hAnsi="宋体" w:eastAsia="宋体"/>
                <w:b/>
                <w:sz w:val="19"/>
              </w:rPr>
              <w:t>监测指标</w:t>
            </w:r>
          </w:p>
        </w:tc>
      </w:tr>
      <w:tr w14:paraId="3A0E458F">
        <w:tblPrEx>
          <w:tblCellMar>
            <w:top w:w="0" w:type="dxa"/>
            <w:left w:w="108" w:type="dxa"/>
            <w:bottom w:w="0" w:type="dxa"/>
            <w:right w:w="108" w:type="dxa"/>
          </w:tblCellMar>
        </w:tblPrEx>
        <w:tc>
          <w:tcPr>
            <w:tcW w:w="2986" w:type="dxa"/>
            <w:tcBorders>
              <w:top w:val="nil"/>
              <w:left w:val="nil"/>
              <w:bottom w:val="nil"/>
              <w:right w:val="nil"/>
            </w:tcBorders>
            <w:vAlign w:val="center"/>
          </w:tcPr>
          <w:p w14:paraId="08FE5FE2">
            <w:pPr>
              <w:spacing w:line="288" w:lineRule="auto"/>
              <w:jc w:val="center"/>
            </w:pPr>
            <w:r>
              <w:rPr>
                <w:rFonts w:ascii="宋体" w:hAnsi="宋体" w:eastAsia="宋体"/>
                <w:b w:val="0"/>
                <w:sz w:val="19"/>
              </w:rPr>
              <w:t>齿轮磨损</w:t>
            </w:r>
          </w:p>
        </w:tc>
        <w:tc>
          <w:tcPr>
            <w:tcW w:w="2986" w:type="dxa"/>
            <w:tcBorders>
              <w:top w:val="nil"/>
              <w:left w:val="nil"/>
              <w:bottom w:val="nil"/>
              <w:right w:val="nil"/>
            </w:tcBorders>
            <w:vAlign w:val="center"/>
          </w:tcPr>
          <w:p w14:paraId="05A992DA">
            <w:pPr>
              <w:spacing w:line="288" w:lineRule="auto"/>
              <w:jc w:val="left"/>
            </w:pPr>
            <w:r>
              <w:rPr>
                <w:rFonts w:ascii="宋体" w:hAnsi="宋体" w:eastAsia="宋体"/>
                <w:b w:val="0"/>
                <w:sz w:val="19"/>
              </w:rPr>
              <w:t>啮合频率能量升高，油液颗粒增加</w:t>
            </w:r>
          </w:p>
        </w:tc>
        <w:tc>
          <w:tcPr>
            <w:tcW w:w="2986" w:type="dxa"/>
            <w:tcBorders>
              <w:top w:val="nil"/>
              <w:left w:val="nil"/>
              <w:bottom w:val="nil"/>
              <w:right w:val="nil"/>
            </w:tcBorders>
            <w:vAlign w:val="center"/>
          </w:tcPr>
          <w:p w14:paraId="178859CC">
            <w:pPr>
              <w:spacing w:line="288" w:lineRule="auto"/>
              <w:jc w:val="center"/>
            </w:pPr>
            <w:r>
              <w:rPr>
                <w:rFonts w:ascii="宋体" w:hAnsi="宋体" w:eastAsia="宋体"/>
                <w:b w:val="0"/>
                <w:sz w:val="19"/>
              </w:rPr>
              <w:t>振动频谱、油液NAS</w:t>
            </w:r>
          </w:p>
        </w:tc>
      </w:tr>
      <w:tr w14:paraId="2D7B524F">
        <w:tblPrEx>
          <w:tblCellMar>
            <w:top w:w="0" w:type="dxa"/>
            <w:left w:w="108" w:type="dxa"/>
            <w:bottom w:w="0" w:type="dxa"/>
            <w:right w:w="108" w:type="dxa"/>
          </w:tblCellMar>
        </w:tblPrEx>
        <w:tc>
          <w:tcPr>
            <w:tcW w:w="2986" w:type="dxa"/>
            <w:tcBorders>
              <w:top w:val="nil"/>
              <w:left w:val="nil"/>
              <w:bottom w:val="nil"/>
              <w:right w:val="nil"/>
            </w:tcBorders>
            <w:vAlign w:val="center"/>
          </w:tcPr>
          <w:p w14:paraId="50E68DC5">
            <w:pPr>
              <w:spacing w:line="288" w:lineRule="auto"/>
              <w:jc w:val="center"/>
            </w:pPr>
            <w:r>
              <w:rPr>
                <w:rFonts w:ascii="宋体" w:hAnsi="宋体" w:eastAsia="宋体"/>
                <w:b w:val="0"/>
                <w:sz w:val="19"/>
              </w:rPr>
              <w:t>齿面点蚀</w:t>
            </w:r>
          </w:p>
        </w:tc>
        <w:tc>
          <w:tcPr>
            <w:tcW w:w="2986" w:type="dxa"/>
            <w:tcBorders>
              <w:top w:val="nil"/>
              <w:left w:val="nil"/>
              <w:bottom w:val="nil"/>
              <w:right w:val="nil"/>
            </w:tcBorders>
            <w:vAlign w:val="center"/>
          </w:tcPr>
          <w:p w14:paraId="3CD98E0E">
            <w:pPr>
              <w:spacing w:line="288" w:lineRule="auto"/>
              <w:jc w:val="left"/>
            </w:pPr>
            <w:r>
              <w:rPr>
                <w:rFonts w:ascii="宋体" w:hAnsi="宋体" w:eastAsia="宋体"/>
                <w:b w:val="0"/>
                <w:sz w:val="19"/>
              </w:rPr>
              <w:t>周期冲击增强，包络谱峰值明显</w:t>
            </w:r>
          </w:p>
        </w:tc>
        <w:tc>
          <w:tcPr>
            <w:tcW w:w="2986" w:type="dxa"/>
            <w:tcBorders>
              <w:top w:val="nil"/>
              <w:left w:val="nil"/>
              <w:bottom w:val="nil"/>
              <w:right w:val="nil"/>
            </w:tcBorders>
            <w:vAlign w:val="center"/>
          </w:tcPr>
          <w:p w14:paraId="5643748A">
            <w:pPr>
              <w:spacing w:line="288" w:lineRule="auto"/>
              <w:jc w:val="center"/>
            </w:pPr>
            <w:r>
              <w:rPr>
                <w:rFonts w:ascii="宋体" w:hAnsi="宋体" w:eastAsia="宋体"/>
                <w:b w:val="0"/>
                <w:sz w:val="19"/>
              </w:rPr>
              <w:t>包络谱、峭度</w:t>
            </w:r>
          </w:p>
        </w:tc>
      </w:tr>
      <w:tr w14:paraId="3EB9DD74">
        <w:tblPrEx>
          <w:tblCellMar>
            <w:top w:w="0" w:type="dxa"/>
            <w:left w:w="108" w:type="dxa"/>
            <w:bottom w:w="0" w:type="dxa"/>
            <w:right w:w="108" w:type="dxa"/>
          </w:tblCellMar>
        </w:tblPrEx>
        <w:tc>
          <w:tcPr>
            <w:tcW w:w="2986" w:type="dxa"/>
            <w:tcBorders>
              <w:top w:val="nil"/>
              <w:left w:val="nil"/>
              <w:bottom w:val="nil"/>
              <w:right w:val="nil"/>
            </w:tcBorders>
            <w:vAlign w:val="center"/>
          </w:tcPr>
          <w:p w14:paraId="47C51216">
            <w:pPr>
              <w:spacing w:line="288" w:lineRule="auto"/>
              <w:jc w:val="center"/>
            </w:pPr>
            <w:r>
              <w:rPr>
                <w:rFonts w:ascii="宋体" w:hAnsi="宋体" w:eastAsia="宋体"/>
                <w:b w:val="0"/>
                <w:sz w:val="19"/>
              </w:rPr>
              <w:t>轴承异常</w:t>
            </w:r>
          </w:p>
        </w:tc>
        <w:tc>
          <w:tcPr>
            <w:tcW w:w="2986" w:type="dxa"/>
            <w:tcBorders>
              <w:top w:val="nil"/>
              <w:left w:val="nil"/>
              <w:bottom w:val="nil"/>
              <w:right w:val="nil"/>
            </w:tcBorders>
            <w:vAlign w:val="center"/>
          </w:tcPr>
          <w:p w14:paraId="5FDF9C4D">
            <w:pPr>
              <w:spacing w:line="288" w:lineRule="auto"/>
              <w:jc w:val="center"/>
            </w:pPr>
            <w:r>
              <w:rPr>
                <w:rFonts w:ascii="宋体" w:hAnsi="宋体" w:eastAsia="宋体"/>
                <w:b w:val="0"/>
                <w:sz w:val="19"/>
              </w:rPr>
              <w:t>高频冲击和温度升高</w:t>
            </w:r>
          </w:p>
        </w:tc>
        <w:tc>
          <w:tcPr>
            <w:tcW w:w="2986" w:type="dxa"/>
            <w:tcBorders>
              <w:top w:val="nil"/>
              <w:left w:val="nil"/>
              <w:bottom w:val="nil"/>
              <w:right w:val="nil"/>
            </w:tcBorders>
            <w:vAlign w:val="center"/>
          </w:tcPr>
          <w:p w14:paraId="7F802E58">
            <w:pPr>
              <w:spacing w:line="288" w:lineRule="auto"/>
              <w:jc w:val="center"/>
            </w:pPr>
            <w:r>
              <w:rPr>
                <w:rFonts w:ascii="宋体" w:hAnsi="宋体" w:eastAsia="宋体"/>
                <w:b w:val="0"/>
                <w:sz w:val="19"/>
              </w:rPr>
              <w:t>RMS、轴承温度</w:t>
            </w:r>
          </w:p>
        </w:tc>
      </w:tr>
      <w:tr w14:paraId="72F9F676">
        <w:tblPrEx>
          <w:tblCellMar>
            <w:top w:w="0" w:type="dxa"/>
            <w:left w:w="108" w:type="dxa"/>
            <w:bottom w:w="0" w:type="dxa"/>
            <w:right w:w="108" w:type="dxa"/>
          </w:tblCellMar>
        </w:tblPrEx>
        <w:tc>
          <w:tcPr>
            <w:tcW w:w="2986" w:type="dxa"/>
            <w:tcBorders>
              <w:top w:val="nil"/>
              <w:left w:val="nil"/>
              <w:bottom w:val="nil"/>
              <w:right w:val="nil"/>
            </w:tcBorders>
            <w:vAlign w:val="center"/>
          </w:tcPr>
          <w:p w14:paraId="2CFD2786">
            <w:pPr>
              <w:spacing w:line="288" w:lineRule="auto"/>
              <w:jc w:val="center"/>
            </w:pPr>
            <w:r>
              <w:rPr>
                <w:rFonts w:ascii="宋体" w:hAnsi="宋体" w:eastAsia="宋体"/>
                <w:b w:val="0"/>
                <w:sz w:val="19"/>
              </w:rPr>
              <w:t>冷却故障</w:t>
            </w:r>
          </w:p>
        </w:tc>
        <w:tc>
          <w:tcPr>
            <w:tcW w:w="2986" w:type="dxa"/>
            <w:tcBorders>
              <w:top w:val="nil"/>
              <w:left w:val="nil"/>
              <w:bottom w:val="nil"/>
              <w:right w:val="nil"/>
            </w:tcBorders>
            <w:vAlign w:val="center"/>
          </w:tcPr>
          <w:p w14:paraId="235E7961">
            <w:pPr>
              <w:spacing w:line="288" w:lineRule="auto"/>
              <w:jc w:val="center"/>
            </w:pPr>
            <w:r>
              <w:rPr>
                <w:rFonts w:ascii="宋体" w:hAnsi="宋体" w:eastAsia="宋体"/>
                <w:b w:val="0"/>
                <w:sz w:val="19"/>
              </w:rPr>
              <w:t>油温残差持续增大</w:t>
            </w:r>
          </w:p>
        </w:tc>
        <w:tc>
          <w:tcPr>
            <w:tcW w:w="2986" w:type="dxa"/>
            <w:tcBorders>
              <w:top w:val="nil"/>
              <w:left w:val="nil"/>
              <w:bottom w:val="nil"/>
              <w:right w:val="nil"/>
            </w:tcBorders>
            <w:vAlign w:val="center"/>
          </w:tcPr>
          <w:p w14:paraId="628790C3">
            <w:pPr>
              <w:spacing w:line="288" w:lineRule="auto"/>
              <w:jc w:val="center"/>
            </w:pPr>
            <w:r>
              <w:rPr>
                <w:rFonts w:ascii="宋体" w:hAnsi="宋体" w:eastAsia="宋体"/>
                <w:b w:val="0"/>
                <w:sz w:val="19"/>
              </w:rPr>
              <w:t>油温、功率、环境温度</w:t>
            </w:r>
          </w:p>
        </w:tc>
      </w:tr>
      <w:tr w14:paraId="287CA2AD">
        <w:tblPrEx>
          <w:tblCellMar>
            <w:top w:w="0" w:type="dxa"/>
            <w:left w:w="108" w:type="dxa"/>
            <w:bottom w:w="0" w:type="dxa"/>
            <w:right w:w="108" w:type="dxa"/>
          </w:tblCellMar>
        </w:tblPrEx>
        <w:tc>
          <w:tcPr>
            <w:tcW w:w="2986" w:type="dxa"/>
            <w:tcBorders>
              <w:top w:val="nil"/>
              <w:left w:val="nil"/>
              <w:bottom w:val="single" w:color="000000" w:sz="12" w:space="0"/>
              <w:right w:val="nil"/>
            </w:tcBorders>
            <w:vAlign w:val="center"/>
          </w:tcPr>
          <w:p w14:paraId="03132552">
            <w:pPr>
              <w:spacing w:line="288" w:lineRule="auto"/>
              <w:jc w:val="center"/>
            </w:pPr>
            <w:r>
              <w:rPr>
                <w:rFonts w:ascii="宋体" w:hAnsi="宋体" w:eastAsia="宋体"/>
                <w:b w:val="0"/>
                <w:sz w:val="19"/>
              </w:rPr>
              <w:t>润滑污染</w:t>
            </w:r>
          </w:p>
        </w:tc>
        <w:tc>
          <w:tcPr>
            <w:tcW w:w="2986" w:type="dxa"/>
            <w:tcBorders>
              <w:top w:val="nil"/>
              <w:left w:val="nil"/>
              <w:bottom w:val="single" w:color="000000" w:sz="12" w:space="0"/>
              <w:right w:val="nil"/>
            </w:tcBorders>
            <w:vAlign w:val="center"/>
          </w:tcPr>
          <w:p w14:paraId="475AA997">
            <w:pPr>
              <w:spacing w:line="288" w:lineRule="auto"/>
              <w:jc w:val="left"/>
            </w:pPr>
            <w:r>
              <w:rPr>
                <w:rFonts w:ascii="宋体" w:hAnsi="宋体" w:eastAsia="宋体"/>
                <w:b w:val="0"/>
                <w:sz w:val="19"/>
              </w:rPr>
              <w:t>油液等级变差，磨损风险升高</w:t>
            </w:r>
          </w:p>
        </w:tc>
        <w:tc>
          <w:tcPr>
            <w:tcW w:w="2986" w:type="dxa"/>
            <w:tcBorders>
              <w:top w:val="nil"/>
              <w:left w:val="nil"/>
              <w:bottom w:val="single" w:color="000000" w:sz="12" w:space="0"/>
              <w:right w:val="nil"/>
            </w:tcBorders>
            <w:vAlign w:val="center"/>
          </w:tcPr>
          <w:p w14:paraId="12F213EF">
            <w:pPr>
              <w:spacing w:line="288" w:lineRule="auto"/>
              <w:jc w:val="center"/>
            </w:pPr>
            <w:r>
              <w:rPr>
                <w:rFonts w:ascii="宋体" w:hAnsi="宋体" w:eastAsia="宋体"/>
                <w:b w:val="0"/>
                <w:sz w:val="19"/>
              </w:rPr>
              <w:t>NAS、水分、铁磁颗粒</w:t>
            </w:r>
          </w:p>
        </w:tc>
      </w:tr>
    </w:tbl>
    <w:p w14:paraId="519CB422"/>
    <w:p w14:paraId="00A27AD5">
      <w:pPr>
        <w:spacing w:before="240" w:after="120"/>
      </w:pPr>
      <w:r>
        <w:rPr>
          <w:rFonts w:ascii="黑体" w:hAnsi="黑体" w:eastAsia="黑体"/>
          <w:b/>
          <w:sz w:val="28"/>
        </w:rPr>
        <w:t>2.2 SCADA、PLC与CMS数据采集技术</w:t>
      </w:r>
    </w:p>
    <w:p w14:paraId="15781ECB">
      <w:pPr>
        <w:spacing w:after="0" w:line="360" w:lineRule="auto"/>
        <w:ind w:firstLine="420"/>
        <w:jc w:val="both"/>
      </w:pPr>
      <w:r>
        <w:rPr>
          <w:rFonts w:ascii="宋体" w:hAnsi="宋体" w:eastAsia="宋体"/>
          <w:b w:val="0"/>
          <w:sz w:val="21"/>
        </w:rPr>
        <w:t>SCADA系统主要采集风速、功率、转速、变桨角、偏航角、发电量和运行状态等低频数据；PLC系统保存运行链路、保护动作、停机原因和控制状态；CMS系统则采集高频振动波形和特征值。三类系统的数据频率、字段格式和用途不同，需要通过统一字段映射和时间对齐实现融合。</w:t>
      </w:r>
    </w:p>
    <w:p w14:paraId="5502CF8D">
      <w:pPr>
        <w:spacing w:after="0" w:line="360" w:lineRule="auto"/>
        <w:ind w:firstLine="420"/>
        <w:jc w:val="both"/>
      </w:pPr>
      <w:r>
        <w:rPr>
          <w:rFonts w:ascii="宋体" w:hAnsi="宋体" w:eastAsia="宋体"/>
          <w:b w:val="0"/>
          <w:sz w:val="21"/>
        </w:rPr>
        <w:t>SCADA数据能够反映机组宏观运行状态，是健康管理系统判断工况的基础。例如风速和有功功率可用于判断机组负载水平，发电机转速和变桨角可用于判断控制状态，偏航角和环境温度可用于解释油温和振动波动。PLC数据更接近控制层，能够提供保护动作、远程停机、复位状态和安全链路等信息。CMS数据则更适合机械故障识别，尤其是轴承和齿轮局部故障。</w:t>
      </w:r>
    </w:p>
    <w:p w14:paraId="1BF17F09">
      <w:pPr>
        <w:spacing w:after="0" w:line="360" w:lineRule="auto"/>
        <w:ind w:firstLine="420"/>
        <w:jc w:val="both"/>
      </w:pPr>
      <w:r>
        <w:rPr>
          <w:rFonts w:ascii="宋体" w:hAnsi="宋体" w:eastAsia="宋体"/>
          <w:b w:val="0"/>
          <w:sz w:val="21"/>
        </w:rPr>
        <w:t>在工程对接中，数据采集应优先采用只读方式，避免健康管理系统直接影响现场控制逻辑。对于需要展示停机、启动、复位等命令的演示系统，应明确其为本地状态模拟或经过授权的远程回执，不能直接绕过PLC安全链路。本文系统在单机详情中保留控制按钮，但重点用于展示运维交互逻辑，实际工程部署时需增加权限审批、二次确认和操作日志。</w:t>
      </w:r>
    </w:p>
    <w:p w14:paraId="129BB5DA">
      <w:pPr>
        <w:spacing w:before="240" w:after="120"/>
      </w:pPr>
      <w:r>
        <w:rPr>
          <w:rFonts w:ascii="黑体" w:hAnsi="黑体" w:eastAsia="黑体"/>
          <w:b/>
          <w:sz w:val="28"/>
        </w:rPr>
        <w:t>2.3 机器学习与SVR回归方法</w:t>
      </w:r>
    </w:p>
    <w:p w14:paraId="320294F4">
      <w:pPr>
        <w:spacing w:after="0" w:line="360" w:lineRule="auto"/>
        <w:ind w:firstLine="420"/>
        <w:jc w:val="both"/>
      </w:pPr>
      <w:r>
        <w:rPr>
          <w:rFonts w:ascii="宋体" w:hAnsi="宋体" w:eastAsia="宋体"/>
          <w:b w:val="0"/>
          <w:sz w:val="21"/>
        </w:rPr>
        <w:t>支持向量回归是一种适合小样本非线性回归问题的机器学习方法。其核心思想是在高维特征空间中寻找最优回归函数，使样本预测误差在允许范围内尽量小。对于风机齿轮箱油温预测而言，SVR能够处理风速、功率、环境温度、转速和历史油温之间的非线性关系。</w:t>
      </w:r>
    </w:p>
    <w:p w14:paraId="25E8B40B">
      <w:pPr>
        <w:spacing w:after="0" w:line="360" w:lineRule="auto"/>
        <w:ind w:firstLine="420"/>
        <w:jc w:val="both"/>
      </w:pPr>
      <w:r>
        <w:rPr>
          <w:rFonts w:ascii="宋体" w:hAnsi="宋体" w:eastAsia="宋体"/>
          <w:b w:val="0"/>
          <w:sz w:val="21"/>
        </w:rPr>
        <w:t>M-IALO-SVR是在SVR基础上引入改进智能优化算法，对惩罚系数、核函数参数和不敏感损失参数进行寻优，从而提高油温预测精度。本文将该方法用于建立正常工况油温基准，并通过残差判断异常趋势。</w:t>
      </w:r>
    </w:p>
    <w:p w14:paraId="5E1EE678">
      <w:pPr>
        <w:spacing w:after="0" w:line="360" w:lineRule="auto"/>
        <w:ind w:firstLine="420"/>
        <w:jc w:val="both"/>
      </w:pPr>
      <w:r>
        <w:rPr>
          <w:rFonts w:ascii="宋体" w:hAnsi="宋体" w:eastAsia="宋体"/>
          <w:b w:val="0"/>
          <w:sz w:val="21"/>
        </w:rPr>
        <w:t>相比深度学习模型，SVR对样本规模要求相对较低，在毕业设计和风场早期数据积累阶段更容易实现。风机真实故障样本往往数量有限，且不同故障之间样本不均衡，直接训练复杂深度模型可能导致过拟合。SVR能够在有限样本条件下建立较稳定的非线性映射，因此适合作为油温预测模型的基础。</w:t>
      </w:r>
    </w:p>
    <w:p w14:paraId="2C6D0956">
      <w:pPr>
        <w:spacing w:after="0" w:line="360" w:lineRule="auto"/>
        <w:ind w:firstLine="420"/>
        <w:jc w:val="both"/>
      </w:pPr>
      <w:r>
        <w:rPr>
          <w:rFonts w:ascii="宋体" w:hAnsi="宋体" w:eastAsia="宋体"/>
          <w:b w:val="0"/>
          <w:sz w:val="21"/>
        </w:rPr>
        <w:t>智能优化算法的作用在于减少人工调参的不确定性。SVR模型参数对预测效果影响较大，若参数选择不当，会出现欠拟合或过拟合问题。通过改进优化算法搜索参数组合，可以在一定程度上提高模型训练效率和泛化能力。本文将M-IALO-SVR作为方法设计重点，为后续接入真实数据训练模型预留了技术路径。</w:t>
      </w:r>
    </w:p>
    <w:p w14:paraId="7C61A005">
      <w:pPr>
        <w:jc w:val="center"/>
      </w:pPr>
      <w:r>
        <w:rPr>
          <w:rFonts w:ascii="黑体" w:hAnsi="黑体" w:eastAsia="黑体"/>
          <w:b/>
          <w:sz w:val="21"/>
        </w:rPr>
        <w:t>表2.2 常用诊断模型对比</w:t>
      </w:r>
    </w:p>
    <w:tbl>
      <w:tblPr>
        <w:tblStyle w:val="11"/>
        <w:tblW w:w="0" w:type="auto"/>
        <w:tblInd w:w="0" w:type="dxa"/>
        <w:tblLayout w:type="autofit"/>
        <w:tblCellMar>
          <w:top w:w="0" w:type="dxa"/>
          <w:left w:w="108" w:type="dxa"/>
          <w:bottom w:w="0" w:type="dxa"/>
          <w:right w:w="108" w:type="dxa"/>
        </w:tblCellMar>
      </w:tblPr>
      <w:tblGrid>
        <w:gridCol w:w="2224"/>
        <w:gridCol w:w="2222"/>
        <w:gridCol w:w="2222"/>
        <w:gridCol w:w="2222"/>
      </w:tblGrid>
      <w:tr w14:paraId="154FA49E">
        <w:tblPrEx>
          <w:tblCellMar>
            <w:top w:w="0" w:type="dxa"/>
            <w:left w:w="108" w:type="dxa"/>
            <w:bottom w:w="0" w:type="dxa"/>
            <w:right w:w="108" w:type="dxa"/>
          </w:tblCellMar>
        </w:tblPrEx>
        <w:tc>
          <w:tcPr>
            <w:tcW w:w="2239" w:type="dxa"/>
            <w:tcBorders>
              <w:top w:val="single" w:color="000000" w:sz="12" w:space="0"/>
              <w:left w:val="nil"/>
              <w:bottom w:val="single" w:color="000000" w:sz="6" w:space="0"/>
              <w:right w:val="nil"/>
            </w:tcBorders>
            <w:vAlign w:val="center"/>
          </w:tcPr>
          <w:p w14:paraId="71D19134">
            <w:pPr>
              <w:spacing w:line="288" w:lineRule="auto"/>
              <w:jc w:val="center"/>
            </w:pPr>
            <w:r>
              <w:rPr>
                <w:rFonts w:ascii="宋体" w:hAnsi="宋体" w:eastAsia="宋体"/>
                <w:b/>
                <w:sz w:val="19"/>
              </w:rPr>
              <w:t>模型方法</w:t>
            </w:r>
          </w:p>
        </w:tc>
        <w:tc>
          <w:tcPr>
            <w:tcW w:w="2239" w:type="dxa"/>
            <w:tcBorders>
              <w:top w:val="single" w:color="000000" w:sz="12" w:space="0"/>
              <w:left w:val="nil"/>
              <w:bottom w:val="single" w:color="000000" w:sz="6" w:space="0"/>
              <w:right w:val="nil"/>
            </w:tcBorders>
            <w:vAlign w:val="center"/>
          </w:tcPr>
          <w:p w14:paraId="77C441EB">
            <w:pPr>
              <w:spacing w:line="288" w:lineRule="auto"/>
              <w:jc w:val="center"/>
            </w:pPr>
            <w:r>
              <w:rPr>
                <w:rFonts w:ascii="宋体" w:hAnsi="宋体" w:eastAsia="宋体"/>
                <w:b/>
                <w:sz w:val="19"/>
              </w:rPr>
              <w:t>主要优点</w:t>
            </w:r>
          </w:p>
        </w:tc>
        <w:tc>
          <w:tcPr>
            <w:tcW w:w="2239" w:type="dxa"/>
            <w:tcBorders>
              <w:top w:val="single" w:color="000000" w:sz="12" w:space="0"/>
              <w:left w:val="nil"/>
              <w:bottom w:val="single" w:color="000000" w:sz="6" w:space="0"/>
              <w:right w:val="nil"/>
            </w:tcBorders>
            <w:vAlign w:val="center"/>
          </w:tcPr>
          <w:p w14:paraId="39FA10B3">
            <w:pPr>
              <w:spacing w:line="288" w:lineRule="auto"/>
              <w:jc w:val="center"/>
            </w:pPr>
            <w:r>
              <w:rPr>
                <w:rFonts w:ascii="宋体" w:hAnsi="宋体" w:eastAsia="宋体"/>
                <w:b/>
                <w:sz w:val="19"/>
              </w:rPr>
              <w:t>主要不足</w:t>
            </w:r>
          </w:p>
        </w:tc>
        <w:tc>
          <w:tcPr>
            <w:tcW w:w="2239" w:type="dxa"/>
            <w:tcBorders>
              <w:top w:val="single" w:color="000000" w:sz="12" w:space="0"/>
              <w:left w:val="nil"/>
              <w:bottom w:val="single" w:color="000000" w:sz="6" w:space="0"/>
              <w:right w:val="nil"/>
            </w:tcBorders>
            <w:vAlign w:val="center"/>
          </w:tcPr>
          <w:p w14:paraId="2A3BF219">
            <w:pPr>
              <w:spacing w:line="288" w:lineRule="auto"/>
              <w:jc w:val="center"/>
            </w:pPr>
            <w:r>
              <w:rPr>
                <w:rFonts w:ascii="宋体" w:hAnsi="宋体" w:eastAsia="宋体"/>
                <w:b/>
                <w:sz w:val="19"/>
              </w:rPr>
              <w:t>适用场景</w:t>
            </w:r>
          </w:p>
        </w:tc>
      </w:tr>
      <w:tr w14:paraId="559AC800">
        <w:tblPrEx>
          <w:tblCellMar>
            <w:top w:w="0" w:type="dxa"/>
            <w:left w:w="108" w:type="dxa"/>
            <w:bottom w:w="0" w:type="dxa"/>
            <w:right w:w="108" w:type="dxa"/>
          </w:tblCellMar>
        </w:tblPrEx>
        <w:tc>
          <w:tcPr>
            <w:tcW w:w="2239" w:type="dxa"/>
            <w:tcBorders>
              <w:top w:val="nil"/>
              <w:left w:val="nil"/>
              <w:bottom w:val="nil"/>
              <w:right w:val="nil"/>
            </w:tcBorders>
            <w:vAlign w:val="center"/>
          </w:tcPr>
          <w:p w14:paraId="4AE7E6D6">
            <w:pPr>
              <w:spacing w:line="288" w:lineRule="auto"/>
              <w:jc w:val="center"/>
            </w:pPr>
            <w:r>
              <w:rPr>
                <w:rFonts w:ascii="宋体" w:hAnsi="宋体" w:eastAsia="宋体"/>
                <w:b w:val="0"/>
                <w:sz w:val="19"/>
              </w:rPr>
              <w:t>SVR</w:t>
            </w:r>
          </w:p>
        </w:tc>
        <w:tc>
          <w:tcPr>
            <w:tcW w:w="2239" w:type="dxa"/>
            <w:tcBorders>
              <w:top w:val="nil"/>
              <w:left w:val="nil"/>
              <w:bottom w:val="nil"/>
              <w:right w:val="nil"/>
            </w:tcBorders>
            <w:vAlign w:val="center"/>
          </w:tcPr>
          <w:p w14:paraId="1DD1DE57">
            <w:pPr>
              <w:spacing w:line="288" w:lineRule="auto"/>
              <w:jc w:val="left"/>
            </w:pPr>
            <w:r>
              <w:rPr>
                <w:rFonts w:ascii="宋体" w:hAnsi="宋体" w:eastAsia="宋体"/>
                <w:b w:val="0"/>
                <w:sz w:val="19"/>
              </w:rPr>
              <w:t>适合小样本非线性回归，泛化能力较好</w:t>
            </w:r>
          </w:p>
        </w:tc>
        <w:tc>
          <w:tcPr>
            <w:tcW w:w="2239" w:type="dxa"/>
            <w:tcBorders>
              <w:top w:val="nil"/>
              <w:left w:val="nil"/>
              <w:bottom w:val="nil"/>
              <w:right w:val="nil"/>
            </w:tcBorders>
            <w:vAlign w:val="center"/>
          </w:tcPr>
          <w:p w14:paraId="4AE91730">
            <w:pPr>
              <w:spacing w:line="288" w:lineRule="auto"/>
              <w:jc w:val="center"/>
            </w:pPr>
            <w:r>
              <w:rPr>
                <w:rFonts w:ascii="宋体" w:hAnsi="宋体" w:eastAsia="宋体"/>
                <w:b w:val="0"/>
                <w:sz w:val="19"/>
              </w:rPr>
              <w:t>参数敏感，需要调参</w:t>
            </w:r>
          </w:p>
        </w:tc>
        <w:tc>
          <w:tcPr>
            <w:tcW w:w="2239" w:type="dxa"/>
            <w:tcBorders>
              <w:top w:val="nil"/>
              <w:left w:val="nil"/>
              <w:bottom w:val="nil"/>
              <w:right w:val="nil"/>
            </w:tcBorders>
            <w:vAlign w:val="center"/>
          </w:tcPr>
          <w:p w14:paraId="761795F6">
            <w:pPr>
              <w:spacing w:line="288" w:lineRule="auto"/>
              <w:jc w:val="center"/>
            </w:pPr>
            <w:r>
              <w:rPr>
                <w:rFonts w:ascii="宋体" w:hAnsi="宋体" w:eastAsia="宋体"/>
                <w:b w:val="0"/>
                <w:sz w:val="19"/>
              </w:rPr>
              <w:t>油温预测、趋势建模</w:t>
            </w:r>
          </w:p>
        </w:tc>
      </w:tr>
      <w:tr w14:paraId="4A1157DE">
        <w:tblPrEx>
          <w:tblCellMar>
            <w:top w:w="0" w:type="dxa"/>
            <w:left w:w="108" w:type="dxa"/>
            <w:bottom w:w="0" w:type="dxa"/>
            <w:right w:w="108" w:type="dxa"/>
          </w:tblCellMar>
        </w:tblPrEx>
        <w:tc>
          <w:tcPr>
            <w:tcW w:w="2239" w:type="dxa"/>
            <w:tcBorders>
              <w:top w:val="nil"/>
              <w:left w:val="nil"/>
              <w:bottom w:val="nil"/>
              <w:right w:val="nil"/>
            </w:tcBorders>
            <w:vAlign w:val="center"/>
          </w:tcPr>
          <w:p w14:paraId="08C2B8D1">
            <w:pPr>
              <w:spacing w:line="288" w:lineRule="auto"/>
              <w:jc w:val="center"/>
            </w:pPr>
            <w:r>
              <w:rPr>
                <w:rFonts w:ascii="宋体" w:hAnsi="宋体" w:eastAsia="宋体"/>
                <w:b w:val="0"/>
                <w:sz w:val="19"/>
              </w:rPr>
              <w:t>随机森林</w:t>
            </w:r>
          </w:p>
        </w:tc>
        <w:tc>
          <w:tcPr>
            <w:tcW w:w="2239" w:type="dxa"/>
            <w:tcBorders>
              <w:top w:val="nil"/>
              <w:left w:val="nil"/>
              <w:bottom w:val="nil"/>
              <w:right w:val="nil"/>
            </w:tcBorders>
            <w:vAlign w:val="center"/>
          </w:tcPr>
          <w:p w14:paraId="59BEB78E">
            <w:pPr>
              <w:spacing w:line="288" w:lineRule="auto"/>
              <w:jc w:val="left"/>
            </w:pPr>
            <w:r>
              <w:rPr>
                <w:rFonts w:ascii="宋体" w:hAnsi="宋体" w:eastAsia="宋体"/>
                <w:b w:val="0"/>
                <w:sz w:val="19"/>
              </w:rPr>
              <w:t>抗噪声能力较强，可解释特征重要性</w:t>
            </w:r>
          </w:p>
        </w:tc>
        <w:tc>
          <w:tcPr>
            <w:tcW w:w="2239" w:type="dxa"/>
            <w:tcBorders>
              <w:top w:val="nil"/>
              <w:left w:val="nil"/>
              <w:bottom w:val="nil"/>
              <w:right w:val="nil"/>
            </w:tcBorders>
            <w:vAlign w:val="center"/>
          </w:tcPr>
          <w:p w14:paraId="0AB95778">
            <w:pPr>
              <w:spacing w:line="288" w:lineRule="auto"/>
              <w:jc w:val="center"/>
            </w:pPr>
            <w:r>
              <w:rPr>
                <w:rFonts w:ascii="宋体" w:hAnsi="宋体" w:eastAsia="宋体"/>
                <w:b w:val="0"/>
                <w:sz w:val="19"/>
              </w:rPr>
              <w:t>对连续趋势外推能力一般</w:t>
            </w:r>
          </w:p>
        </w:tc>
        <w:tc>
          <w:tcPr>
            <w:tcW w:w="2239" w:type="dxa"/>
            <w:tcBorders>
              <w:top w:val="nil"/>
              <w:left w:val="nil"/>
              <w:bottom w:val="nil"/>
              <w:right w:val="nil"/>
            </w:tcBorders>
            <w:vAlign w:val="center"/>
          </w:tcPr>
          <w:p w14:paraId="7D7CEB82">
            <w:pPr>
              <w:spacing w:line="288" w:lineRule="auto"/>
              <w:jc w:val="center"/>
            </w:pPr>
            <w:r>
              <w:rPr>
                <w:rFonts w:ascii="宋体" w:hAnsi="宋体" w:eastAsia="宋体"/>
                <w:b w:val="0"/>
                <w:sz w:val="19"/>
              </w:rPr>
              <w:t>故障分类、特征筛选</w:t>
            </w:r>
          </w:p>
        </w:tc>
      </w:tr>
      <w:tr w14:paraId="1C47C60C">
        <w:tblPrEx>
          <w:tblCellMar>
            <w:top w:w="0" w:type="dxa"/>
            <w:left w:w="108" w:type="dxa"/>
            <w:bottom w:w="0" w:type="dxa"/>
            <w:right w:w="108" w:type="dxa"/>
          </w:tblCellMar>
        </w:tblPrEx>
        <w:tc>
          <w:tcPr>
            <w:tcW w:w="2239" w:type="dxa"/>
            <w:tcBorders>
              <w:top w:val="nil"/>
              <w:left w:val="nil"/>
              <w:bottom w:val="nil"/>
              <w:right w:val="nil"/>
            </w:tcBorders>
            <w:vAlign w:val="center"/>
          </w:tcPr>
          <w:p w14:paraId="277589B7">
            <w:pPr>
              <w:spacing w:line="288" w:lineRule="auto"/>
              <w:jc w:val="center"/>
            </w:pPr>
            <w:r>
              <w:rPr>
                <w:rFonts w:ascii="宋体" w:hAnsi="宋体" w:eastAsia="宋体"/>
                <w:b w:val="0"/>
                <w:sz w:val="19"/>
              </w:rPr>
              <w:t>XGBoost</w:t>
            </w:r>
          </w:p>
        </w:tc>
        <w:tc>
          <w:tcPr>
            <w:tcW w:w="2239" w:type="dxa"/>
            <w:tcBorders>
              <w:top w:val="nil"/>
              <w:left w:val="nil"/>
              <w:bottom w:val="nil"/>
              <w:right w:val="nil"/>
            </w:tcBorders>
            <w:vAlign w:val="center"/>
          </w:tcPr>
          <w:p w14:paraId="473D4BD0">
            <w:pPr>
              <w:spacing w:line="288" w:lineRule="auto"/>
              <w:jc w:val="left"/>
            </w:pPr>
            <w:r>
              <w:rPr>
                <w:rFonts w:ascii="宋体" w:hAnsi="宋体" w:eastAsia="宋体"/>
                <w:b w:val="0"/>
                <w:sz w:val="19"/>
              </w:rPr>
              <w:t>精度较高，适合结构化数据</w:t>
            </w:r>
          </w:p>
        </w:tc>
        <w:tc>
          <w:tcPr>
            <w:tcW w:w="2239" w:type="dxa"/>
            <w:tcBorders>
              <w:top w:val="nil"/>
              <w:left w:val="nil"/>
              <w:bottom w:val="nil"/>
              <w:right w:val="nil"/>
            </w:tcBorders>
            <w:vAlign w:val="center"/>
          </w:tcPr>
          <w:p w14:paraId="0B2C7DA5">
            <w:pPr>
              <w:spacing w:line="288" w:lineRule="auto"/>
              <w:jc w:val="center"/>
            </w:pPr>
            <w:r>
              <w:rPr>
                <w:rFonts w:ascii="宋体" w:hAnsi="宋体" w:eastAsia="宋体"/>
                <w:b w:val="0"/>
                <w:sz w:val="19"/>
              </w:rPr>
              <w:t>参数较多，需防止过拟合</w:t>
            </w:r>
          </w:p>
        </w:tc>
        <w:tc>
          <w:tcPr>
            <w:tcW w:w="2239" w:type="dxa"/>
            <w:tcBorders>
              <w:top w:val="nil"/>
              <w:left w:val="nil"/>
              <w:bottom w:val="nil"/>
              <w:right w:val="nil"/>
            </w:tcBorders>
            <w:vAlign w:val="center"/>
          </w:tcPr>
          <w:p w14:paraId="129A21AF">
            <w:pPr>
              <w:spacing w:line="288" w:lineRule="auto"/>
              <w:jc w:val="center"/>
            </w:pPr>
            <w:r>
              <w:rPr>
                <w:rFonts w:ascii="宋体" w:hAnsi="宋体" w:eastAsia="宋体"/>
                <w:b w:val="0"/>
                <w:sz w:val="19"/>
              </w:rPr>
              <w:t>多指标故障识别</w:t>
            </w:r>
          </w:p>
        </w:tc>
      </w:tr>
      <w:tr w14:paraId="129167B5">
        <w:tblPrEx>
          <w:tblCellMar>
            <w:top w:w="0" w:type="dxa"/>
            <w:left w:w="108" w:type="dxa"/>
            <w:bottom w:w="0" w:type="dxa"/>
            <w:right w:w="108" w:type="dxa"/>
          </w:tblCellMar>
        </w:tblPrEx>
        <w:tc>
          <w:tcPr>
            <w:tcW w:w="2239" w:type="dxa"/>
            <w:tcBorders>
              <w:top w:val="nil"/>
              <w:left w:val="nil"/>
              <w:bottom w:val="nil"/>
              <w:right w:val="nil"/>
            </w:tcBorders>
            <w:vAlign w:val="center"/>
          </w:tcPr>
          <w:p w14:paraId="6D7BAA15">
            <w:pPr>
              <w:spacing w:line="288" w:lineRule="auto"/>
              <w:jc w:val="center"/>
            </w:pPr>
            <w:r>
              <w:rPr>
                <w:rFonts w:ascii="宋体" w:hAnsi="宋体" w:eastAsia="宋体"/>
                <w:b w:val="0"/>
                <w:sz w:val="19"/>
              </w:rPr>
              <w:t>LSTM</w:t>
            </w:r>
          </w:p>
        </w:tc>
        <w:tc>
          <w:tcPr>
            <w:tcW w:w="2239" w:type="dxa"/>
            <w:tcBorders>
              <w:top w:val="nil"/>
              <w:left w:val="nil"/>
              <w:bottom w:val="nil"/>
              <w:right w:val="nil"/>
            </w:tcBorders>
            <w:vAlign w:val="center"/>
          </w:tcPr>
          <w:p w14:paraId="5B60509C">
            <w:pPr>
              <w:spacing w:line="288" w:lineRule="auto"/>
              <w:jc w:val="center"/>
            </w:pPr>
            <w:r>
              <w:rPr>
                <w:rFonts w:ascii="宋体" w:hAnsi="宋体" w:eastAsia="宋体"/>
                <w:b w:val="0"/>
                <w:sz w:val="19"/>
              </w:rPr>
              <w:t>适合时间序列建模</w:t>
            </w:r>
          </w:p>
        </w:tc>
        <w:tc>
          <w:tcPr>
            <w:tcW w:w="2239" w:type="dxa"/>
            <w:tcBorders>
              <w:top w:val="nil"/>
              <w:left w:val="nil"/>
              <w:bottom w:val="nil"/>
              <w:right w:val="nil"/>
            </w:tcBorders>
            <w:vAlign w:val="center"/>
          </w:tcPr>
          <w:p w14:paraId="095117FC">
            <w:pPr>
              <w:spacing w:line="288" w:lineRule="auto"/>
              <w:jc w:val="center"/>
            </w:pPr>
            <w:r>
              <w:rPr>
                <w:rFonts w:ascii="宋体" w:hAnsi="宋体" w:eastAsia="宋体"/>
                <w:b w:val="0"/>
                <w:sz w:val="19"/>
              </w:rPr>
              <w:t>需要较多样本和计算资源</w:t>
            </w:r>
          </w:p>
        </w:tc>
        <w:tc>
          <w:tcPr>
            <w:tcW w:w="2239" w:type="dxa"/>
            <w:tcBorders>
              <w:top w:val="nil"/>
              <w:left w:val="nil"/>
              <w:bottom w:val="nil"/>
              <w:right w:val="nil"/>
            </w:tcBorders>
            <w:vAlign w:val="center"/>
          </w:tcPr>
          <w:p w14:paraId="494F3868">
            <w:pPr>
              <w:spacing w:line="288" w:lineRule="auto"/>
              <w:jc w:val="center"/>
            </w:pPr>
            <w:r>
              <w:rPr>
                <w:rFonts w:ascii="宋体" w:hAnsi="宋体" w:eastAsia="宋体"/>
                <w:b w:val="0"/>
                <w:sz w:val="19"/>
              </w:rPr>
              <w:t>长期趋势预测</w:t>
            </w:r>
          </w:p>
        </w:tc>
      </w:tr>
      <w:tr w14:paraId="18A5F293">
        <w:tblPrEx>
          <w:tblCellMar>
            <w:top w:w="0" w:type="dxa"/>
            <w:left w:w="108" w:type="dxa"/>
            <w:bottom w:w="0" w:type="dxa"/>
            <w:right w:w="108" w:type="dxa"/>
          </w:tblCellMar>
        </w:tblPrEx>
        <w:tc>
          <w:tcPr>
            <w:tcW w:w="2239" w:type="dxa"/>
            <w:tcBorders>
              <w:top w:val="nil"/>
              <w:left w:val="nil"/>
              <w:bottom w:val="single" w:color="000000" w:sz="12" w:space="0"/>
              <w:right w:val="nil"/>
            </w:tcBorders>
            <w:vAlign w:val="center"/>
          </w:tcPr>
          <w:p w14:paraId="03FDB9F2">
            <w:pPr>
              <w:spacing w:line="288" w:lineRule="auto"/>
              <w:jc w:val="center"/>
            </w:pPr>
            <w:r>
              <w:rPr>
                <w:rFonts w:ascii="宋体" w:hAnsi="宋体" w:eastAsia="宋体"/>
                <w:b w:val="0"/>
                <w:sz w:val="19"/>
              </w:rPr>
              <w:t>规则模型</w:t>
            </w:r>
          </w:p>
        </w:tc>
        <w:tc>
          <w:tcPr>
            <w:tcW w:w="2239" w:type="dxa"/>
            <w:tcBorders>
              <w:top w:val="nil"/>
              <w:left w:val="nil"/>
              <w:bottom w:val="single" w:color="000000" w:sz="12" w:space="0"/>
              <w:right w:val="nil"/>
            </w:tcBorders>
            <w:vAlign w:val="center"/>
          </w:tcPr>
          <w:p w14:paraId="57BFADB6">
            <w:pPr>
              <w:spacing w:line="288" w:lineRule="auto"/>
              <w:jc w:val="center"/>
            </w:pPr>
            <w:r>
              <w:rPr>
                <w:rFonts w:ascii="宋体" w:hAnsi="宋体" w:eastAsia="宋体"/>
                <w:b w:val="0"/>
                <w:sz w:val="19"/>
              </w:rPr>
              <w:t>解释性强，实现简单</w:t>
            </w:r>
          </w:p>
        </w:tc>
        <w:tc>
          <w:tcPr>
            <w:tcW w:w="2239" w:type="dxa"/>
            <w:tcBorders>
              <w:top w:val="nil"/>
              <w:left w:val="nil"/>
              <w:bottom w:val="single" w:color="000000" w:sz="12" w:space="0"/>
              <w:right w:val="nil"/>
            </w:tcBorders>
            <w:vAlign w:val="center"/>
          </w:tcPr>
          <w:p w14:paraId="4326369C">
            <w:pPr>
              <w:spacing w:line="288" w:lineRule="auto"/>
              <w:jc w:val="center"/>
            </w:pPr>
            <w:r>
              <w:rPr>
                <w:rFonts w:ascii="宋体" w:hAnsi="宋体" w:eastAsia="宋体"/>
                <w:b w:val="0"/>
                <w:sz w:val="19"/>
              </w:rPr>
              <w:t>泛化能力有限</w:t>
            </w:r>
          </w:p>
        </w:tc>
        <w:tc>
          <w:tcPr>
            <w:tcW w:w="2239" w:type="dxa"/>
            <w:tcBorders>
              <w:top w:val="nil"/>
              <w:left w:val="nil"/>
              <w:bottom w:val="single" w:color="000000" w:sz="12" w:space="0"/>
              <w:right w:val="nil"/>
            </w:tcBorders>
            <w:vAlign w:val="center"/>
          </w:tcPr>
          <w:p w14:paraId="0164ECDC">
            <w:pPr>
              <w:spacing w:line="288" w:lineRule="auto"/>
              <w:jc w:val="center"/>
            </w:pPr>
            <w:r>
              <w:rPr>
                <w:rFonts w:ascii="宋体" w:hAnsi="宋体" w:eastAsia="宋体"/>
                <w:b w:val="0"/>
                <w:sz w:val="19"/>
              </w:rPr>
              <w:t>工程原型和安全阈值判断</w:t>
            </w:r>
          </w:p>
        </w:tc>
      </w:tr>
    </w:tbl>
    <w:p w14:paraId="4E02EBD3"/>
    <w:p w14:paraId="05619B1E">
      <w:pPr>
        <w:spacing w:before="240" w:after="120"/>
      </w:pPr>
      <w:r>
        <w:rPr>
          <w:rFonts w:ascii="黑体" w:hAnsi="黑体" w:eastAsia="黑体"/>
          <w:b/>
          <w:sz w:val="28"/>
        </w:rPr>
        <w:t>2.4 Web系统开发与可视化技术</w:t>
      </w:r>
    </w:p>
    <w:p w14:paraId="161A0FAC">
      <w:pPr>
        <w:spacing w:after="0" w:line="360" w:lineRule="auto"/>
        <w:ind w:firstLine="420"/>
        <w:jc w:val="both"/>
      </w:pPr>
      <w:r>
        <w:rPr>
          <w:rFonts w:ascii="宋体" w:hAnsi="宋体" w:eastAsia="宋体"/>
          <w:b w:val="0"/>
          <w:sz w:val="21"/>
        </w:rPr>
        <w:t>本文系统后端采用Flask框架，前端采用HTML、CSS和JavaScript开发。图表展示使用ECharts，能够绘制趋势图、饼图和柱状图；机舱剖视模型采用SVG实现，便于展示齿轮箱、发电机、变流器和轮毂等关键部件。Web架构具有部署方便、跨平台访问和扩展灵活等优点，适合风电健康管理系统原型开发。</w:t>
      </w:r>
    </w:p>
    <w:p w14:paraId="440FA808">
      <w:pPr>
        <w:spacing w:after="0" w:line="360" w:lineRule="auto"/>
        <w:ind w:firstLine="420"/>
        <w:jc w:val="both"/>
      </w:pPr>
      <w:r>
        <w:rPr>
          <w:rFonts w:ascii="宋体" w:hAnsi="宋体" w:eastAsia="宋体"/>
          <w:b w:val="0"/>
          <w:sz w:val="21"/>
        </w:rPr>
        <w:t>可视化设计直接影响运维人员对系统的接受程度。风电场监控页面通常需要在较短时间内传递大量信息，因此界面应突出关键指标，减少无关装饰。本文系统在风场总览中使用多机组卡片展示运行状态，在单机详情中集中展示功率、风速、转速、变桨角、油温、健康评分和报警状态，在故障分析中使用趋势图和分布图展示历史风险。</w:t>
      </w:r>
    </w:p>
    <w:p w14:paraId="76CF376A">
      <w:pPr>
        <w:spacing w:after="0" w:line="360" w:lineRule="auto"/>
        <w:ind w:firstLine="420"/>
        <w:jc w:val="both"/>
      </w:pPr>
      <w:r>
        <w:rPr>
          <w:rFonts w:ascii="宋体" w:hAnsi="宋体" w:eastAsia="宋体"/>
          <w:b w:val="0"/>
          <w:sz w:val="21"/>
        </w:rPr>
        <w:t>后端接口采用JSON格式返回数据，前端通过异步请求完成页面刷新。该方式使系统模块之间耦合度较低，便于后续替换数据源。若后续接入真实风电场数据，只需要在后端数据采集层完成字段映射和清洗，前端页面仍可复用。</w:t>
      </w:r>
    </w:p>
    <w:p w14:paraId="0F8D41AC">
      <w:r>
        <w:br w:type="page"/>
      </w:r>
    </w:p>
    <w:p w14:paraId="13D7B744">
      <w:pPr>
        <w:spacing w:after="240"/>
        <w:jc w:val="center"/>
      </w:pPr>
      <w:r>
        <w:rPr>
          <w:rFonts w:ascii="黑体" w:hAnsi="黑体" w:eastAsia="黑体"/>
          <w:b/>
          <w:sz w:val="32"/>
        </w:rPr>
        <w:t>第3章 研究方法</w:t>
      </w:r>
    </w:p>
    <w:p w14:paraId="12DD9880">
      <w:pPr>
        <w:spacing w:before="240" w:after="120"/>
      </w:pPr>
      <w:r>
        <w:rPr>
          <w:rFonts w:ascii="黑体" w:hAnsi="黑体" w:eastAsia="黑体"/>
          <w:b/>
          <w:sz w:val="28"/>
        </w:rPr>
        <w:t>3.1 系统需求分析</w:t>
      </w:r>
    </w:p>
    <w:p w14:paraId="571D1470">
      <w:pPr>
        <w:spacing w:after="0" w:line="360" w:lineRule="auto"/>
        <w:ind w:firstLine="420"/>
        <w:jc w:val="both"/>
      </w:pPr>
      <w:r>
        <w:rPr>
          <w:rFonts w:ascii="宋体" w:hAnsi="宋体" w:eastAsia="宋体"/>
          <w:b w:val="0"/>
          <w:sz w:val="21"/>
        </w:rPr>
        <w:t>系统需求可分为实时监测、故障诊断、健康评估、数据管理和辅助问答五类。实时监测要求系统能够显示当前机组运行指标；故障诊断要求能够识别齿轮箱典型异常；健康评估要求输出健康评分、RUL和复检周期；数据管理要求保存历史故障记录；辅助问答要求结合知识库和当前工况生成运维建议。</w:t>
      </w:r>
    </w:p>
    <w:p w14:paraId="5B53FE9F">
      <w:pPr>
        <w:jc w:val="center"/>
      </w:pPr>
      <w:r>
        <w:rPr>
          <w:rFonts w:ascii="黑体" w:hAnsi="黑体" w:eastAsia="黑体"/>
          <w:b/>
          <w:sz w:val="21"/>
        </w:rPr>
        <w:t>表3.1 系统需求分类</w:t>
      </w:r>
    </w:p>
    <w:tbl>
      <w:tblPr>
        <w:tblStyle w:val="11"/>
        <w:tblW w:w="0" w:type="auto"/>
        <w:tblInd w:w="0" w:type="dxa"/>
        <w:tblLayout w:type="autofit"/>
        <w:tblCellMar>
          <w:top w:w="0" w:type="dxa"/>
          <w:left w:w="108" w:type="dxa"/>
          <w:bottom w:w="0" w:type="dxa"/>
          <w:right w:w="108" w:type="dxa"/>
        </w:tblCellMar>
      </w:tblPr>
      <w:tblGrid>
        <w:gridCol w:w="2963"/>
        <w:gridCol w:w="2964"/>
        <w:gridCol w:w="2963"/>
      </w:tblGrid>
      <w:tr w14:paraId="1CFEE921">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tcBorders>
            <w:vAlign w:val="center"/>
          </w:tcPr>
          <w:p w14:paraId="5AB9C04E">
            <w:pPr>
              <w:spacing w:line="288" w:lineRule="auto"/>
              <w:jc w:val="center"/>
            </w:pPr>
            <w:r>
              <w:rPr>
                <w:rFonts w:ascii="宋体" w:hAnsi="宋体" w:eastAsia="宋体"/>
                <w:b/>
                <w:sz w:val="19"/>
              </w:rPr>
              <w:t>需求类别</w:t>
            </w:r>
          </w:p>
        </w:tc>
        <w:tc>
          <w:tcPr>
            <w:tcW w:w="2986" w:type="dxa"/>
            <w:tcBorders>
              <w:top w:val="single" w:color="000000" w:sz="12" w:space="0"/>
              <w:left w:val="nil"/>
              <w:bottom w:val="single" w:color="000000" w:sz="6" w:space="0"/>
              <w:right w:val="nil"/>
            </w:tcBorders>
            <w:vAlign w:val="center"/>
          </w:tcPr>
          <w:p w14:paraId="34CE1C86">
            <w:pPr>
              <w:spacing w:line="288" w:lineRule="auto"/>
              <w:jc w:val="center"/>
            </w:pPr>
            <w:r>
              <w:rPr>
                <w:rFonts w:ascii="宋体" w:hAnsi="宋体" w:eastAsia="宋体"/>
                <w:b/>
                <w:sz w:val="19"/>
              </w:rPr>
              <w:t>具体要求</w:t>
            </w:r>
          </w:p>
        </w:tc>
        <w:tc>
          <w:tcPr>
            <w:tcW w:w="2986" w:type="dxa"/>
            <w:tcBorders>
              <w:top w:val="single" w:color="000000" w:sz="12" w:space="0"/>
              <w:left w:val="nil"/>
              <w:bottom w:val="single" w:color="000000" w:sz="6" w:space="0"/>
              <w:right w:val="nil"/>
            </w:tcBorders>
            <w:vAlign w:val="center"/>
          </w:tcPr>
          <w:p w14:paraId="33F83FFC">
            <w:pPr>
              <w:spacing w:line="288" w:lineRule="auto"/>
              <w:jc w:val="center"/>
            </w:pPr>
            <w:r>
              <w:rPr>
                <w:rFonts w:ascii="宋体" w:hAnsi="宋体" w:eastAsia="宋体"/>
                <w:b/>
                <w:sz w:val="19"/>
              </w:rPr>
              <w:t>实现方式</w:t>
            </w:r>
          </w:p>
        </w:tc>
      </w:tr>
      <w:tr w14:paraId="55D8F658">
        <w:tblPrEx>
          <w:tblCellMar>
            <w:top w:w="0" w:type="dxa"/>
            <w:left w:w="108" w:type="dxa"/>
            <w:bottom w:w="0" w:type="dxa"/>
            <w:right w:w="108" w:type="dxa"/>
          </w:tblCellMar>
        </w:tblPrEx>
        <w:tc>
          <w:tcPr>
            <w:tcW w:w="2986" w:type="dxa"/>
            <w:tcBorders>
              <w:top w:val="nil"/>
              <w:left w:val="nil"/>
              <w:bottom w:val="nil"/>
              <w:right w:val="nil"/>
            </w:tcBorders>
            <w:vAlign w:val="center"/>
          </w:tcPr>
          <w:p w14:paraId="6A778F29">
            <w:pPr>
              <w:spacing w:line="288" w:lineRule="auto"/>
              <w:jc w:val="center"/>
            </w:pPr>
            <w:r>
              <w:rPr>
                <w:rFonts w:ascii="宋体" w:hAnsi="宋体" w:eastAsia="宋体"/>
                <w:b w:val="0"/>
                <w:sz w:val="19"/>
              </w:rPr>
              <w:t>实时性</w:t>
            </w:r>
          </w:p>
        </w:tc>
        <w:tc>
          <w:tcPr>
            <w:tcW w:w="2986" w:type="dxa"/>
            <w:tcBorders>
              <w:top w:val="nil"/>
              <w:left w:val="nil"/>
              <w:bottom w:val="nil"/>
              <w:right w:val="nil"/>
            </w:tcBorders>
            <w:vAlign w:val="center"/>
          </w:tcPr>
          <w:p w14:paraId="79E87EA7">
            <w:pPr>
              <w:spacing w:line="288" w:lineRule="auto"/>
              <w:jc w:val="center"/>
            </w:pPr>
            <w:r>
              <w:rPr>
                <w:rFonts w:ascii="宋体" w:hAnsi="宋体" w:eastAsia="宋体"/>
                <w:b w:val="0"/>
                <w:sz w:val="19"/>
              </w:rPr>
              <w:t>机组数据及时刷新</w:t>
            </w:r>
          </w:p>
        </w:tc>
        <w:tc>
          <w:tcPr>
            <w:tcW w:w="2986" w:type="dxa"/>
            <w:tcBorders>
              <w:top w:val="nil"/>
              <w:left w:val="nil"/>
              <w:bottom w:val="nil"/>
              <w:right w:val="nil"/>
            </w:tcBorders>
            <w:vAlign w:val="center"/>
          </w:tcPr>
          <w:p w14:paraId="080DAA7B">
            <w:pPr>
              <w:spacing w:line="288" w:lineRule="auto"/>
              <w:jc w:val="center"/>
            </w:pPr>
            <w:r>
              <w:rPr>
                <w:rFonts w:ascii="宋体" w:hAnsi="宋体" w:eastAsia="宋体"/>
                <w:b w:val="0"/>
                <w:sz w:val="19"/>
              </w:rPr>
              <w:t>异步请求和定时刷新</w:t>
            </w:r>
          </w:p>
        </w:tc>
      </w:tr>
      <w:tr w14:paraId="74AC820E">
        <w:tblPrEx>
          <w:tblCellMar>
            <w:top w:w="0" w:type="dxa"/>
            <w:left w:w="108" w:type="dxa"/>
            <w:bottom w:w="0" w:type="dxa"/>
            <w:right w:w="108" w:type="dxa"/>
          </w:tblCellMar>
        </w:tblPrEx>
        <w:tc>
          <w:tcPr>
            <w:tcW w:w="2986" w:type="dxa"/>
            <w:tcBorders>
              <w:top w:val="nil"/>
              <w:left w:val="nil"/>
              <w:bottom w:val="nil"/>
              <w:right w:val="nil"/>
            </w:tcBorders>
            <w:vAlign w:val="center"/>
          </w:tcPr>
          <w:p w14:paraId="3CAAE8E1">
            <w:pPr>
              <w:spacing w:line="288" w:lineRule="auto"/>
              <w:jc w:val="center"/>
            </w:pPr>
            <w:r>
              <w:rPr>
                <w:rFonts w:ascii="宋体" w:hAnsi="宋体" w:eastAsia="宋体"/>
                <w:b w:val="0"/>
                <w:sz w:val="19"/>
              </w:rPr>
              <w:t>准确性</w:t>
            </w:r>
          </w:p>
        </w:tc>
        <w:tc>
          <w:tcPr>
            <w:tcW w:w="2986" w:type="dxa"/>
            <w:tcBorders>
              <w:top w:val="nil"/>
              <w:left w:val="nil"/>
              <w:bottom w:val="nil"/>
              <w:right w:val="nil"/>
            </w:tcBorders>
            <w:vAlign w:val="center"/>
          </w:tcPr>
          <w:p w14:paraId="17B454E7">
            <w:pPr>
              <w:spacing w:line="288" w:lineRule="auto"/>
              <w:jc w:val="left"/>
            </w:pPr>
            <w:r>
              <w:rPr>
                <w:rFonts w:ascii="宋体" w:hAnsi="宋体" w:eastAsia="宋体"/>
                <w:b w:val="0"/>
                <w:sz w:val="19"/>
              </w:rPr>
              <w:t>结合工况、温度和振动判断异常</w:t>
            </w:r>
          </w:p>
        </w:tc>
        <w:tc>
          <w:tcPr>
            <w:tcW w:w="2986" w:type="dxa"/>
            <w:tcBorders>
              <w:top w:val="nil"/>
              <w:left w:val="nil"/>
              <w:bottom w:val="nil"/>
              <w:right w:val="nil"/>
            </w:tcBorders>
            <w:vAlign w:val="center"/>
          </w:tcPr>
          <w:p w14:paraId="7FCCD218">
            <w:pPr>
              <w:spacing w:line="288" w:lineRule="auto"/>
              <w:jc w:val="center"/>
            </w:pPr>
            <w:r>
              <w:rPr>
                <w:rFonts w:ascii="宋体" w:hAnsi="宋体" w:eastAsia="宋体"/>
                <w:b w:val="0"/>
                <w:sz w:val="19"/>
              </w:rPr>
              <w:t>多源数据融合</w:t>
            </w:r>
          </w:p>
        </w:tc>
      </w:tr>
      <w:tr w14:paraId="2457F20E">
        <w:tblPrEx>
          <w:tblCellMar>
            <w:top w:w="0" w:type="dxa"/>
            <w:left w:w="108" w:type="dxa"/>
            <w:bottom w:w="0" w:type="dxa"/>
            <w:right w:w="108" w:type="dxa"/>
          </w:tblCellMar>
        </w:tblPrEx>
        <w:tc>
          <w:tcPr>
            <w:tcW w:w="2986" w:type="dxa"/>
            <w:tcBorders>
              <w:top w:val="nil"/>
              <w:left w:val="nil"/>
              <w:bottom w:val="nil"/>
              <w:right w:val="nil"/>
            </w:tcBorders>
            <w:vAlign w:val="center"/>
          </w:tcPr>
          <w:p w14:paraId="6D823578">
            <w:pPr>
              <w:spacing w:line="288" w:lineRule="auto"/>
              <w:jc w:val="center"/>
            </w:pPr>
            <w:r>
              <w:rPr>
                <w:rFonts w:ascii="宋体" w:hAnsi="宋体" w:eastAsia="宋体"/>
                <w:b w:val="0"/>
                <w:sz w:val="19"/>
              </w:rPr>
              <w:t>可解释性</w:t>
            </w:r>
          </w:p>
        </w:tc>
        <w:tc>
          <w:tcPr>
            <w:tcW w:w="2986" w:type="dxa"/>
            <w:tcBorders>
              <w:top w:val="nil"/>
              <w:left w:val="nil"/>
              <w:bottom w:val="nil"/>
              <w:right w:val="nil"/>
            </w:tcBorders>
            <w:vAlign w:val="center"/>
          </w:tcPr>
          <w:p w14:paraId="2E40F415">
            <w:pPr>
              <w:spacing w:line="288" w:lineRule="auto"/>
              <w:jc w:val="center"/>
            </w:pPr>
            <w:r>
              <w:rPr>
                <w:rFonts w:ascii="宋体" w:hAnsi="宋体" w:eastAsia="宋体"/>
                <w:b w:val="0"/>
                <w:sz w:val="19"/>
              </w:rPr>
              <w:t>诊断结论给出依据和建议</w:t>
            </w:r>
          </w:p>
        </w:tc>
        <w:tc>
          <w:tcPr>
            <w:tcW w:w="2986" w:type="dxa"/>
            <w:tcBorders>
              <w:top w:val="nil"/>
              <w:left w:val="nil"/>
              <w:bottom w:val="nil"/>
              <w:right w:val="nil"/>
            </w:tcBorders>
            <w:vAlign w:val="center"/>
          </w:tcPr>
          <w:p w14:paraId="1228A47C">
            <w:pPr>
              <w:spacing w:line="288" w:lineRule="auto"/>
              <w:jc w:val="center"/>
            </w:pPr>
            <w:r>
              <w:rPr>
                <w:rFonts w:ascii="宋体" w:hAnsi="宋体" w:eastAsia="宋体"/>
                <w:b w:val="0"/>
                <w:sz w:val="19"/>
              </w:rPr>
              <w:t>健康报告和AI问答</w:t>
            </w:r>
          </w:p>
        </w:tc>
      </w:tr>
      <w:tr w14:paraId="299E61DD">
        <w:tblPrEx>
          <w:tblCellMar>
            <w:top w:w="0" w:type="dxa"/>
            <w:left w:w="108" w:type="dxa"/>
            <w:bottom w:w="0" w:type="dxa"/>
            <w:right w:w="108" w:type="dxa"/>
          </w:tblCellMar>
        </w:tblPrEx>
        <w:tc>
          <w:tcPr>
            <w:tcW w:w="2986" w:type="dxa"/>
            <w:tcBorders>
              <w:top w:val="nil"/>
              <w:left w:val="nil"/>
              <w:bottom w:val="nil"/>
              <w:right w:val="nil"/>
            </w:tcBorders>
            <w:vAlign w:val="center"/>
          </w:tcPr>
          <w:p w14:paraId="454A56B6">
            <w:pPr>
              <w:spacing w:line="288" w:lineRule="auto"/>
              <w:jc w:val="center"/>
            </w:pPr>
            <w:r>
              <w:rPr>
                <w:rFonts w:ascii="宋体" w:hAnsi="宋体" w:eastAsia="宋体"/>
                <w:b w:val="0"/>
                <w:sz w:val="19"/>
              </w:rPr>
              <w:t>安全性</w:t>
            </w:r>
          </w:p>
        </w:tc>
        <w:tc>
          <w:tcPr>
            <w:tcW w:w="2986" w:type="dxa"/>
            <w:tcBorders>
              <w:top w:val="nil"/>
              <w:left w:val="nil"/>
              <w:bottom w:val="nil"/>
              <w:right w:val="nil"/>
            </w:tcBorders>
            <w:vAlign w:val="center"/>
          </w:tcPr>
          <w:p w14:paraId="1013268E">
            <w:pPr>
              <w:spacing w:line="288" w:lineRule="auto"/>
              <w:jc w:val="center"/>
            </w:pPr>
            <w:r>
              <w:rPr>
                <w:rFonts w:ascii="宋体" w:hAnsi="宋体" w:eastAsia="宋体"/>
                <w:b w:val="0"/>
                <w:sz w:val="19"/>
              </w:rPr>
              <w:t>区分用户权限和操作回执</w:t>
            </w:r>
          </w:p>
        </w:tc>
        <w:tc>
          <w:tcPr>
            <w:tcW w:w="2986" w:type="dxa"/>
            <w:tcBorders>
              <w:top w:val="nil"/>
              <w:left w:val="nil"/>
              <w:bottom w:val="nil"/>
              <w:right w:val="nil"/>
            </w:tcBorders>
            <w:vAlign w:val="center"/>
          </w:tcPr>
          <w:p w14:paraId="18E164AB">
            <w:pPr>
              <w:spacing w:line="288" w:lineRule="auto"/>
              <w:jc w:val="center"/>
            </w:pPr>
            <w:r>
              <w:rPr>
                <w:rFonts w:ascii="宋体" w:hAnsi="宋体" w:eastAsia="宋体"/>
                <w:b w:val="0"/>
                <w:sz w:val="19"/>
              </w:rPr>
              <w:t>登录认证和状态保持</w:t>
            </w:r>
          </w:p>
        </w:tc>
      </w:tr>
      <w:tr w14:paraId="42404B10">
        <w:tblPrEx>
          <w:tblCellMar>
            <w:top w:w="0" w:type="dxa"/>
            <w:left w:w="108" w:type="dxa"/>
            <w:bottom w:w="0" w:type="dxa"/>
            <w:right w:w="108" w:type="dxa"/>
          </w:tblCellMar>
        </w:tblPrEx>
        <w:tc>
          <w:tcPr>
            <w:tcW w:w="2986" w:type="dxa"/>
            <w:tcBorders>
              <w:top w:val="nil"/>
              <w:left w:val="nil"/>
              <w:bottom w:val="single" w:color="000000" w:sz="12" w:space="0"/>
              <w:right w:val="nil"/>
            </w:tcBorders>
            <w:vAlign w:val="center"/>
          </w:tcPr>
          <w:p w14:paraId="3993EDA7">
            <w:pPr>
              <w:spacing w:line="288" w:lineRule="auto"/>
              <w:jc w:val="center"/>
            </w:pPr>
            <w:r>
              <w:rPr>
                <w:rFonts w:ascii="宋体" w:hAnsi="宋体" w:eastAsia="宋体"/>
                <w:b w:val="0"/>
                <w:sz w:val="19"/>
              </w:rPr>
              <w:t>扩展性</w:t>
            </w:r>
          </w:p>
        </w:tc>
        <w:tc>
          <w:tcPr>
            <w:tcW w:w="2986" w:type="dxa"/>
            <w:tcBorders>
              <w:top w:val="nil"/>
              <w:left w:val="nil"/>
              <w:bottom w:val="single" w:color="000000" w:sz="12" w:space="0"/>
              <w:right w:val="nil"/>
            </w:tcBorders>
            <w:vAlign w:val="center"/>
          </w:tcPr>
          <w:p w14:paraId="41A16854">
            <w:pPr>
              <w:spacing w:line="288" w:lineRule="auto"/>
              <w:jc w:val="center"/>
            </w:pPr>
            <w:r>
              <w:rPr>
                <w:rFonts w:ascii="宋体" w:hAnsi="宋体" w:eastAsia="宋体"/>
                <w:b w:val="0"/>
                <w:sz w:val="19"/>
              </w:rPr>
              <w:t>支持后续真实数据接入</w:t>
            </w:r>
          </w:p>
        </w:tc>
        <w:tc>
          <w:tcPr>
            <w:tcW w:w="2986" w:type="dxa"/>
            <w:tcBorders>
              <w:top w:val="nil"/>
              <w:left w:val="nil"/>
              <w:bottom w:val="single" w:color="000000" w:sz="12" w:space="0"/>
              <w:right w:val="nil"/>
            </w:tcBorders>
            <w:vAlign w:val="center"/>
          </w:tcPr>
          <w:p w14:paraId="200C03E7">
            <w:pPr>
              <w:spacing w:line="288" w:lineRule="auto"/>
              <w:jc w:val="center"/>
            </w:pPr>
            <w:r>
              <w:rPr>
                <w:rFonts w:ascii="宋体" w:hAnsi="宋体" w:eastAsia="宋体"/>
                <w:b w:val="0"/>
                <w:sz w:val="19"/>
              </w:rPr>
              <w:t>接口分层和字段映射</w:t>
            </w:r>
          </w:p>
        </w:tc>
      </w:tr>
    </w:tbl>
    <w:p w14:paraId="26BC86D1"/>
    <w:p w14:paraId="391610CE">
      <w:pPr>
        <w:spacing w:after="0" w:line="360" w:lineRule="auto"/>
        <w:ind w:firstLine="420"/>
        <w:jc w:val="both"/>
      </w:pPr>
      <w:r>
        <w:rPr>
          <w:rFonts w:ascii="宋体" w:hAnsi="宋体" w:eastAsia="宋体"/>
          <w:b w:val="0"/>
          <w:sz w:val="21"/>
        </w:rPr>
        <w:t>从用户角色看，系统主要面向管理员、运维人员和普通查看人员。管理员负责用户管理、参数配置和系统维护；运维人员负责查看实时状态、运行故障诊断、确认报警和生成健康报告；普通查看人员主要浏览风场总览和报告结果。不同角色对权限、操作按钮和数据展示深度的需求不同，因此系统在设计中保留了用户管理和角色控制功能。</w:t>
      </w:r>
    </w:p>
    <w:p w14:paraId="589B1692">
      <w:pPr>
        <w:spacing w:after="0" w:line="360" w:lineRule="auto"/>
        <w:ind w:firstLine="420"/>
        <w:jc w:val="both"/>
      </w:pPr>
      <w:r>
        <w:rPr>
          <w:rFonts w:ascii="宋体" w:hAnsi="宋体" w:eastAsia="宋体"/>
          <w:b w:val="0"/>
          <w:sz w:val="21"/>
        </w:rPr>
        <w:t>从业务流程看，系统应支持从监测到处置的基本闭环。首先系统采集机组数据并展示状态；当指标异常时，故障诊断模块给出故障类型和严重程度；健康评估模块根据评分和RUL给出复检周期；最后故障数据管理模块保存诊断记录，为后续检修和论文分析提供依据。</w:t>
      </w:r>
    </w:p>
    <w:p w14:paraId="779818FF">
      <w:pPr>
        <w:spacing w:before="240" w:after="120"/>
      </w:pPr>
      <w:r>
        <w:rPr>
          <w:rFonts w:ascii="黑体" w:hAnsi="黑体" w:eastAsia="黑体"/>
          <w:b/>
          <w:sz w:val="28"/>
        </w:rPr>
        <w:t>3.2 多源数据预处理方法</w:t>
      </w:r>
    </w:p>
    <w:p w14:paraId="248D4ED4">
      <w:pPr>
        <w:spacing w:after="0" w:line="360" w:lineRule="auto"/>
        <w:ind w:firstLine="420"/>
        <w:jc w:val="both"/>
      </w:pPr>
      <w:r>
        <w:rPr>
          <w:rFonts w:ascii="宋体" w:hAnsi="宋体" w:eastAsia="宋体"/>
          <w:b w:val="0"/>
          <w:sz w:val="21"/>
        </w:rPr>
        <w:t>多源数据预处理包括单位统一、异常值剔除、缺失值处理、滑动滤波、时间窗口对齐和特征提取。对于SCADA数据，系统重点处理风速、功率和油温等低频指标；对于CMS数据，重点提取RMS、峭度、峰值因子和包络谱特征；对于油液和检修记录，则进行结构化整理和故障标签映射。</w:t>
      </w:r>
    </w:p>
    <w:p w14:paraId="69872990">
      <w:pPr>
        <w:spacing w:after="0" w:line="360" w:lineRule="auto"/>
        <w:ind w:firstLine="420"/>
        <w:jc w:val="both"/>
      </w:pPr>
      <w:r>
        <w:rPr>
          <w:rFonts w:ascii="宋体" w:hAnsi="宋体" w:eastAsia="宋体"/>
          <w:b w:val="0"/>
          <w:sz w:val="21"/>
        </w:rPr>
        <w:t>时间对齐是多源数据融合中的关键步骤。SCADA数据通常以秒级或十秒级采集，CMS振动数据可能包含高频波形和分钟级特征，油液数据则可能以小时或天为周期。为了避免不同时间点数据混用，系统以机组编号和时间窗口作为关联依据，将同一窗口内的工况、温度、振动和油液数据整合为诊断样本。</w:t>
      </w:r>
    </w:p>
    <w:p w14:paraId="0A591CFB">
      <w:pPr>
        <w:spacing w:after="0" w:line="360" w:lineRule="auto"/>
        <w:ind w:firstLine="420"/>
        <w:jc w:val="both"/>
      </w:pPr>
      <w:r>
        <w:rPr>
          <w:rFonts w:ascii="宋体" w:hAnsi="宋体" w:eastAsia="宋体"/>
          <w:b w:val="0"/>
          <w:sz w:val="21"/>
        </w:rPr>
        <w:t>异常值处理采用规则和统计方法结合。对于超出物理范围的数据，例如负风速、明显异常的转速或传感器断线值，系统应直接标记为无效；对于短时间尖峰，可通过滑动平均、中位数滤波或标准差阈值进行平滑。处理过程中应保留原始值，便于后续追溯和数据质量评价。</w:t>
      </w:r>
    </w:p>
    <w:p w14:paraId="659CB0C0">
      <w:pPr>
        <w:spacing w:before="240" w:after="120"/>
      </w:pPr>
      <w:r>
        <w:rPr>
          <w:rFonts w:ascii="黑体" w:hAnsi="黑体" w:eastAsia="黑体"/>
          <w:b/>
          <w:sz w:val="28"/>
        </w:rPr>
        <w:t>3.3 M-IALO-SVR油温残差预测方法</w:t>
      </w:r>
    </w:p>
    <w:p w14:paraId="33E48A13">
      <w:pPr>
        <w:spacing w:after="0" w:line="360" w:lineRule="auto"/>
        <w:ind w:firstLine="420"/>
        <w:jc w:val="both"/>
      </w:pPr>
      <w:r>
        <w:rPr>
          <w:rFonts w:ascii="宋体" w:hAnsi="宋体" w:eastAsia="宋体"/>
          <w:b w:val="0"/>
          <w:sz w:val="21"/>
        </w:rPr>
        <w:t>设输入特征向量为X=[v,P,T_a,n,β,T_{oil,t-1}]，其中v表示风速，P表示有功功率，T_a表示环境温度，n表示发电机转速，β表示变桨角，T_{oil,t-1}表示上一时刻油温。SVR模型输出预测油温T_hat，油温残差r定义为r=T_oil-T_hat。当残差连续超过阈值时，说明实测油温高于当前工况下的正常水平，可能存在冷却效率下降或摩擦异常。</w:t>
      </w:r>
    </w:p>
    <w:p w14:paraId="0174248E">
      <w:pPr>
        <w:jc w:val="center"/>
      </w:pPr>
      <w:r>
        <w:rPr>
          <w:rFonts w:ascii="黑体" w:hAnsi="黑体" w:eastAsia="黑体"/>
          <w:b/>
          <w:sz w:val="21"/>
        </w:rPr>
        <w:t>表3.2 油温残差判据</w:t>
      </w:r>
    </w:p>
    <w:tbl>
      <w:tblPr>
        <w:tblStyle w:val="11"/>
        <w:tblW w:w="0" w:type="auto"/>
        <w:tblInd w:w="0" w:type="dxa"/>
        <w:tblLayout w:type="autofit"/>
        <w:tblCellMar>
          <w:top w:w="0" w:type="dxa"/>
          <w:left w:w="108" w:type="dxa"/>
          <w:bottom w:w="0" w:type="dxa"/>
          <w:right w:w="108" w:type="dxa"/>
        </w:tblCellMar>
      </w:tblPr>
      <w:tblGrid>
        <w:gridCol w:w="2963"/>
        <w:gridCol w:w="2963"/>
        <w:gridCol w:w="2964"/>
      </w:tblGrid>
      <w:tr w14:paraId="698B087D">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tcBorders>
            <w:vAlign w:val="center"/>
          </w:tcPr>
          <w:p w14:paraId="7618A4E2">
            <w:pPr>
              <w:spacing w:line="288" w:lineRule="auto"/>
              <w:jc w:val="center"/>
            </w:pPr>
            <w:r>
              <w:rPr>
                <w:rFonts w:ascii="宋体" w:hAnsi="宋体" w:eastAsia="宋体"/>
                <w:b/>
                <w:sz w:val="19"/>
              </w:rPr>
              <w:t>等级</w:t>
            </w:r>
          </w:p>
        </w:tc>
        <w:tc>
          <w:tcPr>
            <w:tcW w:w="2986" w:type="dxa"/>
            <w:tcBorders>
              <w:top w:val="single" w:color="000000" w:sz="12" w:space="0"/>
              <w:left w:val="nil"/>
              <w:bottom w:val="single" w:color="000000" w:sz="6" w:space="0"/>
              <w:right w:val="nil"/>
            </w:tcBorders>
            <w:vAlign w:val="center"/>
          </w:tcPr>
          <w:p w14:paraId="7A081709">
            <w:pPr>
              <w:spacing w:line="288" w:lineRule="auto"/>
              <w:jc w:val="center"/>
            </w:pPr>
            <w:r>
              <w:rPr>
                <w:rFonts w:ascii="宋体" w:hAnsi="宋体" w:eastAsia="宋体"/>
                <w:b/>
                <w:sz w:val="19"/>
              </w:rPr>
              <w:t>判定条件</w:t>
            </w:r>
          </w:p>
        </w:tc>
        <w:tc>
          <w:tcPr>
            <w:tcW w:w="2986" w:type="dxa"/>
            <w:tcBorders>
              <w:top w:val="single" w:color="000000" w:sz="12" w:space="0"/>
              <w:left w:val="nil"/>
              <w:bottom w:val="single" w:color="000000" w:sz="6" w:space="0"/>
              <w:right w:val="nil"/>
            </w:tcBorders>
            <w:vAlign w:val="center"/>
          </w:tcPr>
          <w:p w14:paraId="76B23A77">
            <w:pPr>
              <w:spacing w:line="288" w:lineRule="auto"/>
              <w:jc w:val="center"/>
            </w:pPr>
            <w:r>
              <w:rPr>
                <w:rFonts w:ascii="宋体" w:hAnsi="宋体" w:eastAsia="宋体"/>
                <w:b/>
                <w:sz w:val="19"/>
              </w:rPr>
              <w:t>运维含义</w:t>
            </w:r>
          </w:p>
        </w:tc>
      </w:tr>
      <w:tr w14:paraId="4ACA1C00">
        <w:tblPrEx>
          <w:tblCellMar>
            <w:top w:w="0" w:type="dxa"/>
            <w:left w:w="108" w:type="dxa"/>
            <w:bottom w:w="0" w:type="dxa"/>
            <w:right w:w="108" w:type="dxa"/>
          </w:tblCellMar>
        </w:tblPrEx>
        <w:tc>
          <w:tcPr>
            <w:tcW w:w="2986" w:type="dxa"/>
            <w:tcBorders>
              <w:top w:val="nil"/>
              <w:left w:val="nil"/>
              <w:bottom w:val="nil"/>
              <w:right w:val="nil"/>
            </w:tcBorders>
            <w:vAlign w:val="center"/>
          </w:tcPr>
          <w:p w14:paraId="0E8F0834">
            <w:pPr>
              <w:spacing w:line="288" w:lineRule="auto"/>
              <w:jc w:val="center"/>
            </w:pPr>
            <w:r>
              <w:rPr>
                <w:rFonts w:ascii="宋体" w:hAnsi="宋体" w:eastAsia="宋体"/>
                <w:b w:val="0"/>
                <w:sz w:val="19"/>
              </w:rPr>
              <w:t>正常</w:t>
            </w:r>
          </w:p>
        </w:tc>
        <w:tc>
          <w:tcPr>
            <w:tcW w:w="2986" w:type="dxa"/>
            <w:tcBorders>
              <w:top w:val="nil"/>
              <w:left w:val="nil"/>
              <w:bottom w:val="nil"/>
              <w:right w:val="nil"/>
            </w:tcBorders>
            <w:vAlign w:val="center"/>
          </w:tcPr>
          <w:p w14:paraId="2534B30B">
            <w:pPr>
              <w:spacing w:line="288" w:lineRule="auto"/>
              <w:jc w:val="center"/>
            </w:pPr>
            <w:r>
              <w:rPr>
                <w:rFonts w:ascii="宋体" w:hAnsi="宋体" w:eastAsia="宋体"/>
                <w:b w:val="0"/>
                <w:sz w:val="19"/>
              </w:rPr>
              <w:t>残差处于正常范围</w:t>
            </w:r>
          </w:p>
        </w:tc>
        <w:tc>
          <w:tcPr>
            <w:tcW w:w="2986" w:type="dxa"/>
            <w:tcBorders>
              <w:top w:val="nil"/>
              <w:left w:val="nil"/>
              <w:bottom w:val="nil"/>
              <w:right w:val="nil"/>
            </w:tcBorders>
            <w:vAlign w:val="center"/>
          </w:tcPr>
          <w:p w14:paraId="484B8273">
            <w:pPr>
              <w:spacing w:line="288" w:lineRule="auto"/>
              <w:jc w:val="center"/>
            </w:pPr>
            <w:r>
              <w:rPr>
                <w:rFonts w:ascii="宋体" w:hAnsi="宋体" w:eastAsia="宋体"/>
                <w:b w:val="0"/>
                <w:sz w:val="19"/>
              </w:rPr>
              <w:t>油温符合工况</w:t>
            </w:r>
          </w:p>
        </w:tc>
      </w:tr>
      <w:tr w14:paraId="61EAF1C1">
        <w:tblPrEx>
          <w:tblCellMar>
            <w:top w:w="0" w:type="dxa"/>
            <w:left w:w="108" w:type="dxa"/>
            <w:bottom w:w="0" w:type="dxa"/>
            <w:right w:w="108" w:type="dxa"/>
          </w:tblCellMar>
        </w:tblPrEx>
        <w:tc>
          <w:tcPr>
            <w:tcW w:w="2986" w:type="dxa"/>
            <w:tcBorders>
              <w:top w:val="nil"/>
              <w:left w:val="nil"/>
              <w:bottom w:val="nil"/>
              <w:right w:val="nil"/>
            </w:tcBorders>
            <w:vAlign w:val="center"/>
          </w:tcPr>
          <w:p w14:paraId="1ACF13BC">
            <w:pPr>
              <w:spacing w:line="288" w:lineRule="auto"/>
              <w:jc w:val="center"/>
            </w:pPr>
            <w:r>
              <w:rPr>
                <w:rFonts w:ascii="宋体" w:hAnsi="宋体" w:eastAsia="宋体"/>
                <w:b w:val="0"/>
                <w:sz w:val="19"/>
              </w:rPr>
              <w:t>关注</w:t>
            </w:r>
          </w:p>
        </w:tc>
        <w:tc>
          <w:tcPr>
            <w:tcW w:w="2986" w:type="dxa"/>
            <w:tcBorders>
              <w:top w:val="nil"/>
              <w:left w:val="nil"/>
              <w:bottom w:val="nil"/>
              <w:right w:val="nil"/>
            </w:tcBorders>
            <w:vAlign w:val="center"/>
          </w:tcPr>
          <w:p w14:paraId="5833BBF2">
            <w:pPr>
              <w:spacing w:line="288" w:lineRule="auto"/>
              <w:jc w:val="center"/>
            </w:pPr>
            <w:r>
              <w:rPr>
                <w:rFonts w:ascii="宋体" w:hAnsi="宋体" w:eastAsia="宋体"/>
                <w:b w:val="0"/>
                <w:sz w:val="19"/>
              </w:rPr>
              <w:t>残差连续超过关注阈值</w:t>
            </w:r>
          </w:p>
        </w:tc>
        <w:tc>
          <w:tcPr>
            <w:tcW w:w="2986" w:type="dxa"/>
            <w:tcBorders>
              <w:top w:val="nil"/>
              <w:left w:val="nil"/>
              <w:bottom w:val="nil"/>
              <w:right w:val="nil"/>
            </w:tcBorders>
            <w:vAlign w:val="center"/>
          </w:tcPr>
          <w:p w14:paraId="2479688A">
            <w:pPr>
              <w:spacing w:line="288" w:lineRule="auto"/>
              <w:jc w:val="center"/>
            </w:pPr>
            <w:r>
              <w:rPr>
                <w:rFonts w:ascii="宋体" w:hAnsi="宋体" w:eastAsia="宋体"/>
                <w:b w:val="0"/>
                <w:sz w:val="19"/>
              </w:rPr>
              <w:t>观察冷却和润滑趋势</w:t>
            </w:r>
          </w:p>
        </w:tc>
      </w:tr>
      <w:tr w14:paraId="5D5AC724">
        <w:tblPrEx>
          <w:tblCellMar>
            <w:top w:w="0" w:type="dxa"/>
            <w:left w:w="108" w:type="dxa"/>
            <w:bottom w:w="0" w:type="dxa"/>
            <w:right w:w="108" w:type="dxa"/>
          </w:tblCellMar>
        </w:tblPrEx>
        <w:tc>
          <w:tcPr>
            <w:tcW w:w="2986" w:type="dxa"/>
            <w:tcBorders>
              <w:top w:val="nil"/>
              <w:left w:val="nil"/>
              <w:bottom w:val="nil"/>
              <w:right w:val="nil"/>
            </w:tcBorders>
            <w:vAlign w:val="center"/>
          </w:tcPr>
          <w:p w14:paraId="4AD5A432">
            <w:pPr>
              <w:spacing w:line="288" w:lineRule="auto"/>
              <w:jc w:val="center"/>
            </w:pPr>
            <w:r>
              <w:rPr>
                <w:rFonts w:ascii="宋体" w:hAnsi="宋体" w:eastAsia="宋体"/>
                <w:b w:val="0"/>
                <w:sz w:val="19"/>
              </w:rPr>
              <w:t>警告</w:t>
            </w:r>
          </w:p>
        </w:tc>
        <w:tc>
          <w:tcPr>
            <w:tcW w:w="2986" w:type="dxa"/>
            <w:tcBorders>
              <w:top w:val="nil"/>
              <w:left w:val="nil"/>
              <w:bottom w:val="nil"/>
              <w:right w:val="nil"/>
            </w:tcBorders>
            <w:vAlign w:val="center"/>
          </w:tcPr>
          <w:p w14:paraId="6FA38556">
            <w:pPr>
              <w:spacing w:line="288" w:lineRule="auto"/>
              <w:jc w:val="left"/>
            </w:pPr>
            <w:r>
              <w:rPr>
                <w:rFonts w:ascii="宋体" w:hAnsi="宋体" w:eastAsia="宋体"/>
                <w:b w:val="0"/>
                <w:sz w:val="19"/>
              </w:rPr>
              <w:t>残差超限且振动或油液异常</w:t>
            </w:r>
          </w:p>
        </w:tc>
        <w:tc>
          <w:tcPr>
            <w:tcW w:w="2986" w:type="dxa"/>
            <w:tcBorders>
              <w:top w:val="nil"/>
              <w:left w:val="nil"/>
              <w:bottom w:val="nil"/>
              <w:right w:val="nil"/>
            </w:tcBorders>
            <w:vAlign w:val="center"/>
          </w:tcPr>
          <w:p w14:paraId="6141FAF5">
            <w:pPr>
              <w:spacing w:line="288" w:lineRule="auto"/>
              <w:jc w:val="center"/>
            </w:pPr>
            <w:r>
              <w:rPr>
                <w:rFonts w:ascii="宋体" w:hAnsi="宋体" w:eastAsia="宋体"/>
                <w:b w:val="0"/>
                <w:sz w:val="19"/>
              </w:rPr>
              <w:t>建议复测振动和油样</w:t>
            </w:r>
          </w:p>
        </w:tc>
      </w:tr>
      <w:tr w14:paraId="470B4670">
        <w:tblPrEx>
          <w:tblCellMar>
            <w:top w:w="0" w:type="dxa"/>
            <w:left w:w="108" w:type="dxa"/>
            <w:bottom w:w="0" w:type="dxa"/>
            <w:right w:w="108" w:type="dxa"/>
          </w:tblCellMar>
        </w:tblPrEx>
        <w:tc>
          <w:tcPr>
            <w:tcW w:w="2986" w:type="dxa"/>
            <w:tcBorders>
              <w:top w:val="nil"/>
              <w:left w:val="nil"/>
              <w:bottom w:val="single" w:color="000000" w:sz="12" w:space="0"/>
              <w:right w:val="nil"/>
            </w:tcBorders>
            <w:vAlign w:val="center"/>
          </w:tcPr>
          <w:p w14:paraId="631858CF">
            <w:pPr>
              <w:spacing w:line="288" w:lineRule="auto"/>
              <w:jc w:val="center"/>
            </w:pPr>
            <w:r>
              <w:rPr>
                <w:rFonts w:ascii="宋体" w:hAnsi="宋体" w:eastAsia="宋体"/>
                <w:b w:val="0"/>
                <w:sz w:val="19"/>
              </w:rPr>
              <w:t>严重</w:t>
            </w:r>
          </w:p>
        </w:tc>
        <w:tc>
          <w:tcPr>
            <w:tcW w:w="2986" w:type="dxa"/>
            <w:tcBorders>
              <w:top w:val="nil"/>
              <w:left w:val="nil"/>
              <w:bottom w:val="single" w:color="000000" w:sz="12" w:space="0"/>
              <w:right w:val="nil"/>
            </w:tcBorders>
            <w:vAlign w:val="center"/>
          </w:tcPr>
          <w:p w14:paraId="5F11AF47">
            <w:pPr>
              <w:spacing w:line="288" w:lineRule="auto"/>
              <w:jc w:val="left"/>
            </w:pPr>
            <w:r>
              <w:rPr>
                <w:rFonts w:ascii="宋体" w:hAnsi="宋体" w:eastAsia="宋体"/>
                <w:b w:val="0"/>
                <w:sz w:val="19"/>
              </w:rPr>
              <w:t>残差严重超限并出现报警码</w:t>
            </w:r>
          </w:p>
        </w:tc>
        <w:tc>
          <w:tcPr>
            <w:tcW w:w="2986" w:type="dxa"/>
            <w:tcBorders>
              <w:top w:val="nil"/>
              <w:left w:val="nil"/>
              <w:bottom w:val="single" w:color="000000" w:sz="12" w:space="0"/>
              <w:right w:val="nil"/>
            </w:tcBorders>
            <w:vAlign w:val="center"/>
          </w:tcPr>
          <w:p w14:paraId="652DF2D5">
            <w:pPr>
              <w:spacing w:line="288" w:lineRule="auto"/>
              <w:jc w:val="center"/>
            </w:pPr>
            <w:r>
              <w:rPr>
                <w:rFonts w:ascii="宋体" w:hAnsi="宋体" w:eastAsia="宋体"/>
                <w:b w:val="0"/>
                <w:sz w:val="19"/>
              </w:rPr>
              <w:t>建议生成检修工单</w:t>
            </w:r>
          </w:p>
        </w:tc>
      </w:tr>
    </w:tbl>
    <w:p w14:paraId="123F5625"/>
    <w:p w14:paraId="460C05BE">
      <w:pPr>
        <w:spacing w:after="0" w:line="360" w:lineRule="auto"/>
        <w:ind w:firstLine="420"/>
        <w:jc w:val="both"/>
      </w:pPr>
      <w:r>
        <w:rPr>
          <w:rFonts w:ascii="宋体" w:hAnsi="宋体" w:eastAsia="宋体"/>
          <w:b w:val="0"/>
          <w:sz w:val="21"/>
        </w:rPr>
        <w:t>油温残差方法的核心思想是区分工况引起的正常温升和故障引起的异常温升。例如，当风速较高、功率较大时，油温升高并不一定代表故障；但若在相似风速和功率下，实测油温持续高于模型预测值，则说明齿轮箱热状态偏离正常模式。该方法能够降低固定阈值判断对环境和负载变化的敏感性。</w:t>
      </w:r>
    </w:p>
    <w:p w14:paraId="32E44EF0">
      <w:pPr>
        <w:spacing w:after="0" w:line="360" w:lineRule="auto"/>
        <w:ind w:firstLine="420"/>
        <w:jc w:val="both"/>
      </w:pPr>
      <w:r>
        <w:rPr>
          <w:rFonts w:ascii="宋体" w:hAnsi="宋体" w:eastAsia="宋体"/>
          <w:b w:val="0"/>
          <w:sz w:val="21"/>
        </w:rPr>
        <w:t>在实际训练中，应优先选取健康状态或无明显故障记录的样本作为训练数据，避免故障数据污染正常模型。模型训练完成后，可使用验证集确定残差阈值。阈值设置应兼顾误报率和漏报率，不能过于敏感，也不能过于宽松。对于毕业设计阶段，系统先完成方法流程和接口预留，后续可在真实风场数据接入后继续训练。</w:t>
      </w:r>
    </w:p>
    <w:p w14:paraId="01D4AAF9">
      <w:pPr>
        <w:spacing w:after="0" w:line="360" w:lineRule="auto"/>
        <w:ind w:firstLine="420"/>
        <w:jc w:val="both"/>
      </w:pPr>
      <w:r>
        <w:rPr>
          <w:rFonts w:ascii="宋体" w:hAnsi="宋体" w:eastAsia="宋体"/>
          <w:b w:val="0"/>
          <w:sz w:val="21"/>
        </w:rPr>
        <w:t>M-IALO-SVR的训练流程可概括为六个步骤。第一步，采集正常运行样本，构建输入特征和目标油温；第二步，对各特征进行归一化处理，消除量纲差异；第三步，初始化改进优化算法种群，确定SVR参数搜索范围；第四步，以验证集误差作为适应度函数，迭代搜索最优参数；第五步，利用最优参数训练SVR油温预测模型；第六步，计算残差并结合阈值输出异常等级。</w:t>
      </w:r>
    </w:p>
    <w:p w14:paraId="784FF6E3">
      <w:pPr>
        <w:spacing w:after="0" w:line="360" w:lineRule="auto"/>
        <w:ind w:firstLine="420"/>
        <w:jc w:val="both"/>
      </w:pPr>
      <w:r>
        <w:rPr>
          <w:rFonts w:ascii="宋体" w:hAnsi="宋体" w:eastAsia="宋体"/>
          <w:b w:val="0"/>
          <w:sz w:val="21"/>
        </w:rPr>
        <w:t>模型评价可采用均方根误差RMSE、平均绝对误差MAE和决定系数R²。RMSE对较大误差更敏感，适合评价油温预测模型是否存在明显偏差；MAE能够直观反映平均预测误差；R²用于评价模型对油温变化的解释能力。若模型在正常样本上的RMSE较低且R²较高，说明其能够较好描述正常工况下油温变化规律。</w:t>
      </w:r>
    </w:p>
    <w:p w14:paraId="1B045786">
      <w:pPr>
        <w:spacing w:before="240" w:after="120"/>
      </w:pPr>
      <w:r>
        <w:rPr>
          <w:rFonts w:ascii="黑体" w:hAnsi="黑体" w:eastAsia="黑体"/>
          <w:b/>
          <w:sz w:val="28"/>
        </w:rPr>
        <w:t>3.4 健康评分与RUL评估方法</w:t>
      </w:r>
    </w:p>
    <w:p w14:paraId="1C1A9D21">
      <w:pPr>
        <w:spacing w:after="0" w:line="360" w:lineRule="auto"/>
        <w:ind w:firstLine="420"/>
        <w:jc w:val="both"/>
      </w:pPr>
      <w:r>
        <w:rPr>
          <w:rFonts w:ascii="宋体" w:hAnsi="宋体" w:eastAsia="宋体"/>
          <w:b w:val="0"/>
          <w:sz w:val="21"/>
        </w:rPr>
        <w:t>健康评分以100分为满分，根据温度风险、振动风险、油液风险、报警等级和历史故障次数进行扣分。RUL估计结合健康评分和趋势变化给出剩余寿命天数。系统默认风机设计寿命为20年，并根据健康评分和RUL将复检周期划分为90天、60天、30天、14天和7天。</w:t>
      </w:r>
    </w:p>
    <w:p w14:paraId="084E047A">
      <w:pPr>
        <w:spacing w:after="0" w:line="360" w:lineRule="auto"/>
        <w:ind w:firstLine="420"/>
        <w:jc w:val="both"/>
      </w:pPr>
      <w:r>
        <w:rPr>
          <w:rFonts w:ascii="宋体" w:hAnsi="宋体" w:eastAsia="宋体"/>
          <w:b w:val="0"/>
          <w:sz w:val="21"/>
        </w:rPr>
        <w:t>健康评分强调可解释性。系统不仅显示最终分值，还应说明扣分来源，例如齿轮箱油温偏高、振动RMS上升、油液NAS等级偏高或近期存在报警记录。这样运维人员可以根据扣分项判断应优先检查冷却系统、润滑系统还是机械传动部件。</w:t>
      </w:r>
    </w:p>
    <w:p w14:paraId="6373DF53">
      <w:pPr>
        <w:spacing w:after="0" w:line="360" w:lineRule="auto"/>
        <w:ind w:firstLine="420"/>
        <w:jc w:val="both"/>
      </w:pPr>
      <w:r>
        <w:rPr>
          <w:rFonts w:ascii="宋体" w:hAnsi="宋体" w:eastAsia="宋体"/>
          <w:b w:val="0"/>
          <w:sz w:val="21"/>
        </w:rPr>
        <w:t>RUL结果应作为辅助决策而不是绝对结论。风机检修还受到天气窗口、备件供应、吊装条件和场站生产计划影响。若系统判断某台机组处于严重风险，即使RUL估计仍有一定余量，也应安排现场复核或限功率运行，以降低故障扩大风险。</w:t>
      </w:r>
    </w:p>
    <w:p w14:paraId="4FCA6E8A">
      <w:pPr>
        <w:jc w:val="center"/>
      </w:pPr>
      <w:r>
        <w:rPr>
          <w:rFonts w:ascii="黑体" w:hAnsi="黑体" w:eastAsia="黑体"/>
          <w:b/>
          <w:sz w:val="21"/>
        </w:rPr>
        <w:t>表3.3 健康评分扣分规则示例</w:t>
      </w:r>
    </w:p>
    <w:tbl>
      <w:tblPr>
        <w:tblStyle w:val="11"/>
        <w:tblW w:w="0" w:type="auto"/>
        <w:tblInd w:w="0" w:type="dxa"/>
        <w:tblLayout w:type="autofit"/>
        <w:tblCellMar>
          <w:top w:w="0" w:type="dxa"/>
          <w:left w:w="108" w:type="dxa"/>
          <w:bottom w:w="0" w:type="dxa"/>
          <w:right w:w="108" w:type="dxa"/>
        </w:tblCellMar>
      </w:tblPr>
      <w:tblGrid>
        <w:gridCol w:w="2221"/>
        <w:gridCol w:w="2224"/>
        <w:gridCol w:w="2224"/>
        <w:gridCol w:w="2221"/>
      </w:tblGrid>
      <w:tr w14:paraId="4C9B38EB">
        <w:tblPrEx>
          <w:tblCellMar>
            <w:top w:w="0" w:type="dxa"/>
            <w:left w:w="108" w:type="dxa"/>
            <w:bottom w:w="0" w:type="dxa"/>
            <w:right w:w="108" w:type="dxa"/>
          </w:tblCellMar>
        </w:tblPrEx>
        <w:tc>
          <w:tcPr>
            <w:tcW w:w="2239" w:type="dxa"/>
            <w:tcBorders>
              <w:top w:val="single" w:color="000000" w:sz="12" w:space="0"/>
              <w:left w:val="nil"/>
              <w:bottom w:val="single" w:color="000000" w:sz="6" w:space="0"/>
              <w:right w:val="nil"/>
            </w:tcBorders>
            <w:vAlign w:val="center"/>
          </w:tcPr>
          <w:p w14:paraId="6FA2FEDA">
            <w:pPr>
              <w:spacing w:line="288" w:lineRule="auto"/>
              <w:jc w:val="center"/>
            </w:pPr>
            <w:r>
              <w:rPr>
                <w:rFonts w:ascii="宋体" w:hAnsi="宋体" w:eastAsia="宋体"/>
                <w:b/>
                <w:sz w:val="19"/>
              </w:rPr>
              <w:t>指标</w:t>
            </w:r>
          </w:p>
        </w:tc>
        <w:tc>
          <w:tcPr>
            <w:tcW w:w="2239" w:type="dxa"/>
            <w:tcBorders>
              <w:top w:val="single" w:color="000000" w:sz="12" w:space="0"/>
              <w:left w:val="nil"/>
              <w:bottom w:val="single" w:color="000000" w:sz="6" w:space="0"/>
              <w:right w:val="nil"/>
            </w:tcBorders>
            <w:vAlign w:val="center"/>
          </w:tcPr>
          <w:p w14:paraId="20D85BE1">
            <w:pPr>
              <w:spacing w:line="288" w:lineRule="auto"/>
              <w:jc w:val="center"/>
            </w:pPr>
            <w:r>
              <w:rPr>
                <w:rFonts w:ascii="宋体" w:hAnsi="宋体" w:eastAsia="宋体"/>
                <w:b/>
                <w:sz w:val="19"/>
              </w:rPr>
              <w:t>正常范围</w:t>
            </w:r>
          </w:p>
        </w:tc>
        <w:tc>
          <w:tcPr>
            <w:tcW w:w="2239" w:type="dxa"/>
            <w:tcBorders>
              <w:top w:val="single" w:color="000000" w:sz="12" w:space="0"/>
              <w:left w:val="nil"/>
              <w:bottom w:val="single" w:color="000000" w:sz="6" w:space="0"/>
              <w:right w:val="nil"/>
            </w:tcBorders>
            <w:vAlign w:val="center"/>
          </w:tcPr>
          <w:p w14:paraId="42DFEBE0">
            <w:pPr>
              <w:spacing w:line="288" w:lineRule="auto"/>
              <w:jc w:val="center"/>
            </w:pPr>
            <w:r>
              <w:rPr>
                <w:rFonts w:ascii="宋体" w:hAnsi="宋体" w:eastAsia="宋体"/>
                <w:b/>
                <w:sz w:val="19"/>
              </w:rPr>
              <w:t>风险表现</w:t>
            </w:r>
          </w:p>
        </w:tc>
        <w:tc>
          <w:tcPr>
            <w:tcW w:w="2239" w:type="dxa"/>
            <w:tcBorders>
              <w:top w:val="single" w:color="000000" w:sz="12" w:space="0"/>
              <w:left w:val="nil"/>
              <w:bottom w:val="single" w:color="000000" w:sz="6" w:space="0"/>
              <w:right w:val="nil"/>
            </w:tcBorders>
            <w:vAlign w:val="center"/>
          </w:tcPr>
          <w:p w14:paraId="0D67E2C6">
            <w:pPr>
              <w:spacing w:line="288" w:lineRule="auto"/>
              <w:jc w:val="center"/>
            </w:pPr>
            <w:r>
              <w:rPr>
                <w:rFonts w:ascii="宋体" w:hAnsi="宋体" w:eastAsia="宋体"/>
                <w:b/>
                <w:sz w:val="19"/>
              </w:rPr>
              <w:t>扣分依据</w:t>
            </w:r>
          </w:p>
        </w:tc>
      </w:tr>
      <w:tr w14:paraId="35B92EB8">
        <w:tblPrEx>
          <w:tblCellMar>
            <w:top w:w="0" w:type="dxa"/>
            <w:left w:w="108" w:type="dxa"/>
            <w:bottom w:w="0" w:type="dxa"/>
            <w:right w:w="108" w:type="dxa"/>
          </w:tblCellMar>
        </w:tblPrEx>
        <w:tc>
          <w:tcPr>
            <w:tcW w:w="2239" w:type="dxa"/>
            <w:tcBorders>
              <w:top w:val="nil"/>
              <w:left w:val="nil"/>
              <w:bottom w:val="nil"/>
              <w:right w:val="nil"/>
            </w:tcBorders>
            <w:vAlign w:val="center"/>
          </w:tcPr>
          <w:p w14:paraId="12B31EEC">
            <w:pPr>
              <w:spacing w:line="288" w:lineRule="auto"/>
              <w:jc w:val="center"/>
            </w:pPr>
            <w:r>
              <w:rPr>
                <w:rFonts w:ascii="宋体" w:hAnsi="宋体" w:eastAsia="宋体"/>
                <w:b w:val="0"/>
                <w:sz w:val="19"/>
              </w:rPr>
              <w:t>齿轮箱油温</w:t>
            </w:r>
          </w:p>
        </w:tc>
        <w:tc>
          <w:tcPr>
            <w:tcW w:w="2239" w:type="dxa"/>
            <w:tcBorders>
              <w:top w:val="nil"/>
              <w:left w:val="nil"/>
              <w:bottom w:val="nil"/>
              <w:right w:val="nil"/>
            </w:tcBorders>
            <w:vAlign w:val="center"/>
          </w:tcPr>
          <w:p w14:paraId="6EFF091D">
            <w:pPr>
              <w:spacing w:line="288" w:lineRule="auto"/>
              <w:jc w:val="center"/>
            </w:pPr>
            <w:r>
              <w:rPr>
                <w:rFonts w:ascii="宋体" w:hAnsi="宋体" w:eastAsia="宋体"/>
                <w:b w:val="0"/>
                <w:sz w:val="19"/>
              </w:rPr>
              <w:t>低于75°C或残差正常</w:t>
            </w:r>
          </w:p>
        </w:tc>
        <w:tc>
          <w:tcPr>
            <w:tcW w:w="2239" w:type="dxa"/>
            <w:tcBorders>
              <w:top w:val="nil"/>
              <w:left w:val="nil"/>
              <w:bottom w:val="nil"/>
              <w:right w:val="nil"/>
            </w:tcBorders>
            <w:vAlign w:val="center"/>
          </w:tcPr>
          <w:p w14:paraId="592F522E">
            <w:pPr>
              <w:spacing w:line="288" w:lineRule="auto"/>
              <w:jc w:val="center"/>
            </w:pPr>
            <w:r>
              <w:rPr>
                <w:rFonts w:ascii="宋体" w:hAnsi="宋体" w:eastAsia="宋体"/>
                <w:b w:val="0"/>
                <w:sz w:val="19"/>
              </w:rPr>
              <w:t>油温偏高或残差持续增大</w:t>
            </w:r>
          </w:p>
        </w:tc>
        <w:tc>
          <w:tcPr>
            <w:tcW w:w="2239" w:type="dxa"/>
            <w:tcBorders>
              <w:top w:val="nil"/>
              <w:left w:val="nil"/>
              <w:bottom w:val="nil"/>
              <w:right w:val="nil"/>
            </w:tcBorders>
            <w:vAlign w:val="center"/>
          </w:tcPr>
          <w:p w14:paraId="72B2A374">
            <w:pPr>
              <w:spacing w:line="288" w:lineRule="auto"/>
              <w:jc w:val="center"/>
            </w:pPr>
            <w:r>
              <w:rPr>
                <w:rFonts w:ascii="宋体" w:hAnsi="宋体" w:eastAsia="宋体"/>
                <w:b w:val="0"/>
                <w:sz w:val="19"/>
              </w:rPr>
              <w:t>按温升和残差等级扣分</w:t>
            </w:r>
          </w:p>
        </w:tc>
      </w:tr>
      <w:tr w14:paraId="5A89AF94">
        <w:tblPrEx>
          <w:tblCellMar>
            <w:top w:w="0" w:type="dxa"/>
            <w:left w:w="108" w:type="dxa"/>
            <w:bottom w:w="0" w:type="dxa"/>
            <w:right w:w="108" w:type="dxa"/>
          </w:tblCellMar>
        </w:tblPrEx>
        <w:tc>
          <w:tcPr>
            <w:tcW w:w="2239" w:type="dxa"/>
            <w:tcBorders>
              <w:top w:val="nil"/>
              <w:left w:val="nil"/>
              <w:bottom w:val="nil"/>
              <w:right w:val="nil"/>
            </w:tcBorders>
            <w:vAlign w:val="center"/>
          </w:tcPr>
          <w:p w14:paraId="16D5AF6A">
            <w:pPr>
              <w:spacing w:line="288" w:lineRule="auto"/>
              <w:jc w:val="center"/>
            </w:pPr>
            <w:r>
              <w:rPr>
                <w:rFonts w:ascii="宋体" w:hAnsi="宋体" w:eastAsia="宋体"/>
                <w:b w:val="0"/>
                <w:sz w:val="19"/>
              </w:rPr>
              <w:t>振动RMS</w:t>
            </w:r>
          </w:p>
        </w:tc>
        <w:tc>
          <w:tcPr>
            <w:tcW w:w="2239" w:type="dxa"/>
            <w:tcBorders>
              <w:top w:val="nil"/>
              <w:left w:val="nil"/>
              <w:bottom w:val="nil"/>
              <w:right w:val="nil"/>
            </w:tcBorders>
            <w:vAlign w:val="center"/>
          </w:tcPr>
          <w:p w14:paraId="7AE9023B">
            <w:pPr>
              <w:spacing w:line="288" w:lineRule="auto"/>
              <w:jc w:val="center"/>
            </w:pPr>
            <w:r>
              <w:rPr>
                <w:rFonts w:ascii="宋体" w:hAnsi="宋体" w:eastAsia="宋体"/>
                <w:b w:val="0"/>
                <w:sz w:val="19"/>
              </w:rPr>
              <w:t>低于关注阈值</w:t>
            </w:r>
          </w:p>
        </w:tc>
        <w:tc>
          <w:tcPr>
            <w:tcW w:w="2239" w:type="dxa"/>
            <w:tcBorders>
              <w:top w:val="nil"/>
              <w:left w:val="nil"/>
              <w:bottom w:val="nil"/>
              <w:right w:val="nil"/>
            </w:tcBorders>
            <w:vAlign w:val="center"/>
          </w:tcPr>
          <w:p w14:paraId="3516D3F7">
            <w:pPr>
              <w:spacing w:line="288" w:lineRule="auto"/>
              <w:jc w:val="center"/>
            </w:pPr>
            <w:r>
              <w:rPr>
                <w:rFonts w:ascii="宋体" w:hAnsi="宋体" w:eastAsia="宋体"/>
                <w:b w:val="0"/>
                <w:sz w:val="19"/>
              </w:rPr>
              <w:t>RMS升高或冲击增强</w:t>
            </w:r>
          </w:p>
        </w:tc>
        <w:tc>
          <w:tcPr>
            <w:tcW w:w="2239" w:type="dxa"/>
            <w:tcBorders>
              <w:top w:val="nil"/>
              <w:left w:val="nil"/>
              <w:bottom w:val="nil"/>
              <w:right w:val="nil"/>
            </w:tcBorders>
            <w:vAlign w:val="center"/>
          </w:tcPr>
          <w:p w14:paraId="2C705EDB">
            <w:pPr>
              <w:spacing w:line="288" w:lineRule="auto"/>
              <w:jc w:val="center"/>
            </w:pPr>
            <w:r>
              <w:rPr>
                <w:rFonts w:ascii="宋体" w:hAnsi="宋体" w:eastAsia="宋体"/>
                <w:b w:val="0"/>
                <w:sz w:val="19"/>
              </w:rPr>
              <w:t>按振动等级扣分</w:t>
            </w:r>
          </w:p>
        </w:tc>
      </w:tr>
      <w:tr w14:paraId="2D297FA1">
        <w:tblPrEx>
          <w:tblCellMar>
            <w:top w:w="0" w:type="dxa"/>
            <w:left w:w="108" w:type="dxa"/>
            <w:bottom w:w="0" w:type="dxa"/>
            <w:right w:w="108" w:type="dxa"/>
          </w:tblCellMar>
        </w:tblPrEx>
        <w:tc>
          <w:tcPr>
            <w:tcW w:w="2239" w:type="dxa"/>
            <w:tcBorders>
              <w:top w:val="nil"/>
              <w:left w:val="nil"/>
              <w:bottom w:val="nil"/>
              <w:right w:val="nil"/>
            </w:tcBorders>
            <w:vAlign w:val="center"/>
          </w:tcPr>
          <w:p w14:paraId="46274383">
            <w:pPr>
              <w:spacing w:line="288" w:lineRule="auto"/>
              <w:jc w:val="center"/>
            </w:pPr>
            <w:r>
              <w:rPr>
                <w:rFonts w:ascii="宋体" w:hAnsi="宋体" w:eastAsia="宋体"/>
                <w:b w:val="0"/>
                <w:sz w:val="19"/>
              </w:rPr>
              <w:t>油液NAS</w:t>
            </w:r>
          </w:p>
        </w:tc>
        <w:tc>
          <w:tcPr>
            <w:tcW w:w="2239" w:type="dxa"/>
            <w:tcBorders>
              <w:top w:val="nil"/>
              <w:left w:val="nil"/>
              <w:bottom w:val="nil"/>
              <w:right w:val="nil"/>
            </w:tcBorders>
            <w:vAlign w:val="center"/>
          </w:tcPr>
          <w:p w14:paraId="19B74065">
            <w:pPr>
              <w:spacing w:line="288" w:lineRule="auto"/>
              <w:jc w:val="center"/>
            </w:pPr>
            <w:r>
              <w:rPr>
                <w:rFonts w:ascii="宋体" w:hAnsi="宋体" w:eastAsia="宋体"/>
                <w:b w:val="0"/>
                <w:sz w:val="19"/>
              </w:rPr>
              <w:t>等级稳定</w:t>
            </w:r>
          </w:p>
        </w:tc>
        <w:tc>
          <w:tcPr>
            <w:tcW w:w="2239" w:type="dxa"/>
            <w:tcBorders>
              <w:top w:val="nil"/>
              <w:left w:val="nil"/>
              <w:bottom w:val="nil"/>
              <w:right w:val="nil"/>
            </w:tcBorders>
            <w:vAlign w:val="center"/>
          </w:tcPr>
          <w:p w14:paraId="01A87EDB">
            <w:pPr>
              <w:spacing w:line="288" w:lineRule="auto"/>
              <w:jc w:val="center"/>
            </w:pPr>
            <w:r>
              <w:rPr>
                <w:rFonts w:ascii="宋体" w:hAnsi="宋体" w:eastAsia="宋体"/>
                <w:b w:val="0"/>
                <w:sz w:val="19"/>
              </w:rPr>
              <w:t>颗粒度升高或污染加剧</w:t>
            </w:r>
          </w:p>
        </w:tc>
        <w:tc>
          <w:tcPr>
            <w:tcW w:w="2239" w:type="dxa"/>
            <w:tcBorders>
              <w:top w:val="nil"/>
              <w:left w:val="nil"/>
              <w:bottom w:val="nil"/>
              <w:right w:val="nil"/>
            </w:tcBorders>
            <w:vAlign w:val="center"/>
          </w:tcPr>
          <w:p w14:paraId="7D555E0D">
            <w:pPr>
              <w:spacing w:line="288" w:lineRule="auto"/>
              <w:jc w:val="center"/>
            </w:pPr>
            <w:r>
              <w:rPr>
                <w:rFonts w:ascii="宋体" w:hAnsi="宋体" w:eastAsia="宋体"/>
                <w:b w:val="0"/>
                <w:sz w:val="19"/>
              </w:rPr>
              <w:t>按污染等级扣分</w:t>
            </w:r>
          </w:p>
        </w:tc>
      </w:tr>
      <w:tr w14:paraId="3BFA1302">
        <w:tblPrEx>
          <w:tblCellMar>
            <w:top w:w="0" w:type="dxa"/>
            <w:left w:w="108" w:type="dxa"/>
            <w:bottom w:w="0" w:type="dxa"/>
            <w:right w:w="108" w:type="dxa"/>
          </w:tblCellMar>
        </w:tblPrEx>
        <w:tc>
          <w:tcPr>
            <w:tcW w:w="2239" w:type="dxa"/>
            <w:tcBorders>
              <w:top w:val="nil"/>
              <w:left w:val="nil"/>
              <w:bottom w:val="nil"/>
              <w:right w:val="nil"/>
            </w:tcBorders>
            <w:vAlign w:val="center"/>
          </w:tcPr>
          <w:p w14:paraId="50760455">
            <w:pPr>
              <w:spacing w:line="288" w:lineRule="auto"/>
              <w:jc w:val="center"/>
            </w:pPr>
            <w:r>
              <w:rPr>
                <w:rFonts w:ascii="宋体" w:hAnsi="宋体" w:eastAsia="宋体"/>
                <w:b w:val="0"/>
                <w:sz w:val="19"/>
              </w:rPr>
              <w:t>报警状态</w:t>
            </w:r>
          </w:p>
        </w:tc>
        <w:tc>
          <w:tcPr>
            <w:tcW w:w="2239" w:type="dxa"/>
            <w:tcBorders>
              <w:top w:val="nil"/>
              <w:left w:val="nil"/>
              <w:bottom w:val="nil"/>
              <w:right w:val="nil"/>
            </w:tcBorders>
            <w:vAlign w:val="center"/>
          </w:tcPr>
          <w:p w14:paraId="53213A89">
            <w:pPr>
              <w:spacing w:line="288" w:lineRule="auto"/>
              <w:jc w:val="center"/>
            </w:pPr>
            <w:r>
              <w:rPr>
                <w:rFonts w:ascii="宋体" w:hAnsi="宋体" w:eastAsia="宋体"/>
                <w:b w:val="0"/>
                <w:sz w:val="19"/>
              </w:rPr>
              <w:t>无报警或RUN-0</w:t>
            </w:r>
          </w:p>
        </w:tc>
        <w:tc>
          <w:tcPr>
            <w:tcW w:w="2239" w:type="dxa"/>
            <w:tcBorders>
              <w:top w:val="nil"/>
              <w:left w:val="nil"/>
              <w:bottom w:val="nil"/>
              <w:right w:val="nil"/>
            </w:tcBorders>
            <w:vAlign w:val="center"/>
          </w:tcPr>
          <w:p w14:paraId="061F03AB">
            <w:pPr>
              <w:spacing w:line="288" w:lineRule="auto"/>
              <w:jc w:val="left"/>
            </w:pPr>
            <w:r>
              <w:rPr>
                <w:rFonts w:ascii="宋体" w:hAnsi="宋体" w:eastAsia="宋体"/>
                <w:b w:val="0"/>
                <w:sz w:val="19"/>
              </w:rPr>
              <w:t>出现TMP、VIB、SCADA等报警</w:t>
            </w:r>
          </w:p>
        </w:tc>
        <w:tc>
          <w:tcPr>
            <w:tcW w:w="2239" w:type="dxa"/>
            <w:tcBorders>
              <w:top w:val="nil"/>
              <w:left w:val="nil"/>
              <w:bottom w:val="nil"/>
              <w:right w:val="nil"/>
            </w:tcBorders>
            <w:vAlign w:val="center"/>
          </w:tcPr>
          <w:p w14:paraId="59024D91">
            <w:pPr>
              <w:spacing w:line="288" w:lineRule="auto"/>
              <w:jc w:val="center"/>
            </w:pPr>
            <w:r>
              <w:rPr>
                <w:rFonts w:ascii="宋体" w:hAnsi="宋体" w:eastAsia="宋体"/>
                <w:b w:val="0"/>
                <w:sz w:val="19"/>
              </w:rPr>
              <w:t>按报警严重程度扣分</w:t>
            </w:r>
          </w:p>
        </w:tc>
      </w:tr>
      <w:tr w14:paraId="795E35D2">
        <w:tblPrEx>
          <w:tblCellMar>
            <w:top w:w="0" w:type="dxa"/>
            <w:left w:w="108" w:type="dxa"/>
            <w:bottom w:w="0" w:type="dxa"/>
            <w:right w:w="108" w:type="dxa"/>
          </w:tblCellMar>
        </w:tblPrEx>
        <w:tc>
          <w:tcPr>
            <w:tcW w:w="2239" w:type="dxa"/>
            <w:tcBorders>
              <w:top w:val="nil"/>
              <w:left w:val="nil"/>
              <w:bottom w:val="single" w:color="000000" w:sz="12" w:space="0"/>
              <w:right w:val="nil"/>
            </w:tcBorders>
            <w:vAlign w:val="center"/>
          </w:tcPr>
          <w:p w14:paraId="09B0C983">
            <w:pPr>
              <w:spacing w:line="288" w:lineRule="auto"/>
              <w:jc w:val="center"/>
            </w:pPr>
            <w:r>
              <w:rPr>
                <w:rFonts w:ascii="宋体" w:hAnsi="宋体" w:eastAsia="宋体"/>
                <w:b w:val="0"/>
                <w:sz w:val="19"/>
              </w:rPr>
              <w:t>历史故障</w:t>
            </w:r>
          </w:p>
        </w:tc>
        <w:tc>
          <w:tcPr>
            <w:tcW w:w="2239" w:type="dxa"/>
            <w:tcBorders>
              <w:top w:val="nil"/>
              <w:left w:val="nil"/>
              <w:bottom w:val="single" w:color="000000" w:sz="12" w:space="0"/>
              <w:right w:val="nil"/>
            </w:tcBorders>
            <w:vAlign w:val="center"/>
          </w:tcPr>
          <w:p w14:paraId="1F34E718">
            <w:pPr>
              <w:spacing w:line="288" w:lineRule="auto"/>
              <w:jc w:val="center"/>
            </w:pPr>
            <w:r>
              <w:rPr>
                <w:rFonts w:ascii="宋体" w:hAnsi="宋体" w:eastAsia="宋体"/>
                <w:b w:val="0"/>
                <w:sz w:val="19"/>
              </w:rPr>
              <w:t>近期无重复故障</w:t>
            </w:r>
          </w:p>
        </w:tc>
        <w:tc>
          <w:tcPr>
            <w:tcW w:w="2239" w:type="dxa"/>
            <w:tcBorders>
              <w:top w:val="nil"/>
              <w:left w:val="nil"/>
              <w:bottom w:val="single" w:color="000000" w:sz="12" w:space="0"/>
              <w:right w:val="nil"/>
            </w:tcBorders>
            <w:vAlign w:val="center"/>
          </w:tcPr>
          <w:p w14:paraId="3C0E7DD1">
            <w:pPr>
              <w:spacing w:line="288" w:lineRule="auto"/>
              <w:jc w:val="center"/>
            </w:pPr>
            <w:r>
              <w:rPr>
                <w:rFonts w:ascii="宋体" w:hAnsi="宋体" w:eastAsia="宋体"/>
                <w:b w:val="0"/>
                <w:sz w:val="19"/>
              </w:rPr>
              <w:t>同类故障重复出现</w:t>
            </w:r>
          </w:p>
        </w:tc>
        <w:tc>
          <w:tcPr>
            <w:tcW w:w="2239" w:type="dxa"/>
            <w:tcBorders>
              <w:top w:val="nil"/>
              <w:left w:val="nil"/>
              <w:bottom w:val="single" w:color="000000" w:sz="12" w:space="0"/>
              <w:right w:val="nil"/>
            </w:tcBorders>
            <w:vAlign w:val="center"/>
          </w:tcPr>
          <w:p w14:paraId="2B3126D3">
            <w:pPr>
              <w:spacing w:line="288" w:lineRule="auto"/>
              <w:jc w:val="center"/>
            </w:pPr>
            <w:r>
              <w:rPr>
                <w:rFonts w:ascii="宋体" w:hAnsi="宋体" w:eastAsia="宋体"/>
                <w:b w:val="0"/>
                <w:sz w:val="19"/>
              </w:rPr>
              <w:t>按次数和间隔扣分</w:t>
            </w:r>
          </w:p>
        </w:tc>
      </w:tr>
    </w:tbl>
    <w:p w14:paraId="3BC79E02"/>
    <w:p w14:paraId="60074BB0">
      <w:r>
        <w:br w:type="page"/>
      </w:r>
    </w:p>
    <w:p w14:paraId="26EDB3A2">
      <w:pPr>
        <w:spacing w:after="240"/>
        <w:jc w:val="center"/>
      </w:pPr>
      <w:r>
        <w:rPr>
          <w:rFonts w:ascii="黑体" w:hAnsi="黑体" w:eastAsia="黑体"/>
          <w:b/>
          <w:sz w:val="32"/>
        </w:rPr>
        <w:t>第4章 系统实现与结果分析</w:t>
      </w:r>
    </w:p>
    <w:p w14:paraId="5B7D6E27">
      <w:pPr>
        <w:spacing w:before="240" w:after="120"/>
      </w:pPr>
      <w:r>
        <w:rPr>
          <w:rFonts w:ascii="黑体" w:hAnsi="黑体" w:eastAsia="黑体"/>
          <w:b/>
          <w:sz w:val="28"/>
        </w:rPr>
        <w:t>4.1 系统开发环境与总体实现</w:t>
      </w:r>
    </w:p>
    <w:p w14:paraId="57E26EC3">
      <w:pPr>
        <w:spacing w:after="0" w:line="360" w:lineRule="auto"/>
        <w:ind w:firstLine="420"/>
        <w:jc w:val="both"/>
      </w:pPr>
      <w:r>
        <w:rPr>
          <w:rFonts w:ascii="宋体" w:hAnsi="宋体" w:eastAsia="宋体"/>
          <w:b w:val="0"/>
          <w:sz w:val="21"/>
        </w:rPr>
        <w:t>系统采用Flask作为后端框架，SQLite作为数据库，前端采用HTML、CSS和JavaScript实现。后端接口包括实时状态、振动数据、故障诊断、故障趋势、风场总览、单机详情、健康报告和AI问答。前端页面包括登录、风场总览、单机详情、实时监测、故障诊断、故障数据管理、健康评估报告、参数设置和系统管理。</w:t>
      </w:r>
    </w:p>
    <w:p w14:paraId="3404AD90">
      <w:pPr>
        <w:jc w:val="center"/>
      </w:pPr>
      <w:r>
        <w:rPr>
          <w:rFonts w:ascii="黑体" w:hAnsi="黑体" w:eastAsia="黑体"/>
          <w:b/>
          <w:sz w:val="21"/>
        </w:rPr>
        <w:t>表4.1 系统开发环境</w:t>
      </w:r>
    </w:p>
    <w:tbl>
      <w:tblPr>
        <w:tblStyle w:val="11"/>
        <w:tblW w:w="0" w:type="auto"/>
        <w:tblInd w:w="0" w:type="dxa"/>
        <w:tblLayout w:type="autofit"/>
        <w:tblCellMar>
          <w:top w:w="0" w:type="dxa"/>
          <w:left w:w="108" w:type="dxa"/>
          <w:bottom w:w="0" w:type="dxa"/>
          <w:right w:w="108" w:type="dxa"/>
        </w:tblCellMar>
      </w:tblPr>
      <w:tblGrid>
        <w:gridCol w:w="4435"/>
        <w:gridCol w:w="4455"/>
      </w:tblGrid>
      <w:tr w14:paraId="57D91EBA">
        <w:tblPrEx>
          <w:tblCellMar>
            <w:top w:w="0" w:type="dxa"/>
            <w:left w:w="108" w:type="dxa"/>
            <w:bottom w:w="0" w:type="dxa"/>
            <w:right w:w="108" w:type="dxa"/>
          </w:tblCellMar>
        </w:tblPrEx>
        <w:tc>
          <w:tcPr>
            <w:tcW w:w="4479" w:type="dxa"/>
            <w:tcBorders>
              <w:top w:val="single" w:color="000000" w:sz="12" w:space="0"/>
              <w:left w:val="nil"/>
              <w:bottom w:val="single" w:color="000000" w:sz="6" w:space="0"/>
              <w:right w:val="nil"/>
            </w:tcBorders>
            <w:vAlign w:val="center"/>
          </w:tcPr>
          <w:p w14:paraId="45E7BE19">
            <w:pPr>
              <w:spacing w:line="288" w:lineRule="auto"/>
              <w:jc w:val="center"/>
            </w:pPr>
            <w:r>
              <w:rPr>
                <w:rFonts w:ascii="宋体" w:hAnsi="宋体" w:eastAsia="宋体"/>
                <w:b/>
                <w:sz w:val="19"/>
              </w:rPr>
              <w:t>类别</w:t>
            </w:r>
          </w:p>
        </w:tc>
        <w:tc>
          <w:tcPr>
            <w:tcW w:w="4479" w:type="dxa"/>
            <w:tcBorders>
              <w:top w:val="single" w:color="000000" w:sz="12" w:space="0"/>
              <w:left w:val="nil"/>
              <w:bottom w:val="single" w:color="000000" w:sz="6" w:space="0"/>
              <w:right w:val="nil"/>
            </w:tcBorders>
            <w:vAlign w:val="center"/>
          </w:tcPr>
          <w:p w14:paraId="2880815A">
            <w:pPr>
              <w:spacing w:line="288" w:lineRule="auto"/>
              <w:jc w:val="center"/>
            </w:pPr>
            <w:r>
              <w:rPr>
                <w:rFonts w:ascii="宋体" w:hAnsi="宋体" w:eastAsia="宋体"/>
                <w:b/>
                <w:sz w:val="19"/>
              </w:rPr>
              <w:t>配置或技术</w:t>
            </w:r>
          </w:p>
        </w:tc>
      </w:tr>
      <w:tr w14:paraId="29A11A72">
        <w:tblPrEx>
          <w:tblCellMar>
            <w:top w:w="0" w:type="dxa"/>
            <w:left w:w="108" w:type="dxa"/>
            <w:bottom w:w="0" w:type="dxa"/>
            <w:right w:w="108" w:type="dxa"/>
          </w:tblCellMar>
        </w:tblPrEx>
        <w:tc>
          <w:tcPr>
            <w:tcW w:w="4479" w:type="dxa"/>
            <w:tcBorders>
              <w:top w:val="nil"/>
              <w:left w:val="nil"/>
              <w:bottom w:val="nil"/>
              <w:right w:val="nil"/>
            </w:tcBorders>
            <w:vAlign w:val="center"/>
          </w:tcPr>
          <w:p w14:paraId="7EBBA082">
            <w:pPr>
              <w:spacing w:line="288" w:lineRule="auto"/>
              <w:jc w:val="center"/>
            </w:pPr>
            <w:r>
              <w:rPr>
                <w:rFonts w:ascii="宋体" w:hAnsi="宋体" w:eastAsia="宋体"/>
                <w:b w:val="0"/>
                <w:sz w:val="19"/>
              </w:rPr>
              <w:t>操作系统</w:t>
            </w:r>
          </w:p>
        </w:tc>
        <w:tc>
          <w:tcPr>
            <w:tcW w:w="4479" w:type="dxa"/>
            <w:tcBorders>
              <w:top w:val="nil"/>
              <w:left w:val="nil"/>
              <w:bottom w:val="nil"/>
              <w:right w:val="nil"/>
            </w:tcBorders>
            <w:vAlign w:val="center"/>
          </w:tcPr>
          <w:p w14:paraId="5A1C9A9B">
            <w:pPr>
              <w:spacing w:line="288" w:lineRule="auto"/>
              <w:jc w:val="left"/>
            </w:pPr>
            <w:r>
              <w:rPr>
                <w:rFonts w:ascii="宋体" w:hAnsi="宋体" w:eastAsia="宋体"/>
                <w:b w:val="0"/>
                <w:sz w:val="19"/>
              </w:rPr>
              <w:t>Windows 运行环境</w:t>
            </w:r>
          </w:p>
        </w:tc>
      </w:tr>
      <w:tr w14:paraId="09E42592">
        <w:tblPrEx>
          <w:tblCellMar>
            <w:top w:w="0" w:type="dxa"/>
            <w:left w:w="108" w:type="dxa"/>
            <w:bottom w:w="0" w:type="dxa"/>
            <w:right w:w="108" w:type="dxa"/>
          </w:tblCellMar>
        </w:tblPrEx>
        <w:tc>
          <w:tcPr>
            <w:tcW w:w="4479" w:type="dxa"/>
            <w:tcBorders>
              <w:top w:val="nil"/>
              <w:left w:val="nil"/>
              <w:bottom w:val="nil"/>
              <w:right w:val="nil"/>
            </w:tcBorders>
            <w:vAlign w:val="center"/>
          </w:tcPr>
          <w:p w14:paraId="2AE99E4B">
            <w:pPr>
              <w:spacing w:line="288" w:lineRule="auto"/>
              <w:jc w:val="center"/>
            </w:pPr>
            <w:r>
              <w:rPr>
                <w:rFonts w:ascii="宋体" w:hAnsi="宋体" w:eastAsia="宋体"/>
                <w:b w:val="0"/>
                <w:sz w:val="19"/>
              </w:rPr>
              <w:t>后端语言</w:t>
            </w:r>
          </w:p>
        </w:tc>
        <w:tc>
          <w:tcPr>
            <w:tcW w:w="4479" w:type="dxa"/>
            <w:tcBorders>
              <w:top w:val="nil"/>
              <w:left w:val="nil"/>
              <w:bottom w:val="nil"/>
              <w:right w:val="nil"/>
            </w:tcBorders>
            <w:vAlign w:val="center"/>
          </w:tcPr>
          <w:p w14:paraId="6294E7A9">
            <w:pPr>
              <w:spacing w:line="288" w:lineRule="auto"/>
              <w:jc w:val="center"/>
            </w:pPr>
            <w:r>
              <w:rPr>
                <w:rFonts w:ascii="宋体" w:hAnsi="宋体" w:eastAsia="宋体"/>
                <w:b w:val="0"/>
                <w:sz w:val="19"/>
              </w:rPr>
              <w:t>Python</w:t>
            </w:r>
          </w:p>
        </w:tc>
      </w:tr>
      <w:tr w14:paraId="5A0936E0">
        <w:tblPrEx>
          <w:tblCellMar>
            <w:top w:w="0" w:type="dxa"/>
            <w:left w:w="108" w:type="dxa"/>
            <w:bottom w:w="0" w:type="dxa"/>
            <w:right w:w="108" w:type="dxa"/>
          </w:tblCellMar>
        </w:tblPrEx>
        <w:tc>
          <w:tcPr>
            <w:tcW w:w="4479" w:type="dxa"/>
            <w:tcBorders>
              <w:top w:val="nil"/>
              <w:left w:val="nil"/>
              <w:bottom w:val="nil"/>
              <w:right w:val="nil"/>
            </w:tcBorders>
            <w:vAlign w:val="center"/>
          </w:tcPr>
          <w:p w14:paraId="5F59CFF4">
            <w:pPr>
              <w:spacing w:line="288" w:lineRule="auto"/>
              <w:jc w:val="center"/>
            </w:pPr>
            <w:r>
              <w:rPr>
                <w:rFonts w:ascii="宋体" w:hAnsi="宋体" w:eastAsia="宋体"/>
                <w:b w:val="0"/>
                <w:sz w:val="19"/>
              </w:rPr>
              <w:t>后端框架</w:t>
            </w:r>
          </w:p>
        </w:tc>
        <w:tc>
          <w:tcPr>
            <w:tcW w:w="4479" w:type="dxa"/>
            <w:tcBorders>
              <w:top w:val="nil"/>
              <w:left w:val="nil"/>
              <w:bottom w:val="nil"/>
              <w:right w:val="nil"/>
            </w:tcBorders>
            <w:vAlign w:val="center"/>
          </w:tcPr>
          <w:p w14:paraId="1A548FF6">
            <w:pPr>
              <w:spacing w:line="288" w:lineRule="auto"/>
              <w:jc w:val="left"/>
            </w:pPr>
            <w:r>
              <w:rPr>
                <w:rFonts w:ascii="宋体" w:hAnsi="宋体" w:eastAsia="宋体"/>
                <w:b w:val="0"/>
                <w:sz w:val="19"/>
              </w:rPr>
              <w:t>Flask、Flask-SQLAlchemy、Flask-CORS</w:t>
            </w:r>
          </w:p>
        </w:tc>
      </w:tr>
      <w:tr w14:paraId="16D0F75C">
        <w:tblPrEx>
          <w:tblCellMar>
            <w:top w:w="0" w:type="dxa"/>
            <w:left w:w="108" w:type="dxa"/>
            <w:bottom w:w="0" w:type="dxa"/>
            <w:right w:w="108" w:type="dxa"/>
          </w:tblCellMar>
        </w:tblPrEx>
        <w:tc>
          <w:tcPr>
            <w:tcW w:w="4479" w:type="dxa"/>
            <w:tcBorders>
              <w:top w:val="nil"/>
              <w:left w:val="nil"/>
              <w:bottom w:val="nil"/>
              <w:right w:val="nil"/>
            </w:tcBorders>
            <w:vAlign w:val="center"/>
          </w:tcPr>
          <w:p w14:paraId="3D79D680">
            <w:pPr>
              <w:spacing w:line="288" w:lineRule="auto"/>
              <w:jc w:val="center"/>
            </w:pPr>
            <w:r>
              <w:rPr>
                <w:rFonts w:ascii="宋体" w:hAnsi="宋体" w:eastAsia="宋体"/>
                <w:b w:val="0"/>
                <w:sz w:val="19"/>
              </w:rPr>
              <w:t>数据库</w:t>
            </w:r>
          </w:p>
        </w:tc>
        <w:tc>
          <w:tcPr>
            <w:tcW w:w="4479" w:type="dxa"/>
            <w:tcBorders>
              <w:top w:val="nil"/>
              <w:left w:val="nil"/>
              <w:bottom w:val="nil"/>
              <w:right w:val="nil"/>
            </w:tcBorders>
            <w:vAlign w:val="center"/>
          </w:tcPr>
          <w:p w14:paraId="079A7D37">
            <w:pPr>
              <w:spacing w:line="288" w:lineRule="auto"/>
              <w:jc w:val="center"/>
            </w:pPr>
            <w:r>
              <w:rPr>
                <w:rFonts w:ascii="宋体" w:hAnsi="宋体" w:eastAsia="宋体"/>
                <w:b w:val="0"/>
                <w:sz w:val="19"/>
              </w:rPr>
              <w:t>SQLite</w:t>
            </w:r>
          </w:p>
        </w:tc>
      </w:tr>
      <w:tr w14:paraId="270CFCE6">
        <w:tblPrEx>
          <w:tblCellMar>
            <w:top w:w="0" w:type="dxa"/>
            <w:left w:w="108" w:type="dxa"/>
            <w:bottom w:w="0" w:type="dxa"/>
            <w:right w:w="108" w:type="dxa"/>
          </w:tblCellMar>
        </w:tblPrEx>
        <w:tc>
          <w:tcPr>
            <w:tcW w:w="4479" w:type="dxa"/>
            <w:tcBorders>
              <w:top w:val="nil"/>
              <w:left w:val="nil"/>
              <w:bottom w:val="nil"/>
              <w:right w:val="nil"/>
            </w:tcBorders>
            <w:vAlign w:val="center"/>
          </w:tcPr>
          <w:p w14:paraId="424B0F8D">
            <w:pPr>
              <w:spacing w:line="288" w:lineRule="auto"/>
              <w:jc w:val="center"/>
            </w:pPr>
            <w:r>
              <w:rPr>
                <w:rFonts w:ascii="宋体" w:hAnsi="宋体" w:eastAsia="宋体"/>
                <w:b w:val="0"/>
                <w:sz w:val="19"/>
              </w:rPr>
              <w:t>前端技术</w:t>
            </w:r>
          </w:p>
        </w:tc>
        <w:tc>
          <w:tcPr>
            <w:tcW w:w="4479" w:type="dxa"/>
            <w:tcBorders>
              <w:top w:val="nil"/>
              <w:left w:val="nil"/>
              <w:bottom w:val="nil"/>
              <w:right w:val="nil"/>
            </w:tcBorders>
            <w:vAlign w:val="center"/>
          </w:tcPr>
          <w:p w14:paraId="4631F5C1">
            <w:pPr>
              <w:spacing w:line="288" w:lineRule="auto"/>
              <w:jc w:val="left"/>
            </w:pPr>
            <w:r>
              <w:rPr>
                <w:rFonts w:ascii="宋体" w:hAnsi="宋体" w:eastAsia="宋体"/>
                <w:b w:val="0"/>
                <w:sz w:val="19"/>
              </w:rPr>
              <w:t>HTML、CSS、JavaScript</w:t>
            </w:r>
          </w:p>
        </w:tc>
      </w:tr>
      <w:tr w14:paraId="4A2AA4A3">
        <w:tblPrEx>
          <w:tblCellMar>
            <w:top w:w="0" w:type="dxa"/>
            <w:left w:w="108" w:type="dxa"/>
            <w:bottom w:w="0" w:type="dxa"/>
            <w:right w:w="108" w:type="dxa"/>
          </w:tblCellMar>
        </w:tblPrEx>
        <w:tc>
          <w:tcPr>
            <w:tcW w:w="4479" w:type="dxa"/>
            <w:tcBorders>
              <w:top w:val="nil"/>
              <w:left w:val="nil"/>
              <w:bottom w:val="nil"/>
              <w:right w:val="nil"/>
            </w:tcBorders>
            <w:vAlign w:val="center"/>
          </w:tcPr>
          <w:p w14:paraId="1DBA7E2F">
            <w:pPr>
              <w:spacing w:line="288" w:lineRule="auto"/>
              <w:jc w:val="center"/>
            </w:pPr>
            <w:r>
              <w:rPr>
                <w:rFonts w:ascii="宋体" w:hAnsi="宋体" w:eastAsia="宋体"/>
                <w:b w:val="0"/>
                <w:sz w:val="19"/>
              </w:rPr>
              <w:t>可视化库</w:t>
            </w:r>
          </w:p>
        </w:tc>
        <w:tc>
          <w:tcPr>
            <w:tcW w:w="4479" w:type="dxa"/>
            <w:tcBorders>
              <w:top w:val="nil"/>
              <w:left w:val="nil"/>
              <w:bottom w:val="nil"/>
              <w:right w:val="nil"/>
            </w:tcBorders>
            <w:vAlign w:val="center"/>
          </w:tcPr>
          <w:p w14:paraId="040C56CB">
            <w:pPr>
              <w:spacing w:line="288" w:lineRule="auto"/>
              <w:jc w:val="center"/>
            </w:pPr>
            <w:r>
              <w:rPr>
                <w:rFonts w:ascii="宋体" w:hAnsi="宋体" w:eastAsia="宋体"/>
                <w:b w:val="0"/>
                <w:sz w:val="19"/>
              </w:rPr>
              <w:t>ECharts、SVG</w:t>
            </w:r>
          </w:p>
        </w:tc>
      </w:tr>
      <w:tr w14:paraId="723B7F5E">
        <w:tblPrEx>
          <w:tblCellMar>
            <w:top w:w="0" w:type="dxa"/>
            <w:left w:w="108" w:type="dxa"/>
            <w:bottom w:w="0" w:type="dxa"/>
            <w:right w:w="108" w:type="dxa"/>
          </w:tblCellMar>
        </w:tblPrEx>
        <w:tc>
          <w:tcPr>
            <w:tcW w:w="4479" w:type="dxa"/>
            <w:tcBorders>
              <w:top w:val="nil"/>
              <w:left w:val="nil"/>
              <w:bottom w:val="nil"/>
              <w:right w:val="nil"/>
            </w:tcBorders>
            <w:vAlign w:val="center"/>
          </w:tcPr>
          <w:p w14:paraId="5856D1F0">
            <w:pPr>
              <w:spacing w:line="288" w:lineRule="auto"/>
              <w:jc w:val="center"/>
            </w:pPr>
            <w:r>
              <w:rPr>
                <w:rFonts w:ascii="宋体" w:hAnsi="宋体" w:eastAsia="宋体"/>
                <w:b w:val="0"/>
                <w:sz w:val="19"/>
              </w:rPr>
              <w:t>机器学习工具</w:t>
            </w:r>
          </w:p>
        </w:tc>
        <w:tc>
          <w:tcPr>
            <w:tcW w:w="4479" w:type="dxa"/>
            <w:tcBorders>
              <w:top w:val="nil"/>
              <w:left w:val="nil"/>
              <w:bottom w:val="nil"/>
              <w:right w:val="nil"/>
            </w:tcBorders>
            <w:vAlign w:val="center"/>
          </w:tcPr>
          <w:p w14:paraId="74ADF744">
            <w:pPr>
              <w:spacing w:line="288" w:lineRule="auto"/>
              <w:jc w:val="left"/>
            </w:pPr>
            <w:r>
              <w:rPr>
                <w:rFonts w:ascii="宋体" w:hAnsi="宋体" w:eastAsia="宋体"/>
                <w:b w:val="0"/>
                <w:sz w:val="19"/>
              </w:rPr>
              <w:t>NumPy、Pandas、scikit-learn思路预留</w:t>
            </w:r>
          </w:p>
        </w:tc>
      </w:tr>
      <w:tr w14:paraId="7B70D93D">
        <w:tblPrEx>
          <w:tblCellMar>
            <w:top w:w="0" w:type="dxa"/>
            <w:left w:w="108" w:type="dxa"/>
            <w:bottom w:w="0" w:type="dxa"/>
            <w:right w:w="108" w:type="dxa"/>
          </w:tblCellMar>
        </w:tblPrEx>
        <w:tc>
          <w:tcPr>
            <w:tcW w:w="4479" w:type="dxa"/>
            <w:tcBorders>
              <w:top w:val="nil"/>
              <w:left w:val="nil"/>
              <w:bottom w:val="single" w:color="000000" w:sz="12" w:space="0"/>
              <w:right w:val="nil"/>
            </w:tcBorders>
            <w:vAlign w:val="center"/>
          </w:tcPr>
          <w:p w14:paraId="159397C8">
            <w:pPr>
              <w:spacing w:line="288" w:lineRule="auto"/>
              <w:jc w:val="center"/>
            </w:pPr>
            <w:r>
              <w:rPr>
                <w:rFonts w:ascii="宋体" w:hAnsi="宋体" w:eastAsia="宋体"/>
                <w:b w:val="0"/>
                <w:sz w:val="19"/>
              </w:rPr>
              <w:t>运行方式</w:t>
            </w:r>
          </w:p>
        </w:tc>
        <w:tc>
          <w:tcPr>
            <w:tcW w:w="4479" w:type="dxa"/>
            <w:tcBorders>
              <w:top w:val="nil"/>
              <w:left w:val="nil"/>
              <w:bottom w:val="single" w:color="000000" w:sz="12" w:space="0"/>
              <w:right w:val="nil"/>
            </w:tcBorders>
            <w:vAlign w:val="center"/>
          </w:tcPr>
          <w:p w14:paraId="218369F0">
            <w:pPr>
              <w:spacing w:line="288" w:lineRule="auto"/>
              <w:jc w:val="left"/>
            </w:pPr>
            <w:r>
              <w:rPr>
                <w:rFonts w:ascii="宋体" w:hAnsi="宋体" w:eastAsia="宋体"/>
                <w:b w:val="0"/>
                <w:sz w:val="19"/>
              </w:rPr>
              <w:t>本地Web服务，浏览器访问 http://127.0.0.1:5000</w:t>
            </w:r>
          </w:p>
        </w:tc>
      </w:tr>
    </w:tbl>
    <w:p w14:paraId="1F1E6A39"/>
    <w:p w14:paraId="7E9D02BA">
      <w:pPr>
        <w:jc w:val="center"/>
      </w:pPr>
      <w:r>
        <w:rPr>
          <w:rFonts w:ascii="黑体" w:hAnsi="黑体" w:eastAsia="黑体"/>
          <w:b/>
          <w:sz w:val="21"/>
        </w:rPr>
        <w:t>表4.2 数据库主要数据表设计</w:t>
      </w:r>
    </w:p>
    <w:tbl>
      <w:tblPr>
        <w:tblStyle w:val="11"/>
        <w:tblW w:w="0" w:type="auto"/>
        <w:tblInd w:w="0" w:type="dxa"/>
        <w:tblLayout w:type="autofit"/>
        <w:tblCellMar>
          <w:top w:w="0" w:type="dxa"/>
          <w:left w:w="108" w:type="dxa"/>
          <w:bottom w:w="0" w:type="dxa"/>
          <w:right w:w="108" w:type="dxa"/>
        </w:tblCellMar>
      </w:tblPr>
      <w:tblGrid>
        <w:gridCol w:w="2965"/>
        <w:gridCol w:w="2971"/>
        <w:gridCol w:w="2954"/>
      </w:tblGrid>
      <w:tr w14:paraId="434D6BC1">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tcBorders>
            <w:vAlign w:val="center"/>
          </w:tcPr>
          <w:p w14:paraId="297CDB1B">
            <w:pPr>
              <w:spacing w:line="288" w:lineRule="auto"/>
              <w:jc w:val="center"/>
            </w:pPr>
            <w:r>
              <w:rPr>
                <w:rFonts w:ascii="宋体" w:hAnsi="宋体" w:eastAsia="宋体"/>
                <w:b/>
                <w:sz w:val="19"/>
              </w:rPr>
              <w:t>数据表</w:t>
            </w:r>
          </w:p>
        </w:tc>
        <w:tc>
          <w:tcPr>
            <w:tcW w:w="2986" w:type="dxa"/>
            <w:tcBorders>
              <w:top w:val="single" w:color="000000" w:sz="12" w:space="0"/>
              <w:left w:val="nil"/>
              <w:bottom w:val="single" w:color="000000" w:sz="6" w:space="0"/>
              <w:right w:val="nil"/>
            </w:tcBorders>
            <w:vAlign w:val="center"/>
          </w:tcPr>
          <w:p w14:paraId="786EBEA8">
            <w:pPr>
              <w:spacing w:line="288" w:lineRule="auto"/>
              <w:jc w:val="center"/>
            </w:pPr>
            <w:r>
              <w:rPr>
                <w:rFonts w:ascii="宋体" w:hAnsi="宋体" w:eastAsia="宋体"/>
                <w:b/>
                <w:sz w:val="19"/>
              </w:rPr>
              <w:t>核心字段</w:t>
            </w:r>
          </w:p>
        </w:tc>
        <w:tc>
          <w:tcPr>
            <w:tcW w:w="2986" w:type="dxa"/>
            <w:tcBorders>
              <w:top w:val="single" w:color="000000" w:sz="12" w:space="0"/>
              <w:left w:val="nil"/>
              <w:bottom w:val="single" w:color="000000" w:sz="6" w:space="0"/>
              <w:right w:val="nil"/>
            </w:tcBorders>
            <w:vAlign w:val="center"/>
          </w:tcPr>
          <w:p w14:paraId="35A5D99C">
            <w:pPr>
              <w:spacing w:line="288" w:lineRule="auto"/>
              <w:jc w:val="center"/>
            </w:pPr>
            <w:r>
              <w:rPr>
                <w:rFonts w:ascii="宋体" w:hAnsi="宋体" w:eastAsia="宋体"/>
                <w:b/>
                <w:sz w:val="19"/>
              </w:rPr>
              <w:t>功能说明</w:t>
            </w:r>
          </w:p>
        </w:tc>
      </w:tr>
      <w:tr w14:paraId="4597318B">
        <w:tblPrEx>
          <w:tblCellMar>
            <w:top w:w="0" w:type="dxa"/>
            <w:left w:w="108" w:type="dxa"/>
            <w:bottom w:w="0" w:type="dxa"/>
            <w:right w:w="108" w:type="dxa"/>
          </w:tblCellMar>
        </w:tblPrEx>
        <w:tc>
          <w:tcPr>
            <w:tcW w:w="2986" w:type="dxa"/>
            <w:tcBorders>
              <w:top w:val="nil"/>
              <w:left w:val="nil"/>
              <w:bottom w:val="nil"/>
              <w:right w:val="nil"/>
            </w:tcBorders>
            <w:vAlign w:val="center"/>
          </w:tcPr>
          <w:p w14:paraId="74B1D962">
            <w:pPr>
              <w:spacing w:line="288" w:lineRule="auto"/>
              <w:jc w:val="center"/>
            </w:pPr>
            <w:r>
              <w:rPr>
                <w:rFonts w:ascii="宋体" w:hAnsi="宋体" w:eastAsia="宋体"/>
                <w:b w:val="0"/>
                <w:sz w:val="19"/>
              </w:rPr>
              <w:t>User</w:t>
            </w:r>
          </w:p>
        </w:tc>
        <w:tc>
          <w:tcPr>
            <w:tcW w:w="2986" w:type="dxa"/>
            <w:tcBorders>
              <w:top w:val="nil"/>
              <w:left w:val="nil"/>
              <w:bottom w:val="nil"/>
              <w:right w:val="nil"/>
            </w:tcBorders>
            <w:vAlign w:val="center"/>
          </w:tcPr>
          <w:p w14:paraId="67CA2FDF">
            <w:pPr>
              <w:spacing w:line="288" w:lineRule="auto"/>
              <w:jc w:val="left"/>
            </w:pPr>
            <w:r>
              <w:rPr>
                <w:rFonts w:ascii="宋体" w:hAnsi="宋体" w:eastAsia="宋体"/>
                <w:b w:val="0"/>
                <w:sz w:val="19"/>
              </w:rPr>
              <w:t>username、password_hash、role</w:t>
            </w:r>
          </w:p>
        </w:tc>
        <w:tc>
          <w:tcPr>
            <w:tcW w:w="2986" w:type="dxa"/>
            <w:tcBorders>
              <w:top w:val="nil"/>
              <w:left w:val="nil"/>
              <w:bottom w:val="nil"/>
              <w:right w:val="nil"/>
            </w:tcBorders>
            <w:vAlign w:val="center"/>
          </w:tcPr>
          <w:p w14:paraId="10F0E4A0">
            <w:pPr>
              <w:spacing w:line="288" w:lineRule="auto"/>
              <w:jc w:val="center"/>
            </w:pPr>
            <w:r>
              <w:rPr>
                <w:rFonts w:ascii="宋体" w:hAnsi="宋体" w:eastAsia="宋体"/>
                <w:b w:val="0"/>
                <w:sz w:val="19"/>
              </w:rPr>
              <w:t>保存用户和权限</w:t>
            </w:r>
          </w:p>
        </w:tc>
      </w:tr>
      <w:tr w14:paraId="14EE9EFB">
        <w:tblPrEx>
          <w:tblCellMar>
            <w:top w:w="0" w:type="dxa"/>
            <w:left w:w="108" w:type="dxa"/>
            <w:bottom w:w="0" w:type="dxa"/>
            <w:right w:w="108" w:type="dxa"/>
          </w:tblCellMar>
        </w:tblPrEx>
        <w:tc>
          <w:tcPr>
            <w:tcW w:w="2986" w:type="dxa"/>
            <w:tcBorders>
              <w:top w:val="nil"/>
              <w:left w:val="nil"/>
              <w:bottom w:val="nil"/>
              <w:right w:val="nil"/>
            </w:tcBorders>
            <w:vAlign w:val="center"/>
          </w:tcPr>
          <w:p w14:paraId="72041123">
            <w:pPr>
              <w:spacing w:line="288" w:lineRule="auto"/>
              <w:jc w:val="center"/>
            </w:pPr>
            <w:r>
              <w:rPr>
                <w:rFonts w:ascii="宋体" w:hAnsi="宋体" w:eastAsia="宋体"/>
                <w:b w:val="0"/>
                <w:sz w:val="19"/>
              </w:rPr>
              <w:t>FaultRecord</w:t>
            </w:r>
          </w:p>
        </w:tc>
        <w:tc>
          <w:tcPr>
            <w:tcW w:w="2986" w:type="dxa"/>
            <w:tcBorders>
              <w:top w:val="nil"/>
              <w:left w:val="nil"/>
              <w:bottom w:val="nil"/>
              <w:right w:val="nil"/>
            </w:tcBorders>
            <w:vAlign w:val="center"/>
          </w:tcPr>
          <w:p w14:paraId="6C91E8B3">
            <w:pPr>
              <w:spacing w:line="288" w:lineRule="auto"/>
              <w:jc w:val="left"/>
            </w:pPr>
            <w:r>
              <w:rPr>
                <w:rFonts w:ascii="宋体" w:hAnsi="宋体" w:eastAsia="宋体"/>
                <w:b w:val="0"/>
                <w:sz w:val="19"/>
              </w:rPr>
              <w:t>unit_id、fault_type、severity、status</w:t>
            </w:r>
          </w:p>
        </w:tc>
        <w:tc>
          <w:tcPr>
            <w:tcW w:w="2986" w:type="dxa"/>
            <w:tcBorders>
              <w:top w:val="nil"/>
              <w:left w:val="nil"/>
              <w:bottom w:val="nil"/>
              <w:right w:val="nil"/>
            </w:tcBorders>
            <w:vAlign w:val="center"/>
          </w:tcPr>
          <w:p w14:paraId="58E3C81A">
            <w:pPr>
              <w:spacing w:line="288" w:lineRule="auto"/>
              <w:jc w:val="center"/>
            </w:pPr>
            <w:r>
              <w:rPr>
                <w:rFonts w:ascii="宋体" w:hAnsi="宋体" w:eastAsia="宋体"/>
                <w:b w:val="0"/>
                <w:sz w:val="19"/>
              </w:rPr>
              <w:t>保存故障诊断记录</w:t>
            </w:r>
          </w:p>
        </w:tc>
      </w:tr>
      <w:tr w14:paraId="27B9BBE5">
        <w:tblPrEx>
          <w:tblCellMar>
            <w:top w:w="0" w:type="dxa"/>
            <w:left w:w="108" w:type="dxa"/>
            <w:bottom w:w="0" w:type="dxa"/>
            <w:right w:w="108" w:type="dxa"/>
          </w:tblCellMar>
        </w:tblPrEx>
        <w:tc>
          <w:tcPr>
            <w:tcW w:w="2986" w:type="dxa"/>
            <w:tcBorders>
              <w:top w:val="nil"/>
              <w:left w:val="nil"/>
              <w:bottom w:val="nil"/>
              <w:right w:val="nil"/>
            </w:tcBorders>
            <w:vAlign w:val="center"/>
          </w:tcPr>
          <w:p w14:paraId="077278F1">
            <w:pPr>
              <w:spacing w:line="288" w:lineRule="auto"/>
              <w:jc w:val="left"/>
            </w:pPr>
            <w:r>
              <w:rPr>
                <w:rFonts w:ascii="宋体" w:hAnsi="宋体" w:eastAsia="宋体"/>
                <w:b w:val="0"/>
                <w:sz w:val="19"/>
              </w:rPr>
              <w:t>TurbineAsset</w:t>
            </w:r>
          </w:p>
        </w:tc>
        <w:tc>
          <w:tcPr>
            <w:tcW w:w="2986" w:type="dxa"/>
            <w:tcBorders>
              <w:top w:val="nil"/>
              <w:left w:val="nil"/>
              <w:bottom w:val="nil"/>
              <w:right w:val="nil"/>
            </w:tcBorders>
            <w:vAlign w:val="center"/>
          </w:tcPr>
          <w:p w14:paraId="4DC7BE5C">
            <w:pPr>
              <w:spacing w:line="288" w:lineRule="auto"/>
              <w:jc w:val="left"/>
            </w:pPr>
            <w:r>
              <w:rPr>
                <w:rFonts w:ascii="宋体" w:hAnsi="宋体" w:eastAsia="宋体"/>
                <w:b w:val="0"/>
                <w:sz w:val="19"/>
              </w:rPr>
              <w:t>unit_id、number、model、design_life_years</w:t>
            </w:r>
          </w:p>
        </w:tc>
        <w:tc>
          <w:tcPr>
            <w:tcW w:w="2986" w:type="dxa"/>
            <w:tcBorders>
              <w:top w:val="nil"/>
              <w:left w:val="nil"/>
              <w:bottom w:val="nil"/>
              <w:right w:val="nil"/>
            </w:tcBorders>
            <w:vAlign w:val="center"/>
          </w:tcPr>
          <w:p w14:paraId="7EFF804D">
            <w:pPr>
              <w:spacing w:line="288" w:lineRule="auto"/>
              <w:jc w:val="center"/>
            </w:pPr>
            <w:r>
              <w:rPr>
                <w:rFonts w:ascii="宋体" w:hAnsi="宋体" w:eastAsia="宋体"/>
                <w:b w:val="0"/>
                <w:sz w:val="19"/>
              </w:rPr>
              <w:t>保存机组资产信息</w:t>
            </w:r>
          </w:p>
        </w:tc>
      </w:tr>
      <w:tr w14:paraId="4662D3FB">
        <w:tblPrEx>
          <w:tblCellMar>
            <w:top w:w="0" w:type="dxa"/>
            <w:left w:w="108" w:type="dxa"/>
            <w:bottom w:w="0" w:type="dxa"/>
            <w:right w:w="108" w:type="dxa"/>
          </w:tblCellMar>
        </w:tblPrEx>
        <w:tc>
          <w:tcPr>
            <w:tcW w:w="2986" w:type="dxa"/>
            <w:tcBorders>
              <w:top w:val="nil"/>
              <w:left w:val="nil"/>
              <w:bottom w:val="single" w:color="000000" w:sz="12" w:space="0"/>
              <w:right w:val="nil"/>
            </w:tcBorders>
            <w:vAlign w:val="center"/>
          </w:tcPr>
          <w:p w14:paraId="768EF17C">
            <w:pPr>
              <w:spacing w:line="288" w:lineRule="auto"/>
              <w:jc w:val="left"/>
            </w:pPr>
            <w:r>
              <w:rPr>
                <w:rFonts w:ascii="宋体" w:hAnsi="宋体" w:eastAsia="宋体"/>
                <w:b w:val="0"/>
                <w:sz w:val="19"/>
              </w:rPr>
              <w:t>SystemConfig</w:t>
            </w:r>
          </w:p>
        </w:tc>
        <w:tc>
          <w:tcPr>
            <w:tcW w:w="2986" w:type="dxa"/>
            <w:tcBorders>
              <w:top w:val="nil"/>
              <w:left w:val="nil"/>
              <w:bottom w:val="single" w:color="000000" w:sz="12" w:space="0"/>
              <w:right w:val="nil"/>
            </w:tcBorders>
            <w:vAlign w:val="center"/>
          </w:tcPr>
          <w:p w14:paraId="2756DEAF">
            <w:pPr>
              <w:spacing w:line="288" w:lineRule="auto"/>
              <w:jc w:val="left"/>
            </w:pPr>
            <w:r>
              <w:rPr>
                <w:rFonts w:ascii="宋体" w:hAnsi="宋体" w:eastAsia="宋体"/>
                <w:b w:val="0"/>
                <w:sz w:val="19"/>
              </w:rPr>
              <w:t>config_key、config_value</w:t>
            </w:r>
          </w:p>
        </w:tc>
        <w:tc>
          <w:tcPr>
            <w:tcW w:w="2986" w:type="dxa"/>
            <w:tcBorders>
              <w:top w:val="nil"/>
              <w:left w:val="nil"/>
              <w:bottom w:val="single" w:color="000000" w:sz="12" w:space="0"/>
              <w:right w:val="nil"/>
            </w:tcBorders>
            <w:vAlign w:val="center"/>
          </w:tcPr>
          <w:p w14:paraId="50C1B83A">
            <w:pPr>
              <w:spacing w:line="288" w:lineRule="auto"/>
              <w:jc w:val="center"/>
            </w:pPr>
            <w:r>
              <w:rPr>
                <w:rFonts w:ascii="宋体" w:hAnsi="宋体" w:eastAsia="宋体"/>
                <w:b w:val="0"/>
                <w:sz w:val="19"/>
              </w:rPr>
              <w:t>保存系统参数</w:t>
            </w:r>
          </w:p>
        </w:tc>
      </w:tr>
    </w:tbl>
    <w:p w14:paraId="75265285"/>
    <w:p w14:paraId="3BDE0FD3">
      <w:pPr>
        <w:spacing w:after="0" w:line="360" w:lineRule="auto"/>
        <w:ind w:firstLine="420"/>
        <w:jc w:val="both"/>
      </w:pPr>
      <w:r>
        <w:rPr>
          <w:rFonts w:ascii="宋体" w:hAnsi="宋体" w:eastAsia="宋体"/>
          <w:b w:val="0"/>
          <w:sz w:val="21"/>
        </w:rPr>
        <w:t>系统整体采用前后端分离思路组织。后端负责数据生成、接口响应、诊断计算和记录保存；前端负责页面渲染、图表展示、用户交互和状态同步。该设计使系统结构较清晰，便于调试和后续扩展。数据库虽然采用轻量级SQLite，但表结构已经覆盖用户、故障记录、机组资产和配置参数，满足毕业设计原型需求。</w:t>
      </w:r>
    </w:p>
    <w:p w14:paraId="72100F43">
      <w:pPr>
        <w:spacing w:before="240" w:after="120"/>
      </w:pPr>
      <w:r>
        <w:rPr>
          <w:rFonts w:ascii="黑体" w:hAnsi="黑体" w:eastAsia="黑体"/>
          <w:b/>
          <w:sz w:val="28"/>
        </w:rPr>
        <w:t>4.2 模型与系统参数设定</w:t>
      </w:r>
    </w:p>
    <w:p w14:paraId="6404DB13">
      <w:pPr>
        <w:spacing w:after="0" w:line="360" w:lineRule="auto"/>
        <w:ind w:firstLine="420"/>
        <w:jc w:val="both"/>
      </w:pPr>
      <w:r>
        <w:rPr>
          <w:rFonts w:ascii="宋体" w:hAnsi="宋体" w:eastAsia="宋体"/>
          <w:b w:val="0"/>
          <w:sz w:val="21"/>
        </w:rPr>
        <w:t>系统在演示阶段采用模拟数据与规则模型结合的方式。风场默认包含56台机组，单台机组的有功功率、风速、油温、振动RMS、健康评分和RUL根据机组编号、运行状态和时间变化生成。该方式能够模拟不同机组之间的差异，使风场总览、实时监测和故障分析页面具有较好的演示效果。</w:t>
      </w:r>
    </w:p>
    <w:p w14:paraId="0EA59F95">
      <w:pPr>
        <w:spacing w:after="0" w:line="360" w:lineRule="auto"/>
        <w:ind w:firstLine="420"/>
        <w:jc w:val="both"/>
      </w:pPr>
      <w:r>
        <w:rPr>
          <w:rFonts w:ascii="宋体" w:hAnsi="宋体" w:eastAsia="宋体"/>
          <w:b w:val="0"/>
          <w:sz w:val="21"/>
        </w:rPr>
        <w:t>故障诊断阈值参考风电运维常用关注范围进行设置。例如齿轮箱油温进入75°C以上时开始关注趋势，达到85°C以上时判定为严重风险；振动RMS超过4.5 mm/s时进入预警关注，超过6 mm/s时提示严重风险；油液NAS等级升高时提示润滑油污染风险。上述阈值在真实风场应用时需要根据机组型号、传感器位置和历史数据进行重新校准。</w:t>
      </w:r>
    </w:p>
    <w:p w14:paraId="45579C22">
      <w:pPr>
        <w:jc w:val="center"/>
      </w:pPr>
      <w:r>
        <w:rPr>
          <w:rFonts w:ascii="黑体" w:hAnsi="黑体" w:eastAsia="黑体"/>
          <w:b/>
          <w:sz w:val="21"/>
        </w:rPr>
        <w:t>表4.3 主要参数设定</w:t>
      </w:r>
    </w:p>
    <w:tbl>
      <w:tblPr>
        <w:tblStyle w:val="11"/>
        <w:tblW w:w="0" w:type="auto"/>
        <w:tblInd w:w="0" w:type="dxa"/>
        <w:tblLayout w:type="autofit"/>
        <w:tblCellMar>
          <w:top w:w="0" w:type="dxa"/>
          <w:left w:w="108" w:type="dxa"/>
          <w:bottom w:w="0" w:type="dxa"/>
          <w:right w:w="108" w:type="dxa"/>
        </w:tblCellMar>
      </w:tblPr>
      <w:tblGrid>
        <w:gridCol w:w="2962"/>
        <w:gridCol w:w="2965"/>
        <w:gridCol w:w="2963"/>
      </w:tblGrid>
      <w:tr w14:paraId="0B6E8365">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tcBorders>
            <w:vAlign w:val="center"/>
          </w:tcPr>
          <w:p w14:paraId="6DD9A572">
            <w:pPr>
              <w:spacing w:line="288" w:lineRule="auto"/>
              <w:jc w:val="center"/>
            </w:pPr>
            <w:r>
              <w:rPr>
                <w:rFonts w:ascii="宋体" w:hAnsi="宋体" w:eastAsia="宋体"/>
                <w:b/>
                <w:sz w:val="19"/>
              </w:rPr>
              <w:t>参数</w:t>
            </w:r>
          </w:p>
        </w:tc>
        <w:tc>
          <w:tcPr>
            <w:tcW w:w="2986" w:type="dxa"/>
            <w:tcBorders>
              <w:top w:val="single" w:color="000000" w:sz="12" w:space="0"/>
              <w:left w:val="nil"/>
              <w:bottom w:val="single" w:color="000000" w:sz="6" w:space="0"/>
              <w:right w:val="nil"/>
            </w:tcBorders>
            <w:vAlign w:val="center"/>
          </w:tcPr>
          <w:p w14:paraId="76B20FA3">
            <w:pPr>
              <w:spacing w:line="288" w:lineRule="auto"/>
              <w:jc w:val="center"/>
            </w:pPr>
            <w:r>
              <w:rPr>
                <w:rFonts w:ascii="宋体" w:hAnsi="宋体" w:eastAsia="宋体"/>
                <w:b/>
                <w:sz w:val="19"/>
              </w:rPr>
              <w:t>设定值或范围</w:t>
            </w:r>
          </w:p>
        </w:tc>
        <w:tc>
          <w:tcPr>
            <w:tcW w:w="2986" w:type="dxa"/>
            <w:tcBorders>
              <w:top w:val="single" w:color="000000" w:sz="12" w:space="0"/>
              <w:left w:val="nil"/>
              <w:bottom w:val="single" w:color="000000" w:sz="6" w:space="0"/>
              <w:right w:val="nil"/>
            </w:tcBorders>
            <w:vAlign w:val="center"/>
          </w:tcPr>
          <w:p w14:paraId="789DB79B">
            <w:pPr>
              <w:spacing w:line="288" w:lineRule="auto"/>
              <w:jc w:val="center"/>
            </w:pPr>
            <w:r>
              <w:rPr>
                <w:rFonts w:ascii="宋体" w:hAnsi="宋体" w:eastAsia="宋体"/>
                <w:b/>
                <w:sz w:val="19"/>
              </w:rPr>
              <w:t>说明</w:t>
            </w:r>
          </w:p>
        </w:tc>
      </w:tr>
      <w:tr w14:paraId="75EB4D4D">
        <w:tblPrEx>
          <w:tblCellMar>
            <w:top w:w="0" w:type="dxa"/>
            <w:left w:w="108" w:type="dxa"/>
            <w:bottom w:w="0" w:type="dxa"/>
            <w:right w:w="108" w:type="dxa"/>
          </w:tblCellMar>
        </w:tblPrEx>
        <w:tc>
          <w:tcPr>
            <w:tcW w:w="2986" w:type="dxa"/>
            <w:tcBorders>
              <w:top w:val="nil"/>
              <w:left w:val="nil"/>
              <w:bottom w:val="nil"/>
              <w:right w:val="nil"/>
            </w:tcBorders>
            <w:vAlign w:val="center"/>
          </w:tcPr>
          <w:p w14:paraId="4B3A1BC1">
            <w:pPr>
              <w:spacing w:line="288" w:lineRule="auto"/>
              <w:jc w:val="center"/>
            </w:pPr>
            <w:r>
              <w:rPr>
                <w:rFonts w:ascii="宋体" w:hAnsi="宋体" w:eastAsia="宋体"/>
                <w:b w:val="0"/>
                <w:sz w:val="19"/>
              </w:rPr>
              <w:t>默认机组数量</w:t>
            </w:r>
          </w:p>
        </w:tc>
        <w:tc>
          <w:tcPr>
            <w:tcW w:w="2986" w:type="dxa"/>
            <w:tcBorders>
              <w:top w:val="nil"/>
              <w:left w:val="nil"/>
              <w:bottom w:val="nil"/>
              <w:right w:val="nil"/>
            </w:tcBorders>
            <w:vAlign w:val="center"/>
          </w:tcPr>
          <w:p w14:paraId="3861816E">
            <w:pPr>
              <w:spacing w:line="288" w:lineRule="auto"/>
              <w:jc w:val="center"/>
            </w:pPr>
            <w:r>
              <w:rPr>
                <w:rFonts w:ascii="宋体" w:hAnsi="宋体" w:eastAsia="宋体"/>
                <w:b w:val="0"/>
                <w:sz w:val="19"/>
              </w:rPr>
              <w:t>56台</w:t>
            </w:r>
          </w:p>
        </w:tc>
        <w:tc>
          <w:tcPr>
            <w:tcW w:w="2986" w:type="dxa"/>
            <w:tcBorders>
              <w:top w:val="nil"/>
              <w:left w:val="nil"/>
              <w:bottom w:val="nil"/>
              <w:right w:val="nil"/>
            </w:tcBorders>
            <w:vAlign w:val="center"/>
          </w:tcPr>
          <w:p w14:paraId="3230D4CD">
            <w:pPr>
              <w:spacing w:line="288" w:lineRule="auto"/>
              <w:jc w:val="center"/>
            </w:pPr>
            <w:r>
              <w:rPr>
                <w:rFonts w:ascii="宋体" w:hAnsi="宋体" w:eastAsia="宋体"/>
                <w:b w:val="0"/>
                <w:sz w:val="19"/>
              </w:rPr>
              <w:t>用于风场总览演示</w:t>
            </w:r>
          </w:p>
        </w:tc>
      </w:tr>
      <w:tr w14:paraId="70D91612">
        <w:tblPrEx>
          <w:tblCellMar>
            <w:top w:w="0" w:type="dxa"/>
            <w:left w:w="108" w:type="dxa"/>
            <w:bottom w:w="0" w:type="dxa"/>
            <w:right w:w="108" w:type="dxa"/>
          </w:tblCellMar>
        </w:tblPrEx>
        <w:tc>
          <w:tcPr>
            <w:tcW w:w="2986" w:type="dxa"/>
            <w:tcBorders>
              <w:top w:val="nil"/>
              <w:left w:val="nil"/>
              <w:bottom w:val="nil"/>
              <w:right w:val="nil"/>
            </w:tcBorders>
            <w:vAlign w:val="center"/>
          </w:tcPr>
          <w:p w14:paraId="0285D3A8">
            <w:pPr>
              <w:spacing w:line="288" w:lineRule="auto"/>
              <w:jc w:val="center"/>
            </w:pPr>
            <w:r>
              <w:rPr>
                <w:rFonts w:ascii="宋体" w:hAnsi="宋体" w:eastAsia="宋体"/>
                <w:b w:val="0"/>
                <w:sz w:val="19"/>
              </w:rPr>
              <w:t>设计寿命</w:t>
            </w:r>
          </w:p>
        </w:tc>
        <w:tc>
          <w:tcPr>
            <w:tcW w:w="2986" w:type="dxa"/>
            <w:tcBorders>
              <w:top w:val="nil"/>
              <w:left w:val="nil"/>
              <w:bottom w:val="nil"/>
              <w:right w:val="nil"/>
            </w:tcBorders>
            <w:vAlign w:val="center"/>
          </w:tcPr>
          <w:p w14:paraId="14C022E1">
            <w:pPr>
              <w:spacing w:line="288" w:lineRule="auto"/>
              <w:jc w:val="center"/>
            </w:pPr>
            <w:r>
              <w:rPr>
                <w:rFonts w:ascii="宋体" w:hAnsi="宋体" w:eastAsia="宋体"/>
                <w:b w:val="0"/>
                <w:sz w:val="19"/>
              </w:rPr>
              <w:t>20年</w:t>
            </w:r>
          </w:p>
        </w:tc>
        <w:tc>
          <w:tcPr>
            <w:tcW w:w="2986" w:type="dxa"/>
            <w:tcBorders>
              <w:top w:val="nil"/>
              <w:left w:val="nil"/>
              <w:bottom w:val="nil"/>
              <w:right w:val="nil"/>
            </w:tcBorders>
            <w:vAlign w:val="center"/>
          </w:tcPr>
          <w:p w14:paraId="511FBE7D">
            <w:pPr>
              <w:spacing w:line="288" w:lineRule="auto"/>
              <w:jc w:val="left"/>
            </w:pPr>
            <w:r>
              <w:rPr>
                <w:rFonts w:ascii="宋体" w:hAnsi="宋体" w:eastAsia="宋体"/>
                <w:b w:val="0"/>
                <w:sz w:val="19"/>
              </w:rPr>
              <w:t>用于寿命年限显示和复检周期推算</w:t>
            </w:r>
          </w:p>
        </w:tc>
      </w:tr>
      <w:tr w14:paraId="24850FB5">
        <w:tblPrEx>
          <w:tblCellMar>
            <w:top w:w="0" w:type="dxa"/>
            <w:left w:w="108" w:type="dxa"/>
            <w:bottom w:w="0" w:type="dxa"/>
            <w:right w:w="108" w:type="dxa"/>
          </w:tblCellMar>
        </w:tblPrEx>
        <w:tc>
          <w:tcPr>
            <w:tcW w:w="2986" w:type="dxa"/>
            <w:tcBorders>
              <w:top w:val="nil"/>
              <w:left w:val="nil"/>
              <w:bottom w:val="nil"/>
              <w:right w:val="nil"/>
            </w:tcBorders>
            <w:vAlign w:val="center"/>
          </w:tcPr>
          <w:p w14:paraId="174BEB96">
            <w:pPr>
              <w:spacing w:line="288" w:lineRule="auto"/>
              <w:jc w:val="center"/>
            </w:pPr>
            <w:r>
              <w:rPr>
                <w:rFonts w:ascii="宋体" w:hAnsi="宋体" w:eastAsia="宋体"/>
                <w:b w:val="0"/>
                <w:sz w:val="19"/>
              </w:rPr>
              <w:t>油温关注阈值</w:t>
            </w:r>
          </w:p>
        </w:tc>
        <w:tc>
          <w:tcPr>
            <w:tcW w:w="2986" w:type="dxa"/>
            <w:tcBorders>
              <w:top w:val="nil"/>
              <w:left w:val="nil"/>
              <w:bottom w:val="nil"/>
              <w:right w:val="nil"/>
            </w:tcBorders>
            <w:vAlign w:val="center"/>
          </w:tcPr>
          <w:p w14:paraId="70CB4783">
            <w:pPr>
              <w:spacing w:line="288" w:lineRule="auto"/>
              <w:jc w:val="center"/>
            </w:pPr>
            <w:r>
              <w:rPr>
                <w:rFonts w:ascii="宋体" w:hAnsi="宋体" w:eastAsia="宋体"/>
                <w:b w:val="0"/>
                <w:sz w:val="19"/>
              </w:rPr>
              <w:t>75°C</w:t>
            </w:r>
          </w:p>
        </w:tc>
        <w:tc>
          <w:tcPr>
            <w:tcW w:w="2986" w:type="dxa"/>
            <w:tcBorders>
              <w:top w:val="nil"/>
              <w:left w:val="nil"/>
              <w:bottom w:val="nil"/>
              <w:right w:val="nil"/>
            </w:tcBorders>
            <w:vAlign w:val="center"/>
          </w:tcPr>
          <w:p w14:paraId="534B01B3">
            <w:pPr>
              <w:spacing w:line="288" w:lineRule="auto"/>
              <w:jc w:val="center"/>
            </w:pPr>
            <w:r>
              <w:rPr>
                <w:rFonts w:ascii="宋体" w:hAnsi="宋体" w:eastAsia="宋体"/>
                <w:b w:val="0"/>
                <w:sz w:val="19"/>
              </w:rPr>
              <w:t>提示关注冷却和润滑趋势</w:t>
            </w:r>
          </w:p>
        </w:tc>
      </w:tr>
      <w:tr w14:paraId="7149B1E6">
        <w:tblPrEx>
          <w:tblCellMar>
            <w:top w:w="0" w:type="dxa"/>
            <w:left w:w="108" w:type="dxa"/>
            <w:bottom w:w="0" w:type="dxa"/>
            <w:right w:w="108" w:type="dxa"/>
          </w:tblCellMar>
        </w:tblPrEx>
        <w:tc>
          <w:tcPr>
            <w:tcW w:w="2986" w:type="dxa"/>
            <w:tcBorders>
              <w:top w:val="nil"/>
              <w:left w:val="nil"/>
              <w:bottom w:val="nil"/>
              <w:right w:val="nil"/>
            </w:tcBorders>
            <w:vAlign w:val="center"/>
          </w:tcPr>
          <w:p w14:paraId="002779A3">
            <w:pPr>
              <w:spacing w:line="288" w:lineRule="auto"/>
              <w:jc w:val="center"/>
            </w:pPr>
            <w:r>
              <w:rPr>
                <w:rFonts w:ascii="宋体" w:hAnsi="宋体" w:eastAsia="宋体"/>
                <w:b w:val="0"/>
                <w:sz w:val="19"/>
              </w:rPr>
              <w:t>油温严重阈值</w:t>
            </w:r>
          </w:p>
        </w:tc>
        <w:tc>
          <w:tcPr>
            <w:tcW w:w="2986" w:type="dxa"/>
            <w:tcBorders>
              <w:top w:val="nil"/>
              <w:left w:val="nil"/>
              <w:bottom w:val="nil"/>
              <w:right w:val="nil"/>
            </w:tcBorders>
            <w:vAlign w:val="center"/>
          </w:tcPr>
          <w:p w14:paraId="740E4016">
            <w:pPr>
              <w:spacing w:line="288" w:lineRule="auto"/>
              <w:jc w:val="center"/>
            </w:pPr>
            <w:r>
              <w:rPr>
                <w:rFonts w:ascii="宋体" w:hAnsi="宋体" w:eastAsia="宋体"/>
                <w:b w:val="0"/>
                <w:sz w:val="19"/>
              </w:rPr>
              <w:t>85°C</w:t>
            </w:r>
          </w:p>
        </w:tc>
        <w:tc>
          <w:tcPr>
            <w:tcW w:w="2986" w:type="dxa"/>
            <w:tcBorders>
              <w:top w:val="nil"/>
              <w:left w:val="nil"/>
              <w:bottom w:val="nil"/>
              <w:right w:val="nil"/>
            </w:tcBorders>
            <w:vAlign w:val="center"/>
          </w:tcPr>
          <w:p w14:paraId="23F57257">
            <w:pPr>
              <w:spacing w:line="288" w:lineRule="auto"/>
              <w:jc w:val="center"/>
            </w:pPr>
            <w:r>
              <w:rPr>
                <w:rFonts w:ascii="宋体" w:hAnsi="宋体" w:eastAsia="宋体"/>
                <w:b w:val="0"/>
                <w:sz w:val="19"/>
              </w:rPr>
              <w:t>提示现场检查或停机排查</w:t>
            </w:r>
          </w:p>
        </w:tc>
      </w:tr>
      <w:tr w14:paraId="5DFE94ED">
        <w:tblPrEx>
          <w:tblCellMar>
            <w:top w:w="0" w:type="dxa"/>
            <w:left w:w="108" w:type="dxa"/>
            <w:bottom w:w="0" w:type="dxa"/>
            <w:right w:w="108" w:type="dxa"/>
          </w:tblCellMar>
        </w:tblPrEx>
        <w:tc>
          <w:tcPr>
            <w:tcW w:w="2986" w:type="dxa"/>
            <w:tcBorders>
              <w:top w:val="nil"/>
              <w:left w:val="nil"/>
              <w:bottom w:val="nil"/>
              <w:right w:val="nil"/>
            </w:tcBorders>
            <w:vAlign w:val="center"/>
          </w:tcPr>
          <w:p w14:paraId="2344AF3B">
            <w:pPr>
              <w:spacing w:line="288" w:lineRule="auto"/>
              <w:jc w:val="center"/>
            </w:pPr>
            <w:r>
              <w:rPr>
                <w:rFonts w:ascii="宋体" w:hAnsi="宋体" w:eastAsia="宋体"/>
                <w:b w:val="0"/>
                <w:sz w:val="19"/>
              </w:rPr>
              <w:t>振动关注阈值</w:t>
            </w:r>
          </w:p>
        </w:tc>
        <w:tc>
          <w:tcPr>
            <w:tcW w:w="2986" w:type="dxa"/>
            <w:tcBorders>
              <w:top w:val="nil"/>
              <w:left w:val="nil"/>
              <w:bottom w:val="nil"/>
              <w:right w:val="nil"/>
            </w:tcBorders>
            <w:vAlign w:val="center"/>
          </w:tcPr>
          <w:p w14:paraId="60C22909">
            <w:pPr>
              <w:spacing w:line="288" w:lineRule="auto"/>
              <w:jc w:val="center"/>
            </w:pPr>
            <w:r>
              <w:rPr>
                <w:rFonts w:ascii="宋体" w:hAnsi="宋体" w:eastAsia="宋体"/>
                <w:b w:val="0"/>
                <w:sz w:val="19"/>
              </w:rPr>
              <w:t>4.5 mm/s</w:t>
            </w:r>
          </w:p>
        </w:tc>
        <w:tc>
          <w:tcPr>
            <w:tcW w:w="2986" w:type="dxa"/>
            <w:tcBorders>
              <w:top w:val="nil"/>
              <w:left w:val="nil"/>
              <w:bottom w:val="nil"/>
              <w:right w:val="nil"/>
            </w:tcBorders>
            <w:vAlign w:val="center"/>
          </w:tcPr>
          <w:p w14:paraId="1B312A0E">
            <w:pPr>
              <w:spacing w:line="288" w:lineRule="auto"/>
              <w:jc w:val="center"/>
            </w:pPr>
            <w:r>
              <w:rPr>
                <w:rFonts w:ascii="宋体" w:hAnsi="宋体" w:eastAsia="宋体"/>
                <w:b w:val="0"/>
                <w:sz w:val="19"/>
              </w:rPr>
              <w:t>提示复测振动趋势</w:t>
            </w:r>
          </w:p>
        </w:tc>
      </w:tr>
      <w:tr w14:paraId="5787AACE">
        <w:tblPrEx>
          <w:tblCellMar>
            <w:top w:w="0" w:type="dxa"/>
            <w:left w:w="108" w:type="dxa"/>
            <w:bottom w:w="0" w:type="dxa"/>
            <w:right w:w="108" w:type="dxa"/>
          </w:tblCellMar>
        </w:tblPrEx>
        <w:tc>
          <w:tcPr>
            <w:tcW w:w="2986" w:type="dxa"/>
            <w:tcBorders>
              <w:top w:val="nil"/>
              <w:left w:val="nil"/>
              <w:bottom w:val="nil"/>
              <w:right w:val="nil"/>
            </w:tcBorders>
            <w:vAlign w:val="center"/>
          </w:tcPr>
          <w:p w14:paraId="138095CC">
            <w:pPr>
              <w:spacing w:line="288" w:lineRule="auto"/>
              <w:jc w:val="center"/>
            </w:pPr>
            <w:r>
              <w:rPr>
                <w:rFonts w:ascii="宋体" w:hAnsi="宋体" w:eastAsia="宋体"/>
                <w:b w:val="0"/>
                <w:sz w:val="19"/>
              </w:rPr>
              <w:t>振动严重阈值</w:t>
            </w:r>
          </w:p>
        </w:tc>
        <w:tc>
          <w:tcPr>
            <w:tcW w:w="2986" w:type="dxa"/>
            <w:tcBorders>
              <w:top w:val="nil"/>
              <w:left w:val="nil"/>
              <w:bottom w:val="nil"/>
              <w:right w:val="nil"/>
            </w:tcBorders>
            <w:vAlign w:val="center"/>
          </w:tcPr>
          <w:p w14:paraId="78F26B29">
            <w:pPr>
              <w:spacing w:line="288" w:lineRule="auto"/>
              <w:jc w:val="center"/>
            </w:pPr>
            <w:r>
              <w:rPr>
                <w:rFonts w:ascii="宋体" w:hAnsi="宋体" w:eastAsia="宋体"/>
                <w:b w:val="0"/>
                <w:sz w:val="19"/>
              </w:rPr>
              <w:t>6.0 mm/s</w:t>
            </w:r>
          </w:p>
        </w:tc>
        <w:tc>
          <w:tcPr>
            <w:tcW w:w="2986" w:type="dxa"/>
            <w:tcBorders>
              <w:top w:val="nil"/>
              <w:left w:val="nil"/>
              <w:bottom w:val="nil"/>
              <w:right w:val="nil"/>
            </w:tcBorders>
            <w:vAlign w:val="center"/>
          </w:tcPr>
          <w:p w14:paraId="62B0F532">
            <w:pPr>
              <w:spacing w:line="288" w:lineRule="auto"/>
              <w:jc w:val="center"/>
            </w:pPr>
            <w:r>
              <w:rPr>
                <w:rFonts w:ascii="宋体" w:hAnsi="宋体" w:eastAsia="宋体"/>
                <w:b w:val="0"/>
                <w:sz w:val="19"/>
              </w:rPr>
              <w:t>提示重点检查轴承或齿轮</w:t>
            </w:r>
          </w:p>
        </w:tc>
      </w:tr>
      <w:tr w14:paraId="51CDEF79">
        <w:tblPrEx>
          <w:tblCellMar>
            <w:top w:w="0" w:type="dxa"/>
            <w:left w:w="108" w:type="dxa"/>
            <w:bottom w:w="0" w:type="dxa"/>
            <w:right w:w="108" w:type="dxa"/>
          </w:tblCellMar>
        </w:tblPrEx>
        <w:tc>
          <w:tcPr>
            <w:tcW w:w="2986" w:type="dxa"/>
            <w:tcBorders>
              <w:top w:val="nil"/>
              <w:left w:val="nil"/>
              <w:bottom w:val="single" w:color="000000" w:sz="12" w:space="0"/>
              <w:right w:val="nil"/>
            </w:tcBorders>
            <w:vAlign w:val="center"/>
          </w:tcPr>
          <w:p w14:paraId="3C8607DE">
            <w:pPr>
              <w:spacing w:line="288" w:lineRule="auto"/>
              <w:jc w:val="center"/>
            </w:pPr>
            <w:r>
              <w:rPr>
                <w:rFonts w:ascii="宋体" w:hAnsi="宋体" w:eastAsia="宋体"/>
                <w:b w:val="0"/>
                <w:sz w:val="19"/>
              </w:rPr>
              <w:t>常规复检周期</w:t>
            </w:r>
          </w:p>
        </w:tc>
        <w:tc>
          <w:tcPr>
            <w:tcW w:w="2986" w:type="dxa"/>
            <w:tcBorders>
              <w:top w:val="nil"/>
              <w:left w:val="nil"/>
              <w:bottom w:val="single" w:color="000000" w:sz="12" w:space="0"/>
              <w:right w:val="nil"/>
            </w:tcBorders>
            <w:vAlign w:val="center"/>
          </w:tcPr>
          <w:p w14:paraId="51856AF4">
            <w:pPr>
              <w:spacing w:line="288" w:lineRule="auto"/>
              <w:jc w:val="center"/>
            </w:pPr>
            <w:r>
              <w:rPr>
                <w:rFonts w:ascii="宋体" w:hAnsi="宋体" w:eastAsia="宋体"/>
                <w:b w:val="0"/>
                <w:sz w:val="19"/>
              </w:rPr>
              <w:t>90天</w:t>
            </w:r>
          </w:p>
        </w:tc>
        <w:tc>
          <w:tcPr>
            <w:tcW w:w="2986" w:type="dxa"/>
            <w:tcBorders>
              <w:top w:val="nil"/>
              <w:left w:val="nil"/>
              <w:bottom w:val="single" w:color="000000" w:sz="12" w:space="0"/>
              <w:right w:val="nil"/>
            </w:tcBorders>
            <w:vAlign w:val="center"/>
          </w:tcPr>
          <w:p w14:paraId="4A542AB6">
            <w:pPr>
              <w:spacing w:line="288" w:lineRule="auto"/>
              <w:jc w:val="center"/>
            </w:pPr>
            <w:r>
              <w:rPr>
                <w:rFonts w:ascii="宋体" w:hAnsi="宋体" w:eastAsia="宋体"/>
                <w:b w:val="0"/>
                <w:sz w:val="19"/>
              </w:rPr>
              <w:t>健康状态良好时采用</w:t>
            </w:r>
          </w:p>
        </w:tc>
      </w:tr>
    </w:tbl>
    <w:p w14:paraId="6E548A16"/>
    <w:p w14:paraId="57A6561A">
      <w:pPr>
        <w:spacing w:before="240" w:after="120"/>
      </w:pPr>
      <w:r>
        <w:rPr>
          <w:rFonts w:ascii="黑体" w:hAnsi="黑体" w:eastAsia="黑体"/>
          <w:b/>
          <w:sz w:val="28"/>
        </w:rPr>
        <w:t>4.3 功能模块实现</w:t>
      </w:r>
    </w:p>
    <w:p w14:paraId="7021F876">
      <w:pPr>
        <w:spacing w:after="0" w:line="360" w:lineRule="auto"/>
        <w:ind w:firstLine="420"/>
        <w:jc w:val="both"/>
      </w:pPr>
      <w:r>
        <w:rPr>
          <w:rFonts w:ascii="宋体" w:hAnsi="宋体" w:eastAsia="宋体"/>
          <w:b w:val="0"/>
          <w:sz w:val="21"/>
        </w:rPr>
        <w:t>风场总览页面展示多台风机状态、健康评分、功率、风速和油温，并实现小风机叶片旋转效果。单机详情页面展示实时有功功率、风速、发电机转速、变桨角、当前转矩、发电量、温度寿命、控制按钮、机舱剖视模型和集群对标。实时监测页面支持任意机组选择，并与单机详情数据保持一致。</w:t>
      </w:r>
    </w:p>
    <w:p w14:paraId="7C2B3DE7">
      <w:pPr>
        <w:spacing w:after="0" w:line="360" w:lineRule="auto"/>
        <w:ind w:firstLine="420"/>
        <w:jc w:val="both"/>
      </w:pPr>
      <w:r>
        <w:rPr>
          <w:rFonts w:ascii="宋体" w:hAnsi="宋体" w:eastAsia="宋体"/>
          <w:b w:val="0"/>
          <w:sz w:val="21"/>
        </w:rPr>
        <w:t>故障诊断中心支持选择当前诊断机组，输出故障类型、严重程度、置信度和检修建议。故障数据管理页面展示历史故障记录、机组编号、严重程度和处理状态。健康评估报告页面保留关键运维数据，包括油温、振动、功率、健康评分、RUL和复检周期。AI专家问答模块结合知识库和当前工况回答运维问题。</w:t>
      </w:r>
    </w:p>
    <w:p w14:paraId="320F73F6">
      <w:pPr>
        <w:spacing w:after="0" w:line="360" w:lineRule="auto"/>
        <w:ind w:firstLine="420"/>
        <w:jc w:val="both"/>
      </w:pPr>
      <w:r>
        <w:rPr>
          <w:rFonts w:ascii="宋体" w:hAnsi="宋体" w:eastAsia="宋体"/>
          <w:b w:val="0"/>
          <w:sz w:val="21"/>
        </w:rPr>
        <w:t>单机详情页面是系统最具工程特征的页面。页面顶部展示实时有功功率、实时风速、发电机转速、变桨角度、当前转矩、当日发电量、累计可利用率和累计发电量；左侧展示温度和寿命；中部展示机舱剖视模型；右侧展示实时状态码、预警和集群对标。该布局有助于运维人员在一个页面内完成状态判断。</w:t>
      </w:r>
    </w:p>
    <w:p w14:paraId="2E9898EB">
      <w:pPr>
        <w:spacing w:after="0" w:line="360" w:lineRule="auto"/>
        <w:ind w:firstLine="420"/>
        <w:jc w:val="both"/>
      </w:pPr>
      <w:r>
        <w:rPr>
          <w:rFonts w:ascii="宋体" w:hAnsi="宋体" w:eastAsia="宋体"/>
          <w:b w:val="0"/>
          <w:sz w:val="21"/>
        </w:rPr>
        <w:t>系统还对控制命令逻辑进行了优化。停机命令下发后，机组保持远程停机待机状态，不会因为页面刷新自动恢复；只有启动命令下发后才恢复运行。复位、HMI和清空命令只作为状态回执，不会解除停机保持。这一逻辑更符合风电运维中“命令有状态、操作有回执”的要求。</w:t>
      </w:r>
    </w:p>
    <w:p w14:paraId="03B06044">
      <w:pPr>
        <w:spacing w:before="240" w:after="120"/>
      </w:pPr>
      <w:r>
        <w:rPr>
          <w:rFonts w:ascii="黑体" w:hAnsi="黑体" w:eastAsia="黑体"/>
          <w:b/>
          <w:sz w:val="28"/>
        </w:rPr>
        <w:t>4.4 系统测试与结果分析</w:t>
      </w:r>
    </w:p>
    <w:p w14:paraId="43924612">
      <w:pPr>
        <w:jc w:val="center"/>
      </w:pPr>
      <w:r>
        <w:rPr>
          <w:rFonts w:ascii="黑体" w:hAnsi="黑体" w:eastAsia="黑体"/>
          <w:b/>
          <w:sz w:val="21"/>
        </w:rPr>
        <w:t>表4.4 功能测试结果</w:t>
      </w:r>
    </w:p>
    <w:tbl>
      <w:tblPr>
        <w:tblStyle w:val="11"/>
        <w:tblW w:w="0" w:type="auto"/>
        <w:tblInd w:w="0" w:type="dxa"/>
        <w:tblLayout w:type="autofit"/>
        <w:tblCellMar>
          <w:top w:w="0" w:type="dxa"/>
          <w:left w:w="108" w:type="dxa"/>
          <w:bottom w:w="0" w:type="dxa"/>
          <w:right w:w="108" w:type="dxa"/>
        </w:tblCellMar>
      </w:tblPr>
      <w:tblGrid>
        <w:gridCol w:w="2963"/>
        <w:gridCol w:w="2964"/>
        <w:gridCol w:w="2963"/>
      </w:tblGrid>
      <w:tr w14:paraId="7B9CFE4B">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tcBorders>
            <w:vAlign w:val="center"/>
          </w:tcPr>
          <w:p w14:paraId="01072E7B">
            <w:pPr>
              <w:spacing w:line="288" w:lineRule="auto"/>
              <w:jc w:val="center"/>
            </w:pPr>
            <w:r>
              <w:rPr>
                <w:rFonts w:ascii="宋体" w:hAnsi="宋体" w:eastAsia="宋体"/>
                <w:b/>
                <w:sz w:val="19"/>
              </w:rPr>
              <w:t>测试项</w:t>
            </w:r>
          </w:p>
        </w:tc>
        <w:tc>
          <w:tcPr>
            <w:tcW w:w="2986" w:type="dxa"/>
            <w:tcBorders>
              <w:top w:val="single" w:color="000000" w:sz="12" w:space="0"/>
              <w:left w:val="nil"/>
              <w:bottom w:val="single" w:color="000000" w:sz="6" w:space="0"/>
              <w:right w:val="nil"/>
            </w:tcBorders>
            <w:vAlign w:val="center"/>
          </w:tcPr>
          <w:p w14:paraId="2A04C795">
            <w:pPr>
              <w:spacing w:line="288" w:lineRule="auto"/>
              <w:jc w:val="center"/>
            </w:pPr>
            <w:r>
              <w:rPr>
                <w:rFonts w:ascii="宋体" w:hAnsi="宋体" w:eastAsia="宋体"/>
                <w:b/>
                <w:sz w:val="19"/>
              </w:rPr>
              <w:t>预期结果</w:t>
            </w:r>
          </w:p>
        </w:tc>
        <w:tc>
          <w:tcPr>
            <w:tcW w:w="2986" w:type="dxa"/>
            <w:tcBorders>
              <w:top w:val="single" w:color="000000" w:sz="12" w:space="0"/>
              <w:left w:val="nil"/>
              <w:bottom w:val="single" w:color="000000" w:sz="6" w:space="0"/>
              <w:right w:val="nil"/>
            </w:tcBorders>
            <w:vAlign w:val="center"/>
          </w:tcPr>
          <w:p w14:paraId="5D5AE366">
            <w:pPr>
              <w:spacing w:line="288" w:lineRule="auto"/>
              <w:jc w:val="center"/>
            </w:pPr>
            <w:r>
              <w:rPr>
                <w:rFonts w:ascii="宋体" w:hAnsi="宋体" w:eastAsia="宋体"/>
                <w:b/>
                <w:sz w:val="19"/>
              </w:rPr>
              <w:t>测试结论</w:t>
            </w:r>
          </w:p>
        </w:tc>
      </w:tr>
      <w:tr w14:paraId="17EEE5C4">
        <w:tblPrEx>
          <w:tblCellMar>
            <w:top w:w="0" w:type="dxa"/>
            <w:left w:w="108" w:type="dxa"/>
            <w:bottom w:w="0" w:type="dxa"/>
            <w:right w:w="108" w:type="dxa"/>
          </w:tblCellMar>
        </w:tblPrEx>
        <w:tc>
          <w:tcPr>
            <w:tcW w:w="2986" w:type="dxa"/>
            <w:tcBorders>
              <w:top w:val="nil"/>
              <w:left w:val="nil"/>
              <w:bottom w:val="nil"/>
              <w:right w:val="nil"/>
            </w:tcBorders>
            <w:vAlign w:val="center"/>
          </w:tcPr>
          <w:p w14:paraId="6CB0F7EF">
            <w:pPr>
              <w:spacing w:line="288" w:lineRule="auto"/>
              <w:jc w:val="center"/>
            </w:pPr>
            <w:r>
              <w:rPr>
                <w:rFonts w:ascii="宋体" w:hAnsi="宋体" w:eastAsia="宋体"/>
                <w:b w:val="0"/>
                <w:sz w:val="19"/>
              </w:rPr>
              <w:t>登录与权限</w:t>
            </w:r>
          </w:p>
        </w:tc>
        <w:tc>
          <w:tcPr>
            <w:tcW w:w="2986" w:type="dxa"/>
            <w:tcBorders>
              <w:top w:val="nil"/>
              <w:left w:val="nil"/>
              <w:bottom w:val="nil"/>
              <w:right w:val="nil"/>
            </w:tcBorders>
            <w:vAlign w:val="center"/>
          </w:tcPr>
          <w:p w14:paraId="02CB817F">
            <w:pPr>
              <w:spacing w:line="288" w:lineRule="auto"/>
              <w:jc w:val="left"/>
            </w:pPr>
            <w:r>
              <w:rPr>
                <w:rFonts w:ascii="宋体" w:hAnsi="宋体" w:eastAsia="宋体"/>
                <w:b w:val="0"/>
                <w:sz w:val="19"/>
              </w:rPr>
              <w:t>管理员能够登录并进入总览页面</w:t>
            </w:r>
          </w:p>
        </w:tc>
        <w:tc>
          <w:tcPr>
            <w:tcW w:w="2986" w:type="dxa"/>
            <w:tcBorders>
              <w:top w:val="nil"/>
              <w:left w:val="nil"/>
              <w:bottom w:val="nil"/>
              <w:right w:val="nil"/>
            </w:tcBorders>
            <w:vAlign w:val="center"/>
          </w:tcPr>
          <w:p w14:paraId="48EC6B9B">
            <w:pPr>
              <w:spacing w:line="288" w:lineRule="auto"/>
              <w:jc w:val="center"/>
            </w:pPr>
            <w:r>
              <w:rPr>
                <w:rFonts w:ascii="宋体" w:hAnsi="宋体" w:eastAsia="宋体"/>
                <w:b w:val="0"/>
                <w:sz w:val="19"/>
              </w:rPr>
              <w:t>通过</w:t>
            </w:r>
          </w:p>
        </w:tc>
      </w:tr>
      <w:tr w14:paraId="12DCD24A">
        <w:tblPrEx>
          <w:tblCellMar>
            <w:top w:w="0" w:type="dxa"/>
            <w:left w:w="108" w:type="dxa"/>
            <w:bottom w:w="0" w:type="dxa"/>
            <w:right w:w="108" w:type="dxa"/>
          </w:tblCellMar>
        </w:tblPrEx>
        <w:tc>
          <w:tcPr>
            <w:tcW w:w="2986" w:type="dxa"/>
            <w:tcBorders>
              <w:top w:val="nil"/>
              <w:left w:val="nil"/>
              <w:bottom w:val="nil"/>
              <w:right w:val="nil"/>
            </w:tcBorders>
            <w:vAlign w:val="center"/>
          </w:tcPr>
          <w:p w14:paraId="58F5BF9C">
            <w:pPr>
              <w:spacing w:line="288" w:lineRule="auto"/>
              <w:jc w:val="center"/>
            </w:pPr>
            <w:r>
              <w:rPr>
                <w:rFonts w:ascii="宋体" w:hAnsi="宋体" w:eastAsia="宋体"/>
                <w:b w:val="0"/>
                <w:sz w:val="19"/>
              </w:rPr>
              <w:t>风场总览</w:t>
            </w:r>
          </w:p>
        </w:tc>
        <w:tc>
          <w:tcPr>
            <w:tcW w:w="2986" w:type="dxa"/>
            <w:tcBorders>
              <w:top w:val="nil"/>
              <w:left w:val="nil"/>
              <w:bottom w:val="nil"/>
              <w:right w:val="nil"/>
            </w:tcBorders>
            <w:vAlign w:val="center"/>
          </w:tcPr>
          <w:p w14:paraId="04F27C4C">
            <w:pPr>
              <w:spacing w:line="288" w:lineRule="auto"/>
              <w:jc w:val="left"/>
            </w:pPr>
            <w:r>
              <w:rPr>
                <w:rFonts w:ascii="宋体" w:hAnsi="宋体" w:eastAsia="宋体"/>
                <w:b w:val="0"/>
                <w:sz w:val="19"/>
              </w:rPr>
              <w:t>显示多机组状态并支持新增机组</w:t>
            </w:r>
          </w:p>
        </w:tc>
        <w:tc>
          <w:tcPr>
            <w:tcW w:w="2986" w:type="dxa"/>
            <w:tcBorders>
              <w:top w:val="nil"/>
              <w:left w:val="nil"/>
              <w:bottom w:val="nil"/>
              <w:right w:val="nil"/>
            </w:tcBorders>
            <w:vAlign w:val="center"/>
          </w:tcPr>
          <w:p w14:paraId="6B0CC1A9">
            <w:pPr>
              <w:spacing w:line="288" w:lineRule="auto"/>
              <w:jc w:val="center"/>
            </w:pPr>
            <w:r>
              <w:rPr>
                <w:rFonts w:ascii="宋体" w:hAnsi="宋体" w:eastAsia="宋体"/>
                <w:b w:val="0"/>
                <w:sz w:val="19"/>
              </w:rPr>
              <w:t>通过</w:t>
            </w:r>
          </w:p>
        </w:tc>
      </w:tr>
      <w:tr w14:paraId="604EFA5B">
        <w:tblPrEx>
          <w:tblCellMar>
            <w:top w:w="0" w:type="dxa"/>
            <w:left w:w="108" w:type="dxa"/>
            <w:bottom w:w="0" w:type="dxa"/>
            <w:right w:w="108" w:type="dxa"/>
          </w:tblCellMar>
        </w:tblPrEx>
        <w:tc>
          <w:tcPr>
            <w:tcW w:w="2986" w:type="dxa"/>
            <w:tcBorders>
              <w:top w:val="nil"/>
              <w:left w:val="nil"/>
              <w:bottom w:val="nil"/>
              <w:right w:val="nil"/>
            </w:tcBorders>
            <w:vAlign w:val="center"/>
          </w:tcPr>
          <w:p w14:paraId="611340A9">
            <w:pPr>
              <w:spacing w:line="288" w:lineRule="auto"/>
              <w:jc w:val="center"/>
            </w:pPr>
            <w:r>
              <w:rPr>
                <w:rFonts w:ascii="宋体" w:hAnsi="宋体" w:eastAsia="宋体"/>
                <w:b w:val="0"/>
                <w:sz w:val="19"/>
              </w:rPr>
              <w:t>单机详情</w:t>
            </w:r>
          </w:p>
        </w:tc>
        <w:tc>
          <w:tcPr>
            <w:tcW w:w="2986" w:type="dxa"/>
            <w:tcBorders>
              <w:top w:val="nil"/>
              <w:left w:val="nil"/>
              <w:bottom w:val="nil"/>
              <w:right w:val="nil"/>
            </w:tcBorders>
            <w:vAlign w:val="center"/>
          </w:tcPr>
          <w:p w14:paraId="4894ADA6">
            <w:pPr>
              <w:spacing w:line="288" w:lineRule="auto"/>
              <w:jc w:val="center"/>
            </w:pPr>
            <w:r>
              <w:rPr>
                <w:rFonts w:ascii="宋体" w:hAnsi="宋体" w:eastAsia="宋体"/>
                <w:b w:val="0"/>
                <w:sz w:val="19"/>
              </w:rPr>
              <w:t>切换机组后指标同步变化</w:t>
            </w:r>
          </w:p>
        </w:tc>
        <w:tc>
          <w:tcPr>
            <w:tcW w:w="2986" w:type="dxa"/>
            <w:tcBorders>
              <w:top w:val="nil"/>
              <w:left w:val="nil"/>
              <w:bottom w:val="nil"/>
              <w:right w:val="nil"/>
            </w:tcBorders>
            <w:vAlign w:val="center"/>
          </w:tcPr>
          <w:p w14:paraId="1CEC2352">
            <w:pPr>
              <w:spacing w:line="288" w:lineRule="auto"/>
              <w:jc w:val="center"/>
            </w:pPr>
            <w:r>
              <w:rPr>
                <w:rFonts w:ascii="宋体" w:hAnsi="宋体" w:eastAsia="宋体"/>
                <w:b w:val="0"/>
                <w:sz w:val="19"/>
              </w:rPr>
              <w:t>通过</w:t>
            </w:r>
          </w:p>
        </w:tc>
      </w:tr>
      <w:tr w14:paraId="52EF7BCE">
        <w:tblPrEx>
          <w:tblCellMar>
            <w:top w:w="0" w:type="dxa"/>
            <w:left w:w="108" w:type="dxa"/>
            <w:bottom w:w="0" w:type="dxa"/>
            <w:right w:w="108" w:type="dxa"/>
          </w:tblCellMar>
        </w:tblPrEx>
        <w:tc>
          <w:tcPr>
            <w:tcW w:w="2986" w:type="dxa"/>
            <w:tcBorders>
              <w:top w:val="nil"/>
              <w:left w:val="nil"/>
              <w:bottom w:val="nil"/>
              <w:right w:val="nil"/>
            </w:tcBorders>
            <w:vAlign w:val="center"/>
          </w:tcPr>
          <w:p w14:paraId="7CA8CF6E">
            <w:pPr>
              <w:spacing w:line="288" w:lineRule="auto"/>
              <w:jc w:val="center"/>
            </w:pPr>
            <w:r>
              <w:rPr>
                <w:rFonts w:ascii="宋体" w:hAnsi="宋体" w:eastAsia="宋体"/>
                <w:b w:val="0"/>
                <w:sz w:val="19"/>
              </w:rPr>
              <w:t>实时监测</w:t>
            </w:r>
          </w:p>
        </w:tc>
        <w:tc>
          <w:tcPr>
            <w:tcW w:w="2986" w:type="dxa"/>
            <w:tcBorders>
              <w:top w:val="nil"/>
              <w:left w:val="nil"/>
              <w:bottom w:val="nil"/>
              <w:right w:val="nil"/>
            </w:tcBorders>
            <w:vAlign w:val="center"/>
          </w:tcPr>
          <w:p w14:paraId="508F3B0C">
            <w:pPr>
              <w:spacing w:line="288" w:lineRule="auto"/>
              <w:jc w:val="left"/>
            </w:pPr>
            <w:r>
              <w:rPr>
                <w:rFonts w:ascii="宋体" w:hAnsi="宋体" w:eastAsia="宋体"/>
                <w:b w:val="0"/>
                <w:sz w:val="19"/>
              </w:rPr>
              <w:t>当前机组数据与单机详情一致</w:t>
            </w:r>
          </w:p>
        </w:tc>
        <w:tc>
          <w:tcPr>
            <w:tcW w:w="2986" w:type="dxa"/>
            <w:tcBorders>
              <w:top w:val="nil"/>
              <w:left w:val="nil"/>
              <w:bottom w:val="nil"/>
              <w:right w:val="nil"/>
            </w:tcBorders>
            <w:vAlign w:val="center"/>
          </w:tcPr>
          <w:p w14:paraId="53152AAB">
            <w:pPr>
              <w:spacing w:line="288" w:lineRule="auto"/>
              <w:jc w:val="center"/>
            </w:pPr>
            <w:r>
              <w:rPr>
                <w:rFonts w:ascii="宋体" w:hAnsi="宋体" w:eastAsia="宋体"/>
                <w:b w:val="0"/>
                <w:sz w:val="19"/>
              </w:rPr>
              <w:t>通过</w:t>
            </w:r>
          </w:p>
        </w:tc>
      </w:tr>
      <w:tr w14:paraId="0309826D">
        <w:tblPrEx>
          <w:tblCellMar>
            <w:top w:w="0" w:type="dxa"/>
            <w:left w:w="108" w:type="dxa"/>
            <w:bottom w:w="0" w:type="dxa"/>
            <w:right w:w="108" w:type="dxa"/>
          </w:tblCellMar>
        </w:tblPrEx>
        <w:tc>
          <w:tcPr>
            <w:tcW w:w="2986" w:type="dxa"/>
            <w:tcBorders>
              <w:top w:val="nil"/>
              <w:left w:val="nil"/>
              <w:bottom w:val="nil"/>
              <w:right w:val="nil"/>
            </w:tcBorders>
            <w:vAlign w:val="center"/>
          </w:tcPr>
          <w:p w14:paraId="36D89116">
            <w:pPr>
              <w:spacing w:line="288" w:lineRule="auto"/>
              <w:jc w:val="center"/>
            </w:pPr>
            <w:r>
              <w:rPr>
                <w:rFonts w:ascii="宋体" w:hAnsi="宋体" w:eastAsia="宋体"/>
                <w:b w:val="0"/>
                <w:sz w:val="19"/>
              </w:rPr>
              <w:t>故障分析</w:t>
            </w:r>
          </w:p>
        </w:tc>
        <w:tc>
          <w:tcPr>
            <w:tcW w:w="2986" w:type="dxa"/>
            <w:tcBorders>
              <w:top w:val="nil"/>
              <w:left w:val="nil"/>
              <w:bottom w:val="nil"/>
              <w:right w:val="nil"/>
            </w:tcBorders>
            <w:vAlign w:val="center"/>
          </w:tcPr>
          <w:p w14:paraId="444A7163">
            <w:pPr>
              <w:spacing w:line="288" w:lineRule="auto"/>
              <w:jc w:val="center"/>
            </w:pPr>
            <w:r>
              <w:rPr>
                <w:rFonts w:ascii="宋体" w:hAnsi="宋体" w:eastAsia="宋体"/>
                <w:b w:val="0"/>
                <w:sz w:val="19"/>
              </w:rPr>
              <w:t>趋势和分布按机组区分</w:t>
            </w:r>
          </w:p>
        </w:tc>
        <w:tc>
          <w:tcPr>
            <w:tcW w:w="2986" w:type="dxa"/>
            <w:tcBorders>
              <w:top w:val="nil"/>
              <w:left w:val="nil"/>
              <w:bottom w:val="nil"/>
              <w:right w:val="nil"/>
            </w:tcBorders>
            <w:vAlign w:val="center"/>
          </w:tcPr>
          <w:p w14:paraId="2EBCEBBE">
            <w:pPr>
              <w:spacing w:line="288" w:lineRule="auto"/>
              <w:jc w:val="center"/>
            </w:pPr>
            <w:r>
              <w:rPr>
                <w:rFonts w:ascii="宋体" w:hAnsi="宋体" w:eastAsia="宋体"/>
                <w:b w:val="0"/>
                <w:sz w:val="19"/>
              </w:rPr>
              <w:t>通过</w:t>
            </w:r>
          </w:p>
        </w:tc>
      </w:tr>
      <w:tr w14:paraId="45C5222D">
        <w:tblPrEx>
          <w:tblCellMar>
            <w:top w:w="0" w:type="dxa"/>
            <w:left w:w="108" w:type="dxa"/>
            <w:bottom w:w="0" w:type="dxa"/>
            <w:right w:w="108" w:type="dxa"/>
          </w:tblCellMar>
        </w:tblPrEx>
        <w:tc>
          <w:tcPr>
            <w:tcW w:w="2986" w:type="dxa"/>
            <w:tcBorders>
              <w:top w:val="nil"/>
              <w:left w:val="nil"/>
              <w:bottom w:val="nil"/>
              <w:right w:val="nil"/>
            </w:tcBorders>
            <w:vAlign w:val="center"/>
          </w:tcPr>
          <w:p w14:paraId="0C66FC73">
            <w:pPr>
              <w:spacing w:line="288" w:lineRule="auto"/>
              <w:jc w:val="center"/>
            </w:pPr>
            <w:r>
              <w:rPr>
                <w:rFonts w:ascii="宋体" w:hAnsi="宋体" w:eastAsia="宋体"/>
                <w:b w:val="0"/>
                <w:sz w:val="19"/>
              </w:rPr>
              <w:t>控制命令</w:t>
            </w:r>
          </w:p>
        </w:tc>
        <w:tc>
          <w:tcPr>
            <w:tcW w:w="2986" w:type="dxa"/>
            <w:tcBorders>
              <w:top w:val="nil"/>
              <w:left w:val="nil"/>
              <w:bottom w:val="nil"/>
              <w:right w:val="nil"/>
            </w:tcBorders>
            <w:vAlign w:val="center"/>
          </w:tcPr>
          <w:p w14:paraId="64A679E6">
            <w:pPr>
              <w:spacing w:line="288" w:lineRule="auto"/>
              <w:jc w:val="left"/>
            </w:pPr>
            <w:r>
              <w:rPr>
                <w:rFonts w:ascii="宋体" w:hAnsi="宋体" w:eastAsia="宋体"/>
                <w:b w:val="0"/>
                <w:sz w:val="19"/>
              </w:rPr>
              <w:t>停机保持待机，启动后恢复运行</w:t>
            </w:r>
          </w:p>
        </w:tc>
        <w:tc>
          <w:tcPr>
            <w:tcW w:w="2986" w:type="dxa"/>
            <w:tcBorders>
              <w:top w:val="nil"/>
              <w:left w:val="nil"/>
              <w:bottom w:val="nil"/>
              <w:right w:val="nil"/>
            </w:tcBorders>
            <w:vAlign w:val="center"/>
          </w:tcPr>
          <w:p w14:paraId="5F42B957">
            <w:pPr>
              <w:spacing w:line="288" w:lineRule="auto"/>
              <w:jc w:val="center"/>
            </w:pPr>
            <w:r>
              <w:rPr>
                <w:rFonts w:ascii="宋体" w:hAnsi="宋体" w:eastAsia="宋体"/>
                <w:b w:val="0"/>
                <w:sz w:val="19"/>
              </w:rPr>
              <w:t>通过</w:t>
            </w:r>
          </w:p>
        </w:tc>
      </w:tr>
      <w:tr w14:paraId="15FF08DF">
        <w:tblPrEx>
          <w:tblCellMar>
            <w:top w:w="0" w:type="dxa"/>
            <w:left w:w="108" w:type="dxa"/>
            <w:bottom w:w="0" w:type="dxa"/>
            <w:right w:w="108" w:type="dxa"/>
          </w:tblCellMar>
        </w:tblPrEx>
        <w:tc>
          <w:tcPr>
            <w:tcW w:w="2986" w:type="dxa"/>
            <w:tcBorders>
              <w:top w:val="nil"/>
              <w:left w:val="nil"/>
              <w:bottom w:val="single" w:color="000000" w:sz="12" w:space="0"/>
              <w:right w:val="nil"/>
            </w:tcBorders>
            <w:vAlign w:val="center"/>
          </w:tcPr>
          <w:p w14:paraId="574A0AA5">
            <w:pPr>
              <w:spacing w:line="288" w:lineRule="auto"/>
              <w:jc w:val="center"/>
            </w:pPr>
            <w:r>
              <w:rPr>
                <w:rFonts w:ascii="宋体" w:hAnsi="宋体" w:eastAsia="宋体"/>
                <w:b w:val="0"/>
                <w:sz w:val="19"/>
              </w:rPr>
              <w:t>健康报告</w:t>
            </w:r>
          </w:p>
        </w:tc>
        <w:tc>
          <w:tcPr>
            <w:tcW w:w="2986" w:type="dxa"/>
            <w:tcBorders>
              <w:top w:val="nil"/>
              <w:left w:val="nil"/>
              <w:bottom w:val="single" w:color="000000" w:sz="12" w:space="0"/>
              <w:right w:val="nil"/>
            </w:tcBorders>
            <w:vAlign w:val="center"/>
          </w:tcPr>
          <w:p w14:paraId="4A27DB52">
            <w:pPr>
              <w:spacing w:line="288" w:lineRule="auto"/>
              <w:jc w:val="center"/>
            </w:pPr>
            <w:r>
              <w:rPr>
                <w:rFonts w:ascii="宋体" w:hAnsi="宋体" w:eastAsia="宋体"/>
                <w:b w:val="0"/>
                <w:sz w:val="19"/>
              </w:rPr>
              <w:t>导出关键运维数据</w:t>
            </w:r>
          </w:p>
        </w:tc>
        <w:tc>
          <w:tcPr>
            <w:tcW w:w="2986" w:type="dxa"/>
            <w:tcBorders>
              <w:top w:val="nil"/>
              <w:left w:val="nil"/>
              <w:bottom w:val="single" w:color="000000" w:sz="12" w:space="0"/>
              <w:right w:val="nil"/>
            </w:tcBorders>
            <w:vAlign w:val="center"/>
          </w:tcPr>
          <w:p w14:paraId="3D1E3680">
            <w:pPr>
              <w:spacing w:line="288" w:lineRule="auto"/>
              <w:jc w:val="center"/>
            </w:pPr>
            <w:r>
              <w:rPr>
                <w:rFonts w:ascii="宋体" w:hAnsi="宋体" w:eastAsia="宋体"/>
                <w:b w:val="0"/>
                <w:sz w:val="19"/>
              </w:rPr>
              <w:t>通过</w:t>
            </w:r>
          </w:p>
        </w:tc>
      </w:tr>
    </w:tbl>
    <w:p w14:paraId="12CC7A85"/>
    <w:p w14:paraId="4E0CFB28">
      <w:pPr>
        <w:spacing w:after="0" w:line="360" w:lineRule="auto"/>
        <w:ind w:firstLine="420"/>
        <w:jc w:val="both"/>
      </w:pPr>
      <w:r>
        <w:rPr>
          <w:rFonts w:ascii="宋体" w:hAnsi="宋体" w:eastAsia="宋体"/>
          <w:b w:val="0"/>
          <w:sz w:val="21"/>
        </w:rPr>
        <w:t>测试结果表明，系统能够完成主要业务流程。经过多轮优化后，风场总览、单机详情、实时监测和故障分析之间的数据一致性得到提高；停机、启动、复位、HMI和清空等控制按钮也按照运维逻辑进行了处理。</w:t>
      </w:r>
    </w:p>
    <w:p w14:paraId="7DE8E88E">
      <w:pPr>
        <w:spacing w:after="0" w:line="360" w:lineRule="auto"/>
        <w:ind w:firstLine="420"/>
        <w:jc w:val="both"/>
      </w:pPr>
      <w:r>
        <w:rPr>
          <w:rFonts w:ascii="宋体" w:hAnsi="宋体" w:eastAsia="宋体"/>
          <w:b w:val="0"/>
          <w:sz w:val="21"/>
        </w:rPr>
        <w:t>在故障分析测试中，系统能够根据不同机组生成不同的故障历史趋势、故障类型分布和严重程度分布，避免所有机组共用同一套统计结果。该改进使系统更接近真实风场中不同机组运行状态存在差异的情况。</w:t>
      </w:r>
    </w:p>
    <w:p w14:paraId="70239ED5">
      <w:pPr>
        <w:spacing w:after="0" w:line="360" w:lineRule="auto"/>
        <w:ind w:firstLine="420"/>
        <w:jc w:val="both"/>
      </w:pPr>
      <w:r>
        <w:rPr>
          <w:rFonts w:ascii="宋体" w:hAnsi="宋体" w:eastAsia="宋体"/>
          <w:b w:val="0"/>
          <w:sz w:val="21"/>
        </w:rPr>
        <w:t>在页面测试中，系统重点检查了布局适配和文本显示问题。前期版本中曾出现顶部搜索框无实际用途、系统运行通知不合理、人员列表扩大后页面不美观、机舱模型叶片位置异常等问题。经过优化后，相关无效控件被移除，通知支持单条已读，用户列表和参数设置页面布局更加稳定，机舱模型也调整为更符合页面空间的剖视形式。</w:t>
      </w:r>
    </w:p>
    <w:p w14:paraId="74118287">
      <w:pPr>
        <w:spacing w:after="0" w:line="360" w:lineRule="auto"/>
        <w:ind w:firstLine="420"/>
        <w:jc w:val="both"/>
      </w:pPr>
      <w:r>
        <w:rPr>
          <w:rFonts w:ascii="宋体" w:hAnsi="宋体" w:eastAsia="宋体"/>
          <w:b w:val="0"/>
          <w:sz w:val="21"/>
        </w:rPr>
        <w:t>除功能测试外，还对系统运行稳定性进行了观察。系统在本地浏览器环境下能够完成页面切换、接口请求、图表刷新和报告生成。当前项目主要面向毕业设计演示，因此并未进行高并发压力测试；若后续部署到风场生产环境，需要进一步测试多用户访问、长时间运行和异常接口恢复能力。</w:t>
      </w:r>
    </w:p>
    <w:p w14:paraId="61AC087B">
      <w:pPr>
        <w:jc w:val="center"/>
      </w:pPr>
      <w:r>
        <w:rPr>
          <w:rFonts w:ascii="黑体" w:hAnsi="黑体" w:eastAsia="黑体"/>
          <w:b/>
          <w:sz w:val="21"/>
        </w:rPr>
        <w:t>表4.5 测试问题与优化结果</w:t>
      </w:r>
    </w:p>
    <w:tbl>
      <w:tblPr>
        <w:tblStyle w:val="11"/>
        <w:tblW w:w="0" w:type="auto"/>
        <w:tblInd w:w="0" w:type="dxa"/>
        <w:tblLayout w:type="autofit"/>
        <w:tblCellMar>
          <w:top w:w="0" w:type="dxa"/>
          <w:left w:w="108" w:type="dxa"/>
          <w:bottom w:w="0" w:type="dxa"/>
          <w:right w:w="108" w:type="dxa"/>
        </w:tblCellMar>
      </w:tblPr>
      <w:tblGrid>
        <w:gridCol w:w="2963"/>
        <w:gridCol w:w="2963"/>
        <w:gridCol w:w="2964"/>
      </w:tblGrid>
      <w:tr w14:paraId="6126EBDC">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tcBorders>
            <w:vAlign w:val="center"/>
          </w:tcPr>
          <w:p w14:paraId="325D28BD">
            <w:pPr>
              <w:spacing w:line="288" w:lineRule="auto"/>
              <w:jc w:val="center"/>
            </w:pPr>
            <w:r>
              <w:rPr>
                <w:rFonts w:ascii="宋体" w:hAnsi="宋体" w:eastAsia="宋体"/>
                <w:b/>
                <w:sz w:val="19"/>
              </w:rPr>
              <w:t>问题</w:t>
            </w:r>
          </w:p>
        </w:tc>
        <w:tc>
          <w:tcPr>
            <w:tcW w:w="2986" w:type="dxa"/>
            <w:tcBorders>
              <w:top w:val="single" w:color="000000" w:sz="12" w:space="0"/>
              <w:left w:val="nil"/>
              <w:bottom w:val="single" w:color="000000" w:sz="6" w:space="0"/>
              <w:right w:val="nil"/>
            </w:tcBorders>
            <w:vAlign w:val="center"/>
          </w:tcPr>
          <w:p w14:paraId="5E157ABF">
            <w:pPr>
              <w:spacing w:line="288" w:lineRule="auto"/>
              <w:jc w:val="center"/>
            </w:pPr>
            <w:r>
              <w:rPr>
                <w:rFonts w:ascii="宋体" w:hAnsi="宋体" w:eastAsia="宋体"/>
                <w:b/>
                <w:sz w:val="19"/>
              </w:rPr>
              <w:t>优化措施</w:t>
            </w:r>
          </w:p>
        </w:tc>
        <w:tc>
          <w:tcPr>
            <w:tcW w:w="2986" w:type="dxa"/>
            <w:tcBorders>
              <w:top w:val="single" w:color="000000" w:sz="12" w:space="0"/>
              <w:left w:val="nil"/>
              <w:bottom w:val="single" w:color="000000" w:sz="6" w:space="0"/>
              <w:right w:val="nil"/>
            </w:tcBorders>
            <w:vAlign w:val="center"/>
          </w:tcPr>
          <w:p w14:paraId="605C5BB3">
            <w:pPr>
              <w:spacing w:line="288" w:lineRule="auto"/>
              <w:jc w:val="center"/>
            </w:pPr>
            <w:r>
              <w:rPr>
                <w:rFonts w:ascii="宋体" w:hAnsi="宋体" w:eastAsia="宋体"/>
                <w:b/>
                <w:sz w:val="19"/>
              </w:rPr>
              <w:t>结果</w:t>
            </w:r>
          </w:p>
        </w:tc>
      </w:tr>
      <w:tr w14:paraId="417C8CB1">
        <w:tblPrEx>
          <w:tblCellMar>
            <w:top w:w="0" w:type="dxa"/>
            <w:left w:w="108" w:type="dxa"/>
            <w:bottom w:w="0" w:type="dxa"/>
            <w:right w:w="108" w:type="dxa"/>
          </w:tblCellMar>
        </w:tblPrEx>
        <w:tc>
          <w:tcPr>
            <w:tcW w:w="2986" w:type="dxa"/>
            <w:tcBorders>
              <w:top w:val="nil"/>
              <w:left w:val="nil"/>
              <w:bottom w:val="nil"/>
              <w:right w:val="nil"/>
            </w:tcBorders>
            <w:vAlign w:val="center"/>
          </w:tcPr>
          <w:p w14:paraId="7A0420DD">
            <w:pPr>
              <w:spacing w:line="288" w:lineRule="auto"/>
              <w:jc w:val="center"/>
            </w:pPr>
            <w:r>
              <w:rPr>
                <w:rFonts w:ascii="宋体" w:hAnsi="宋体" w:eastAsia="宋体"/>
                <w:b w:val="0"/>
                <w:sz w:val="19"/>
              </w:rPr>
              <w:t>实时监测只显示固定机组</w:t>
            </w:r>
          </w:p>
        </w:tc>
        <w:tc>
          <w:tcPr>
            <w:tcW w:w="2986" w:type="dxa"/>
            <w:tcBorders>
              <w:top w:val="nil"/>
              <w:left w:val="nil"/>
              <w:bottom w:val="nil"/>
              <w:right w:val="nil"/>
            </w:tcBorders>
            <w:vAlign w:val="center"/>
          </w:tcPr>
          <w:p w14:paraId="30E98DAF">
            <w:pPr>
              <w:spacing w:line="288" w:lineRule="auto"/>
              <w:jc w:val="left"/>
            </w:pPr>
            <w:r>
              <w:rPr>
                <w:rFonts w:ascii="宋体" w:hAnsi="宋体" w:eastAsia="宋体"/>
                <w:b w:val="0"/>
                <w:sz w:val="19"/>
              </w:rPr>
              <w:t>增加机组选择并与单机详情同步</w:t>
            </w:r>
          </w:p>
        </w:tc>
        <w:tc>
          <w:tcPr>
            <w:tcW w:w="2986" w:type="dxa"/>
            <w:tcBorders>
              <w:top w:val="nil"/>
              <w:left w:val="nil"/>
              <w:bottom w:val="nil"/>
              <w:right w:val="nil"/>
            </w:tcBorders>
            <w:vAlign w:val="center"/>
          </w:tcPr>
          <w:p w14:paraId="74FD467C">
            <w:pPr>
              <w:spacing w:line="288" w:lineRule="auto"/>
              <w:jc w:val="center"/>
            </w:pPr>
            <w:r>
              <w:rPr>
                <w:rFonts w:ascii="宋体" w:hAnsi="宋体" w:eastAsia="宋体"/>
                <w:b w:val="0"/>
                <w:sz w:val="19"/>
              </w:rPr>
              <w:t>不同机组数据可切换</w:t>
            </w:r>
          </w:p>
        </w:tc>
      </w:tr>
      <w:tr w14:paraId="0EDFF0A2">
        <w:tblPrEx>
          <w:tblCellMar>
            <w:top w:w="0" w:type="dxa"/>
            <w:left w:w="108" w:type="dxa"/>
            <w:bottom w:w="0" w:type="dxa"/>
            <w:right w:w="108" w:type="dxa"/>
          </w:tblCellMar>
        </w:tblPrEx>
        <w:tc>
          <w:tcPr>
            <w:tcW w:w="2986" w:type="dxa"/>
            <w:tcBorders>
              <w:top w:val="nil"/>
              <w:left w:val="nil"/>
              <w:bottom w:val="nil"/>
              <w:right w:val="nil"/>
            </w:tcBorders>
            <w:vAlign w:val="center"/>
          </w:tcPr>
          <w:p w14:paraId="5F301BC5">
            <w:pPr>
              <w:spacing w:line="288" w:lineRule="auto"/>
              <w:jc w:val="center"/>
            </w:pPr>
            <w:r>
              <w:rPr>
                <w:rFonts w:ascii="宋体" w:hAnsi="宋体" w:eastAsia="宋体"/>
                <w:b w:val="0"/>
                <w:sz w:val="19"/>
              </w:rPr>
              <w:t>控制按钮刷新后状态丢失</w:t>
            </w:r>
          </w:p>
        </w:tc>
        <w:tc>
          <w:tcPr>
            <w:tcW w:w="2986" w:type="dxa"/>
            <w:tcBorders>
              <w:top w:val="nil"/>
              <w:left w:val="nil"/>
              <w:bottom w:val="nil"/>
              <w:right w:val="nil"/>
            </w:tcBorders>
            <w:vAlign w:val="center"/>
          </w:tcPr>
          <w:p w14:paraId="5CA1157A">
            <w:pPr>
              <w:spacing w:line="288" w:lineRule="auto"/>
              <w:jc w:val="left"/>
            </w:pPr>
            <w:r>
              <w:rPr>
                <w:rFonts w:ascii="宋体" w:hAnsi="宋体" w:eastAsia="宋体"/>
                <w:b w:val="0"/>
                <w:sz w:val="19"/>
              </w:rPr>
              <w:t>增加停机保持和启动恢复逻辑</w:t>
            </w:r>
          </w:p>
        </w:tc>
        <w:tc>
          <w:tcPr>
            <w:tcW w:w="2986" w:type="dxa"/>
            <w:tcBorders>
              <w:top w:val="nil"/>
              <w:left w:val="nil"/>
              <w:bottom w:val="nil"/>
              <w:right w:val="nil"/>
            </w:tcBorders>
            <w:vAlign w:val="center"/>
          </w:tcPr>
          <w:p w14:paraId="4447EF47">
            <w:pPr>
              <w:spacing w:line="288" w:lineRule="auto"/>
              <w:jc w:val="left"/>
            </w:pPr>
            <w:r>
              <w:rPr>
                <w:rFonts w:ascii="宋体" w:hAnsi="宋体" w:eastAsia="宋体"/>
                <w:b w:val="0"/>
                <w:sz w:val="19"/>
              </w:rPr>
              <w:t>命令状态更加符合运维习惯</w:t>
            </w:r>
          </w:p>
        </w:tc>
      </w:tr>
      <w:tr w14:paraId="64C0EEBF">
        <w:tblPrEx>
          <w:tblCellMar>
            <w:top w:w="0" w:type="dxa"/>
            <w:left w:w="108" w:type="dxa"/>
            <w:bottom w:w="0" w:type="dxa"/>
            <w:right w:w="108" w:type="dxa"/>
          </w:tblCellMar>
        </w:tblPrEx>
        <w:tc>
          <w:tcPr>
            <w:tcW w:w="2986" w:type="dxa"/>
            <w:tcBorders>
              <w:top w:val="nil"/>
              <w:left w:val="nil"/>
              <w:bottom w:val="nil"/>
              <w:right w:val="nil"/>
            </w:tcBorders>
            <w:vAlign w:val="center"/>
          </w:tcPr>
          <w:p w14:paraId="5CEE2F89">
            <w:pPr>
              <w:spacing w:line="288" w:lineRule="auto"/>
              <w:jc w:val="center"/>
            </w:pPr>
            <w:r>
              <w:rPr>
                <w:rFonts w:ascii="宋体" w:hAnsi="宋体" w:eastAsia="宋体"/>
                <w:b w:val="0"/>
                <w:sz w:val="19"/>
              </w:rPr>
              <w:t>故障分析数据全局共用</w:t>
            </w:r>
          </w:p>
        </w:tc>
        <w:tc>
          <w:tcPr>
            <w:tcW w:w="2986" w:type="dxa"/>
            <w:tcBorders>
              <w:top w:val="nil"/>
              <w:left w:val="nil"/>
              <w:bottom w:val="nil"/>
              <w:right w:val="nil"/>
            </w:tcBorders>
            <w:vAlign w:val="center"/>
          </w:tcPr>
          <w:p w14:paraId="52E2A96A">
            <w:pPr>
              <w:spacing w:line="288" w:lineRule="auto"/>
              <w:jc w:val="left"/>
            </w:pPr>
            <w:r>
              <w:rPr>
                <w:rFonts w:ascii="宋体" w:hAnsi="宋体" w:eastAsia="宋体"/>
                <w:b w:val="0"/>
                <w:sz w:val="19"/>
              </w:rPr>
              <w:t>按机组编号生成趋势和分布</w:t>
            </w:r>
          </w:p>
        </w:tc>
        <w:tc>
          <w:tcPr>
            <w:tcW w:w="2986" w:type="dxa"/>
            <w:tcBorders>
              <w:top w:val="nil"/>
              <w:left w:val="nil"/>
              <w:bottom w:val="nil"/>
              <w:right w:val="nil"/>
            </w:tcBorders>
            <w:vAlign w:val="center"/>
          </w:tcPr>
          <w:p w14:paraId="00A4BD1F">
            <w:pPr>
              <w:spacing w:line="288" w:lineRule="auto"/>
              <w:jc w:val="center"/>
            </w:pPr>
            <w:r>
              <w:rPr>
                <w:rFonts w:ascii="宋体" w:hAnsi="宋体" w:eastAsia="宋体"/>
                <w:b w:val="0"/>
                <w:sz w:val="19"/>
              </w:rPr>
              <w:t>机组差异更明显</w:t>
            </w:r>
          </w:p>
        </w:tc>
      </w:tr>
      <w:tr w14:paraId="7089A647">
        <w:tblPrEx>
          <w:tblCellMar>
            <w:top w:w="0" w:type="dxa"/>
            <w:left w:w="108" w:type="dxa"/>
            <w:bottom w:w="0" w:type="dxa"/>
            <w:right w:w="108" w:type="dxa"/>
          </w:tblCellMar>
        </w:tblPrEx>
        <w:tc>
          <w:tcPr>
            <w:tcW w:w="2986" w:type="dxa"/>
            <w:tcBorders>
              <w:top w:val="nil"/>
              <w:left w:val="nil"/>
              <w:bottom w:val="nil"/>
              <w:right w:val="nil"/>
            </w:tcBorders>
            <w:vAlign w:val="center"/>
          </w:tcPr>
          <w:p w14:paraId="5B05AFE0">
            <w:pPr>
              <w:spacing w:line="288" w:lineRule="auto"/>
              <w:jc w:val="center"/>
            </w:pPr>
            <w:r>
              <w:rPr>
                <w:rFonts w:ascii="宋体" w:hAnsi="宋体" w:eastAsia="宋体"/>
                <w:b w:val="0"/>
                <w:sz w:val="19"/>
              </w:rPr>
              <w:t>报告内容过多</w:t>
            </w:r>
          </w:p>
        </w:tc>
        <w:tc>
          <w:tcPr>
            <w:tcW w:w="2986" w:type="dxa"/>
            <w:tcBorders>
              <w:top w:val="nil"/>
              <w:left w:val="nil"/>
              <w:bottom w:val="nil"/>
              <w:right w:val="nil"/>
            </w:tcBorders>
            <w:vAlign w:val="center"/>
          </w:tcPr>
          <w:p w14:paraId="6F12AB7B">
            <w:pPr>
              <w:spacing w:line="288" w:lineRule="auto"/>
              <w:jc w:val="center"/>
            </w:pPr>
            <w:r>
              <w:rPr>
                <w:rFonts w:ascii="宋体" w:hAnsi="宋体" w:eastAsia="宋体"/>
                <w:b w:val="0"/>
                <w:sz w:val="19"/>
              </w:rPr>
              <w:t>仅保留关键健康数据</w:t>
            </w:r>
          </w:p>
        </w:tc>
        <w:tc>
          <w:tcPr>
            <w:tcW w:w="2986" w:type="dxa"/>
            <w:tcBorders>
              <w:top w:val="nil"/>
              <w:left w:val="nil"/>
              <w:bottom w:val="nil"/>
              <w:right w:val="nil"/>
            </w:tcBorders>
            <w:vAlign w:val="center"/>
          </w:tcPr>
          <w:p w14:paraId="124A1A87">
            <w:pPr>
              <w:spacing w:line="288" w:lineRule="auto"/>
              <w:jc w:val="center"/>
            </w:pPr>
            <w:r>
              <w:rPr>
                <w:rFonts w:ascii="宋体" w:hAnsi="宋体" w:eastAsia="宋体"/>
                <w:b w:val="0"/>
                <w:sz w:val="19"/>
              </w:rPr>
              <w:t>导出内容更贴近运维报告</w:t>
            </w:r>
          </w:p>
        </w:tc>
      </w:tr>
      <w:tr w14:paraId="4DDD8174">
        <w:tblPrEx>
          <w:tblCellMar>
            <w:top w:w="0" w:type="dxa"/>
            <w:left w:w="108" w:type="dxa"/>
            <w:bottom w:w="0" w:type="dxa"/>
            <w:right w:w="108" w:type="dxa"/>
          </w:tblCellMar>
        </w:tblPrEx>
        <w:tc>
          <w:tcPr>
            <w:tcW w:w="2986" w:type="dxa"/>
            <w:tcBorders>
              <w:top w:val="nil"/>
              <w:left w:val="nil"/>
              <w:bottom w:val="single" w:color="000000" w:sz="12" w:space="0"/>
              <w:right w:val="nil"/>
            </w:tcBorders>
            <w:vAlign w:val="center"/>
          </w:tcPr>
          <w:p w14:paraId="38134779">
            <w:pPr>
              <w:spacing w:line="288" w:lineRule="auto"/>
              <w:jc w:val="left"/>
            </w:pPr>
            <w:r>
              <w:rPr>
                <w:rFonts w:ascii="宋体" w:hAnsi="宋体" w:eastAsia="宋体"/>
                <w:b w:val="0"/>
                <w:sz w:val="19"/>
              </w:rPr>
              <w:t>通知和参数页面布局不合理</w:t>
            </w:r>
          </w:p>
        </w:tc>
        <w:tc>
          <w:tcPr>
            <w:tcW w:w="2986" w:type="dxa"/>
            <w:tcBorders>
              <w:top w:val="nil"/>
              <w:left w:val="nil"/>
              <w:bottom w:val="single" w:color="000000" w:sz="12" w:space="0"/>
              <w:right w:val="nil"/>
            </w:tcBorders>
            <w:vAlign w:val="center"/>
          </w:tcPr>
          <w:p w14:paraId="6FA93092">
            <w:pPr>
              <w:spacing w:line="288" w:lineRule="auto"/>
              <w:jc w:val="center"/>
            </w:pPr>
            <w:r>
              <w:rPr>
                <w:rFonts w:ascii="宋体" w:hAnsi="宋体" w:eastAsia="宋体"/>
                <w:b w:val="0"/>
                <w:sz w:val="19"/>
              </w:rPr>
              <w:t>调整布局和已读交互</w:t>
            </w:r>
          </w:p>
        </w:tc>
        <w:tc>
          <w:tcPr>
            <w:tcW w:w="2986" w:type="dxa"/>
            <w:tcBorders>
              <w:top w:val="nil"/>
              <w:left w:val="nil"/>
              <w:bottom w:val="single" w:color="000000" w:sz="12" w:space="0"/>
              <w:right w:val="nil"/>
            </w:tcBorders>
            <w:vAlign w:val="center"/>
          </w:tcPr>
          <w:p w14:paraId="2B0065B2">
            <w:pPr>
              <w:spacing w:line="288" w:lineRule="auto"/>
              <w:jc w:val="center"/>
            </w:pPr>
            <w:r>
              <w:rPr>
                <w:rFonts w:ascii="宋体" w:hAnsi="宋体" w:eastAsia="宋体"/>
                <w:b w:val="0"/>
                <w:sz w:val="19"/>
              </w:rPr>
              <w:t>页面可用性提升</w:t>
            </w:r>
          </w:p>
        </w:tc>
      </w:tr>
    </w:tbl>
    <w:p w14:paraId="54410274"/>
    <w:p w14:paraId="110C9251">
      <w:pPr>
        <w:spacing w:before="240" w:after="120"/>
      </w:pPr>
      <w:r>
        <w:rPr>
          <w:rFonts w:ascii="黑体" w:hAnsi="黑体" w:eastAsia="黑体"/>
          <w:b/>
          <w:sz w:val="28"/>
        </w:rPr>
        <w:t>4.5 前端展示效果</w:t>
      </w:r>
    </w:p>
    <w:p w14:paraId="1AA300A6">
      <w:pPr>
        <w:spacing w:after="0" w:line="360" w:lineRule="auto"/>
        <w:ind w:firstLine="420"/>
        <w:jc w:val="both"/>
      </w:pPr>
      <w:r>
        <w:rPr>
          <w:rFonts w:ascii="宋体" w:hAnsi="宋体" w:eastAsia="宋体"/>
          <w:b w:val="0"/>
          <w:sz w:val="21"/>
        </w:rPr>
        <w:t>系统前端展示强调工程监控风格，避免过度装饰。风场总览采用多机组卡片布局，便于快速查看运行状态；单机详情采用左侧温度寿命、中部机舱模型、右侧状态码和集群对标的布局；故障分析页面通过趋势图、类型分布和严重程度分布展示故障情况。整体页面能够满足毕业设计演示和运维原型展示需求。</w:t>
      </w:r>
    </w:p>
    <w:p w14:paraId="2626DEE2">
      <w:pPr>
        <w:spacing w:after="0" w:line="360" w:lineRule="auto"/>
        <w:ind w:firstLine="420"/>
        <w:jc w:val="both"/>
      </w:pPr>
      <w:r>
        <w:rPr>
          <w:rFonts w:ascii="宋体" w:hAnsi="宋体" w:eastAsia="宋体"/>
          <w:b w:val="0"/>
          <w:sz w:val="21"/>
        </w:rPr>
        <w:t>与普通管理系统界面相比，风电运维系统更强调数据密度、状态颜色和趋势对比。本文系统在配色上采用深色监控风格，在关键指标卡片中使用阴影和悬停效果增强层次感，在故障图表中突出严重程度和故障类型，使用户能够较快识别重点信息。</w:t>
      </w:r>
    </w:p>
    <w:p w14:paraId="0D4387D1">
      <w:r>
        <w:br w:type="page"/>
      </w:r>
    </w:p>
    <w:p w14:paraId="769B7E7F">
      <w:pPr>
        <w:spacing w:after="240"/>
        <w:jc w:val="center"/>
      </w:pPr>
      <w:r>
        <w:rPr>
          <w:rFonts w:ascii="黑体" w:hAnsi="黑体" w:eastAsia="黑体"/>
          <w:b/>
          <w:sz w:val="32"/>
        </w:rPr>
        <w:t>第5章 结论与展望</w:t>
      </w:r>
    </w:p>
    <w:p w14:paraId="08FF0E86">
      <w:pPr>
        <w:spacing w:before="240" w:after="120"/>
      </w:pPr>
      <w:r>
        <w:rPr>
          <w:rFonts w:ascii="黑体" w:hAnsi="黑体" w:eastAsia="黑体"/>
          <w:b/>
          <w:sz w:val="28"/>
        </w:rPr>
        <w:t>5.1 研究结论</w:t>
      </w:r>
    </w:p>
    <w:p w14:paraId="38743ED3">
      <w:pPr>
        <w:spacing w:after="0" w:line="360" w:lineRule="auto"/>
        <w:ind w:firstLine="420"/>
        <w:jc w:val="both"/>
      </w:pPr>
      <w:r>
        <w:rPr>
          <w:rFonts w:ascii="宋体" w:hAnsi="宋体" w:eastAsia="宋体"/>
          <w:b w:val="0"/>
          <w:sz w:val="21"/>
        </w:rPr>
        <w:t>本文围绕华锐SL1500型双馈式风机齿轮箱智能健康管理系统开展研究，完成了齿轮箱故障机理分析、数据接入方案设计、M-IALO-SVR油温残差预测方法设计、健康评分与RUL评估方法设计以及Web系统开发。系统能够实现风场总览、单机详情、实时监测、故障诊断、故障数据管理、健康评估报告和AI专家问答等功能。</w:t>
      </w:r>
    </w:p>
    <w:p w14:paraId="4C6AC4C5">
      <w:pPr>
        <w:spacing w:after="0" w:line="360" w:lineRule="auto"/>
        <w:ind w:firstLine="420"/>
        <w:jc w:val="both"/>
      </w:pPr>
      <w:r>
        <w:rPr>
          <w:rFonts w:ascii="宋体" w:hAnsi="宋体" w:eastAsia="宋体"/>
          <w:b w:val="0"/>
          <w:sz w:val="21"/>
        </w:rPr>
        <w:t>通过系统实现和测试可以看出，本文所设计的平台能够较好地完成风电场智能运维原型展示。风场总览能够直观反映多台机组运行状态；单机详情能够展示关键运行参数和部件状态；故障分析能够从趋势、类型和严重程度多个角度描述风险；健康评估报告能够将复杂数据整理为运维人员可读的结论。</w:t>
      </w:r>
    </w:p>
    <w:p w14:paraId="3DEF66C9">
      <w:pPr>
        <w:spacing w:after="0" w:line="360" w:lineRule="auto"/>
        <w:ind w:firstLine="420"/>
        <w:jc w:val="both"/>
      </w:pPr>
      <w:r>
        <w:rPr>
          <w:rFonts w:ascii="宋体" w:hAnsi="宋体" w:eastAsia="宋体"/>
          <w:b w:val="0"/>
          <w:sz w:val="21"/>
        </w:rPr>
        <w:t>本文将油温残差预测、振动特征分析和健康评分结合起来，形成了较完整的齿轮箱健康评估流程。虽然系统目前主要采用模拟数据验证，但模块划分和接口设计已经为真实风场数据接入预留空间，后续可进一步替换数据源和模型参数。</w:t>
      </w:r>
    </w:p>
    <w:p w14:paraId="660CB59B">
      <w:pPr>
        <w:spacing w:before="240" w:after="120"/>
      </w:pPr>
      <w:r>
        <w:rPr>
          <w:rFonts w:ascii="黑体" w:hAnsi="黑体" w:eastAsia="黑体"/>
          <w:b/>
          <w:sz w:val="28"/>
        </w:rPr>
        <w:t>5.2 存在的问题与不足</w:t>
      </w:r>
    </w:p>
    <w:p w14:paraId="1D93A491">
      <w:pPr>
        <w:spacing w:after="0" w:line="360" w:lineRule="auto"/>
        <w:ind w:firstLine="420"/>
        <w:jc w:val="both"/>
      </w:pPr>
      <w:r>
        <w:rPr>
          <w:rFonts w:ascii="宋体" w:hAnsi="宋体" w:eastAsia="宋体"/>
          <w:b w:val="0"/>
          <w:sz w:val="21"/>
        </w:rPr>
        <w:t>本文系统目前仍以模拟数据和规则模型为主，真实风电场数据接入和真实故障样本验证仍需进一步开展。M-IALO-SVR模型在论文中完成了方法设计和系统预留，但仍需要基于真实历史数据进行训练、调参和评价。此外，系统的工单闭环、权限审计和模型解释能力仍可进一步增强。</w:t>
      </w:r>
    </w:p>
    <w:p w14:paraId="4C2B22E7">
      <w:pPr>
        <w:spacing w:after="0" w:line="360" w:lineRule="auto"/>
        <w:ind w:firstLine="420"/>
        <w:jc w:val="both"/>
      </w:pPr>
      <w:r>
        <w:rPr>
          <w:rFonts w:ascii="宋体" w:hAnsi="宋体" w:eastAsia="宋体"/>
          <w:b w:val="0"/>
          <w:sz w:val="21"/>
        </w:rPr>
        <w:t>另一个不足是系统对复杂工况下故障耦合问题考虑还不够充分。实际风机齿轮箱故障往往不是单一因素引起的，油温、振动、油液和报警之间可能存在复杂关系。例如冷却系统效率下降可能导致油温升高，而油温升高又会加速润滑油劣化和轴承磨损。后续需要通过更多真实样本分析这些关联关系。</w:t>
      </w:r>
    </w:p>
    <w:p w14:paraId="26D30243">
      <w:pPr>
        <w:spacing w:after="0" w:line="360" w:lineRule="auto"/>
        <w:ind w:firstLine="420"/>
        <w:jc w:val="both"/>
      </w:pPr>
      <w:r>
        <w:rPr>
          <w:rFonts w:ascii="宋体" w:hAnsi="宋体" w:eastAsia="宋体"/>
          <w:b w:val="0"/>
          <w:sz w:val="21"/>
        </w:rPr>
        <w:t>此外，当前系统的模型评价指标还不够丰富。正式研究中应使用MAE、RMSE、R2、准确率、召回率、F1值、混淆矩阵等指标全面评估模型效果，并对不同故障类型分别统计识别效果。</w:t>
      </w:r>
    </w:p>
    <w:p w14:paraId="75E37A46">
      <w:pPr>
        <w:spacing w:before="240" w:after="120"/>
      </w:pPr>
      <w:r>
        <w:rPr>
          <w:rFonts w:ascii="黑体" w:hAnsi="黑体" w:eastAsia="黑体"/>
          <w:b/>
          <w:sz w:val="28"/>
        </w:rPr>
        <w:t>5.3 后续研究展望</w:t>
      </w:r>
    </w:p>
    <w:p w14:paraId="50A47DDA">
      <w:pPr>
        <w:spacing w:after="0" w:line="360" w:lineRule="auto"/>
        <w:ind w:firstLine="420"/>
        <w:jc w:val="both"/>
      </w:pPr>
      <w:r>
        <w:rPr>
          <w:rFonts w:ascii="宋体" w:hAnsi="宋体" w:eastAsia="宋体"/>
          <w:b w:val="0"/>
          <w:sz w:val="21"/>
        </w:rPr>
        <w:t>后续研究可从三个方面展开：第一，接入真实SCADA、PLC、CMS和油液监测数据，建立标准化样本库；第二，利用真实故障案例验证油温残差模型、故障诊断模型和健康评分规则；第三，将诊断结果与检修工单系统联动，实现从异常识别、检修建议、现场处理到复测验收的闭环管理。</w:t>
      </w:r>
    </w:p>
    <w:p w14:paraId="4BB4F99E">
      <w:pPr>
        <w:spacing w:after="0" w:line="360" w:lineRule="auto"/>
        <w:ind w:firstLine="420"/>
        <w:jc w:val="both"/>
      </w:pPr>
      <w:r>
        <w:rPr>
          <w:rFonts w:ascii="宋体" w:hAnsi="宋体" w:eastAsia="宋体"/>
          <w:b w:val="0"/>
          <w:sz w:val="21"/>
        </w:rPr>
        <w:t>在数据层面，后续可建立统一的数据字典和数据质量评价体系，对缺失、延迟、异常跳变和传感器离线进行自动标记。在模型层面，可继续比较SVR、随机森林、XGBoost、LSTM和Transformer等方法在油温预测和故障识别中的效果。在系统层面，可增加权限审计、操作日志、报表批量生成和移动端适配功能。</w:t>
      </w:r>
    </w:p>
    <w:p w14:paraId="401325A4">
      <w:pPr>
        <w:spacing w:after="0" w:line="360" w:lineRule="auto"/>
        <w:ind w:firstLine="420"/>
        <w:jc w:val="both"/>
      </w:pPr>
      <w:r>
        <w:rPr>
          <w:rFonts w:ascii="宋体" w:hAnsi="宋体" w:eastAsia="宋体"/>
          <w:b w:val="0"/>
          <w:sz w:val="21"/>
        </w:rPr>
        <w:t>随着真实风电场数据不断积累，系统可以逐步从演示型原型发展为运维辅助平台。其最终目标是帮助风电场实现设备状态透明化、故障诊断智能化和检修决策精细化，从而提升机组可利用率并降低运维成本。</w:t>
      </w:r>
    </w:p>
    <w:p w14:paraId="6A36AA14">
      <w:r>
        <w:br w:type="page"/>
      </w:r>
    </w:p>
    <w:p w14:paraId="241310AE">
      <w:pPr>
        <w:spacing w:after="240"/>
        <w:jc w:val="center"/>
      </w:pPr>
      <w:r>
        <w:rPr>
          <w:rFonts w:ascii="黑体" w:hAnsi="黑体" w:eastAsia="黑体"/>
          <w:b/>
          <w:sz w:val="32"/>
        </w:rPr>
        <w:t>参考文献</w:t>
      </w:r>
    </w:p>
    <w:p w14:paraId="01DBCE92">
      <w:pPr>
        <w:spacing w:after="0" w:line="360" w:lineRule="auto"/>
        <w:jc w:val="both"/>
      </w:pPr>
      <w:r>
        <w:rPr>
          <w:rFonts w:ascii="宋体" w:hAnsi="宋体" w:eastAsia="宋体"/>
          <w:b w:val="0"/>
          <w:sz w:val="21"/>
        </w:rPr>
        <w:t>[1] IEC 61400-25. Communications for monitoring and control of wind power plants[S]. International Electrotechnical Commission.</w:t>
      </w:r>
    </w:p>
    <w:p w14:paraId="3B913DAA">
      <w:pPr>
        <w:spacing w:after="0" w:line="360" w:lineRule="auto"/>
        <w:jc w:val="both"/>
      </w:pPr>
      <w:r>
        <w:rPr>
          <w:rFonts w:ascii="宋体" w:hAnsi="宋体" w:eastAsia="宋体"/>
          <w:b w:val="0"/>
          <w:sz w:val="21"/>
        </w:rPr>
        <w:t>[2] IEC 61400-1. Wind energy generation systems - Design requirements[S]. International Electrotechnical Commission.</w:t>
      </w:r>
    </w:p>
    <w:p w14:paraId="2183771D">
      <w:pPr>
        <w:spacing w:after="0" w:line="360" w:lineRule="auto"/>
        <w:jc w:val="both"/>
      </w:pPr>
      <w:r>
        <w:rPr>
          <w:rFonts w:ascii="宋体" w:hAnsi="宋体" w:eastAsia="宋体"/>
          <w:b w:val="0"/>
          <w:sz w:val="21"/>
        </w:rPr>
        <w:t>[3] ISO 20816-1. Mechanical vibration - Measurement and evaluation of machine vibration[S]. International Organization for Standardization.</w:t>
      </w:r>
    </w:p>
    <w:p w14:paraId="4D115BB7">
      <w:pPr>
        <w:spacing w:after="0" w:line="360" w:lineRule="auto"/>
        <w:jc w:val="both"/>
      </w:pPr>
      <w:r>
        <w:rPr>
          <w:rFonts w:ascii="宋体" w:hAnsi="宋体" w:eastAsia="宋体"/>
          <w:b w:val="0"/>
          <w:sz w:val="21"/>
        </w:rPr>
        <w:t>[4] GB/T 18451.1 风力发电机组 设计要求[S].</w:t>
      </w:r>
    </w:p>
    <w:p w14:paraId="6289C7E2">
      <w:pPr>
        <w:spacing w:after="0" w:line="360" w:lineRule="auto"/>
        <w:jc w:val="both"/>
      </w:pPr>
      <w:r>
        <w:rPr>
          <w:rFonts w:ascii="宋体" w:hAnsi="宋体" w:eastAsia="宋体"/>
          <w:b w:val="0"/>
          <w:sz w:val="21"/>
        </w:rPr>
        <w:t>[5] Vapnik V N. The Nature of Statistical Learning Theory[M]. New York: Springer, 1995.</w:t>
      </w:r>
    </w:p>
    <w:p w14:paraId="0B8FFDDB">
      <w:pPr>
        <w:spacing w:after="0" w:line="360" w:lineRule="auto"/>
        <w:jc w:val="both"/>
      </w:pPr>
      <w:r>
        <w:rPr>
          <w:rFonts w:ascii="宋体" w:hAnsi="宋体" w:eastAsia="宋体"/>
          <w:b w:val="0"/>
          <w:sz w:val="21"/>
        </w:rPr>
        <w:t>[6] Bishop C M. Pattern Recognition and Machine Learning[M]. New York: Springer, 2006.</w:t>
      </w:r>
    </w:p>
    <w:p w14:paraId="703808F3">
      <w:pPr>
        <w:spacing w:after="0" w:line="360" w:lineRule="auto"/>
        <w:jc w:val="both"/>
      </w:pPr>
      <w:r>
        <w:rPr>
          <w:rFonts w:ascii="宋体" w:hAnsi="宋体" w:eastAsia="宋体"/>
          <w:b w:val="0"/>
          <w:sz w:val="21"/>
        </w:rPr>
        <w:t>[7] Randall R B. Vibration-based Condition Monitoring[M]. Chichester: John Wiley &amp; Sons, 2011.</w:t>
      </w:r>
    </w:p>
    <w:p w14:paraId="62F2F5BE">
      <w:pPr>
        <w:spacing w:after="0" w:line="360" w:lineRule="auto"/>
        <w:jc w:val="both"/>
      </w:pPr>
      <w:r>
        <w:rPr>
          <w:rFonts w:ascii="宋体" w:hAnsi="宋体" w:eastAsia="宋体"/>
          <w:b w:val="0"/>
          <w:sz w:val="21"/>
        </w:rPr>
        <w:t>[8] Jardine A K S, Lin D, Banjevic D. A review on machinery diagnostics and prognostics implementing condition-based maintenance[J]. Mechanical Systems and Signal Processing, 2006, 20(7): 1483-1510.</w:t>
      </w:r>
    </w:p>
    <w:p w14:paraId="0C82ACF6">
      <w:pPr>
        <w:spacing w:after="0" w:line="360" w:lineRule="auto"/>
        <w:jc w:val="both"/>
      </w:pPr>
      <w:r>
        <w:rPr>
          <w:rFonts w:ascii="宋体" w:hAnsi="宋体" w:eastAsia="宋体"/>
          <w:b w:val="0"/>
          <w:sz w:val="21"/>
        </w:rPr>
        <w:t>[9] Lei Y, Li N, Guo L, et al. Machinery health prognostics: A systematic review from data acquisition to RUL prediction[J]. Mechanical Systems and Signal Processing, 2018, 104: 799-834.</w:t>
      </w:r>
    </w:p>
    <w:p w14:paraId="225E2FF1">
      <w:pPr>
        <w:spacing w:after="0" w:line="360" w:lineRule="auto"/>
        <w:jc w:val="both"/>
      </w:pPr>
      <w:r>
        <w:rPr>
          <w:rFonts w:ascii="宋体" w:hAnsi="宋体" w:eastAsia="宋体"/>
          <w:b w:val="0"/>
          <w:sz w:val="21"/>
        </w:rPr>
        <w:t>[10] Hameed Z, Hong Y S, Cho Y M, et al. Condition monitoring and fault detection of wind turbines and related algorithms: A review[J]. Renewable and Sustainable Energy Reviews, 2009, 13(1): 1-39.</w:t>
      </w:r>
    </w:p>
    <w:p w14:paraId="21B4657F">
      <w:pPr>
        <w:spacing w:after="0" w:line="360" w:lineRule="auto"/>
        <w:jc w:val="both"/>
      </w:pPr>
      <w:r>
        <w:rPr>
          <w:rFonts w:ascii="宋体" w:hAnsi="宋体" w:eastAsia="宋体"/>
          <w:b w:val="0"/>
          <w:sz w:val="21"/>
        </w:rPr>
        <w:t>[11] Kusiak A, Li W. The prediction and diagnosis of wind turbine faults[J]. Renewable Energy, 2011, 36(1): 16-23.</w:t>
      </w:r>
    </w:p>
    <w:p w14:paraId="0BE59564">
      <w:pPr>
        <w:spacing w:after="0" w:line="360" w:lineRule="auto"/>
        <w:jc w:val="both"/>
      </w:pPr>
      <w:r>
        <w:rPr>
          <w:rFonts w:ascii="宋体" w:hAnsi="宋体" w:eastAsia="宋体"/>
          <w:b w:val="0"/>
          <w:sz w:val="21"/>
        </w:rPr>
        <w:t>[12] Qiao W, Lu D. A survey on wind turbine condition monitoring and fault diagnosis - Part I: Components and subsystems[J]. IEEE Transactions on Industrial Electronics, 2015, 62(10): 6536-6545.</w:t>
      </w:r>
    </w:p>
    <w:p w14:paraId="070187FB">
      <w:r>
        <w:br w:type="page"/>
      </w:r>
    </w:p>
    <w:p w14:paraId="5D6EE6C9">
      <w:pPr>
        <w:spacing w:after="240"/>
        <w:jc w:val="center"/>
      </w:pPr>
      <w:r>
        <w:rPr>
          <w:rFonts w:ascii="黑体" w:hAnsi="黑体" w:eastAsia="黑体"/>
          <w:b/>
          <w:sz w:val="32"/>
        </w:rPr>
        <w:t>致谢</w:t>
      </w:r>
    </w:p>
    <w:p w14:paraId="600C7FC8">
      <w:pPr>
        <w:spacing w:after="0" w:line="360" w:lineRule="auto"/>
        <w:ind w:firstLine="420"/>
        <w:jc w:val="both"/>
      </w:pPr>
      <w:r>
        <w:rPr>
          <w:rFonts w:ascii="宋体" w:hAnsi="宋体" w:eastAsia="宋体"/>
          <w:b w:val="0"/>
          <w:sz w:val="21"/>
        </w:rPr>
        <w:t>本毕业设计从选题、需求分析、系统设计到论文撰写，得到了指导教师的悉心指导和同学们的帮助。在系统开发过程中，本人进一步学习了Python Web开发、数据分析、故障诊断、前端可视化和文档写作等知识。感谢指导教师在研究方向、系统功能和论文结构方面提出的宝贵意见，感谢同学在测试和问题反馈中的支持。由于本人水平有限，论文和系统仍存在不足之处，恳请各位老师批评指正。</w:t>
      </w:r>
    </w:p>
    <w:p w14:paraId="1C32225A">
      <w:r>
        <w:br w:type="page"/>
      </w:r>
    </w:p>
    <w:p w14:paraId="630FC11A">
      <w:pPr>
        <w:spacing w:after="240"/>
        <w:jc w:val="center"/>
      </w:pPr>
      <w:r>
        <w:rPr>
          <w:rFonts w:ascii="黑体" w:hAnsi="黑体" w:eastAsia="黑体"/>
          <w:b/>
          <w:sz w:val="32"/>
        </w:rPr>
        <w:t>附录</w:t>
      </w:r>
    </w:p>
    <w:p w14:paraId="6DFEFE9F">
      <w:pPr>
        <w:spacing w:before="240" w:after="120"/>
      </w:pPr>
      <w:r>
        <w:rPr>
          <w:rFonts w:ascii="黑体" w:hAnsi="黑体" w:eastAsia="黑体"/>
          <w:b/>
          <w:sz w:val="28"/>
        </w:rPr>
        <w:t>附录A 系统主要接口</w:t>
      </w:r>
    </w:p>
    <w:p w14:paraId="6D6730DD">
      <w:pPr>
        <w:jc w:val="center"/>
      </w:pPr>
      <w:r>
        <w:rPr>
          <w:rFonts w:ascii="黑体" w:hAnsi="黑体" w:eastAsia="黑体"/>
          <w:b/>
          <w:sz w:val="21"/>
        </w:rPr>
        <w:t>表A.1 后端主要接口</w:t>
      </w:r>
    </w:p>
    <w:tbl>
      <w:tblPr>
        <w:tblStyle w:val="11"/>
        <w:tblW w:w="0" w:type="auto"/>
        <w:tblInd w:w="0" w:type="dxa"/>
        <w:tblLayout w:type="autofit"/>
        <w:tblCellMar>
          <w:top w:w="0" w:type="dxa"/>
          <w:left w:w="108" w:type="dxa"/>
          <w:bottom w:w="0" w:type="dxa"/>
          <w:right w:w="108" w:type="dxa"/>
        </w:tblCellMar>
      </w:tblPr>
      <w:tblGrid>
        <w:gridCol w:w="4462"/>
        <w:gridCol w:w="4428"/>
      </w:tblGrid>
      <w:tr w14:paraId="161D11BB">
        <w:tblPrEx>
          <w:tblCellMar>
            <w:top w:w="0" w:type="dxa"/>
            <w:left w:w="108" w:type="dxa"/>
            <w:bottom w:w="0" w:type="dxa"/>
            <w:right w:w="108" w:type="dxa"/>
          </w:tblCellMar>
        </w:tblPrEx>
        <w:tc>
          <w:tcPr>
            <w:tcW w:w="4479" w:type="dxa"/>
            <w:tcBorders>
              <w:top w:val="single" w:color="000000" w:sz="12" w:space="0"/>
              <w:left w:val="nil"/>
              <w:bottom w:val="single" w:color="000000" w:sz="6" w:space="0"/>
              <w:right w:val="nil"/>
            </w:tcBorders>
            <w:vAlign w:val="center"/>
          </w:tcPr>
          <w:p w14:paraId="1A4DBC58">
            <w:pPr>
              <w:spacing w:line="288" w:lineRule="auto"/>
              <w:jc w:val="center"/>
            </w:pPr>
            <w:r>
              <w:rPr>
                <w:rFonts w:ascii="宋体" w:hAnsi="宋体" w:eastAsia="宋体"/>
                <w:b/>
                <w:sz w:val="19"/>
              </w:rPr>
              <w:t>接口</w:t>
            </w:r>
          </w:p>
        </w:tc>
        <w:tc>
          <w:tcPr>
            <w:tcW w:w="4479" w:type="dxa"/>
            <w:tcBorders>
              <w:top w:val="single" w:color="000000" w:sz="12" w:space="0"/>
              <w:left w:val="nil"/>
              <w:bottom w:val="single" w:color="000000" w:sz="6" w:space="0"/>
              <w:right w:val="nil"/>
            </w:tcBorders>
            <w:vAlign w:val="center"/>
          </w:tcPr>
          <w:p w14:paraId="153235BB">
            <w:pPr>
              <w:spacing w:line="288" w:lineRule="auto"/>
              <w:jc w:val="center"/>
            </w:pPr>
            <w:r>
              <w:rPr>
                <w:rFonts w:ascii="宋体" w:hAnsi="宋体" w:eastAsia="宋体"/>
                <w:b/>
                <w:sz w:val="19"/>
              </w:rPr>
              <w:t>功能</w:t>
            </w:r>
          </w:p>
        </w:tc>
      </w:tr>
      <w:tr w14:paraId="774B16F1">
        <w:tblPrEx>
          <w:tblCellMar>
            <w:top w:w="0" w:type="dxa"/>
            <w:left w:w="108" w:type="dxa"/>
            <w:bottom w:w="0" w:type="dxa"/>
            <w:right w:w="108" w:type="dxa"/>
          </w:tblCellMar>
        </w:tblPrEx>
        <w:tc>
          <w:tcPr>
            <w:tcW w:w="4479" w:type="dxa"/>
            <w:tcBorders>
              <w:top w:val="nil"/>
              <w:left w:val="nil"/>
              <w:bottom w:val="nil"/>
              <w:right w:val="nil"/>
            </w:tcBorders>
            <w:vAlign w:val="center"/>
          </w:tcPr>
          <w:p w14:paraId="577B1030">
            <w:pPr>
              <w:spacing w:line="288" w:lineRule="auto"/>
              <w:jc w:val="left"/>
            </w:pPr>
            <w:r>
              <w:rPr>
                <w:rFonts w:ascii="宋体" w:hAnsi="宋体" w:eastAsia="宋体"/>
                <w:b w:val="0"/>
                <w:sz w:val="19"/>
              </w:rPr>
              <w:t>/api/data/status</w:t>
            </w:r>
          </w:p>
        </w:tc>
        <w:tc>
          <w:tcPr>
            <w:tcW w:w="4479" w:type="dxa"/>
            <w:tcBorders>
              <w:top w:val="nil"/>
              <w:left w:val="nil"/>
              <w:bottom w:val="nil"/>
              <w:right w:val="nil"/>
            </w:tcBorders>
            <w:vAlign w:val="center"/>
          </w:tcPr>
          <w:p w14:paraId="7675A06A">
            <w:pPr>
              <w:spacing w:line="288" w:lineRule="auto"/>
              <w:jc w:val="left"/>
            </w:pPr>
            <w:r>
              <w:rPr>
                <w:rFonts w:ascii="宋体" w:hAnsi="宋体" w:eastAsia="宋体"/>
                <w:b w:val="0"/>
                <w:sz w:val="19"/>
              </w:rPr>
              <w:t>获取实时运行状态和数据质量</w:t>
            </w:r>
          </w:p>
        </w:tc>
      </w:tr>
      <w:tr w14:paraId="0014D04D">
        <w:tblPrEx>
          <w:tblCellMar>
            <w:top w:w="0" w:type="dxa"/>
            <w:left w:w="108" w:type="dxa"/>
            <w:bottom w:w="0" w:type="dxa"/>
            <w:right w:w="108" w:type="dxa"/>
          </w:tblCellMar>
        </w:tblPrEx>
        <w:tc>
          <w:tcPr>
            <w:tcW w:w="4479" w:type="dxa"/>
            <w:tcBorders>
              <w:top w:val="nil"/>
              <w:left w:val="nil"/>
              <w:bottom w:val="nil"/>
              <w:right w:val="nil"/>
            </w:tcBorders>
            <w:vAlign w:val="center"/>
          </w:tcPr>
          <w:p w14:paraId="51462958">
            <w:pPr>
              <w:spacing w:line="288" w:lineRule="auto"/>
              <w:jc w:val="left"/>
            </w:pPr>
            <w:r>
              <w:rPr>
                <w:rFonts w:ascii="宋体" w:hAnsi="宋体" w:eastAsia="宋体"/>
                <w:b w:val="0"/>
                <w:sz w:val="19"/>
              </w:rPr>
              <w:t>/api/data/vibration</w:t>
            </w:r>
          </w:p>
        </w:tc>
        <w:tc>
          <w:tcPr>
            <w:tcW w:w="4479" w:type="dxa"/>
            <w:tcBorders>
              <w:top w:val="nil"/>
              <w:left w:val="nil"/>
              <w:bottom w:val="nil"/>
              <w:right w:val="nil"/>
            </w:tcBorders>
            <w:vAlign w:val="center"/>
          </w:tcPr>
          <w:p w14:paraId="0CBDE154">
            <w:pPr>
              <w:spacing w:line="288" w:lineRule="auto"/>
              <w:jc w:val="center"/>
            </w:pPr>
            <w:r>
              <w:rPr>
                <w:rFonts w:ascii="宋体" w:hAnsi="宋体" w:eastAsia="宋体"/>
                <w:b w:val="0"/>
                <w:sz w:val="19"/>
              </w:rPr>
              <w:t>获取振动波形和包络数据</w:t>
            </w:r>
          </w:p>
        </w:tc>
      </w:tr>
      <w:tr w14:paraId="499B06ED">
        <w:tblPrEx>
          <w:tblCellMar>
            <w:top w:w="0" w:type="dxa"/>
            <w:left w:w="108" w:type="dxa"/>
            <w:bottom w:w="0" w:type="dxa"/>
            <w:right w:w="108" w:type="dxa"/>
          </w:tblCellMar>
        </w:tblPrEx>
        <w:tc>
          <w:tcPr>
            <w:tcW w:w="4479" w:type="dxa"/>
            <w:tcBorders>
              <w:top w:val="nil"/>
              <w:left w:val="nil"/>
              <w:bottom w:val="nil"/>
              <w:right w:val="nil"/>
            </w:tcBorders>
            <w:vAlign w:val="center"/>
          </w:tcPr>
          <w:p w14:paraId="1571DD1A">
            <w:pPr>
              <w:spacing w:line="288" w:lineRule="auto"/>
              <w:jc w:val="left"/>
            </w:pPr>
            <w:r>
              <w:rPr>
                <w:rFonts w:ascii="宋体" w:hAnsi="宋体" w:eastAsia="宋体"/>
                <w:b w:val="0"/>
                <w:sz w:val="19"/>
              </w:rPr>
              <w:t>/api/data/diagnosis</w:t>
            </w:r>
          </w:p>
        </w:tc>
        <w:tc>
          <w:tcPr>
            <w:tcW w:w="4479" w:type="dxa"/>
            <w:tcBorders>
              <w:top w:val="nil"/>
              <w:left w:val="nil"/>
              <w:bottom w:val="nil"/>
              <w:right w:val="nil"/>
            </w:tcBorders>
            <w:vAlign w:val="center"/>
          </w:tcPr>
          <w:p w14:paraId="37F9A773">
            <w:pPr>
              <w:spacing w:line="288" w:lineRule="auto"/>
              <w:jc w:val="center"/>
            </w:pPr>
            <w:r>
              <w:rPr>
                <w:rFonts w:ascii="宋体" w:hAnsi="宋体" w:eastAsia="宋体"/>
                <w:b w:val="0"/>
                <w:sz w:val="19"/>
              </w:rPr>
              <w:t>执行故障诊断</w:t>
            </w:r>
          </w:p>
        </w:tc>
      </w:tr>
      <w:tr w14:paraId="47306508">
        <w:tblPrEx>
          <w:tblCellMar>
            <w:top w:w="0" w:type="dxa"/>
            <w:left w:w="108" w:type="dxa"/>
            <w:bottom w:w="0" w:type="dxa"/>
            <w:right w:w="108" w:type="dxa"/>
          </w:tblCellMar>
        </w:tblPrEx>
        <w:tc>
          <w:tcPr>
            <w:tcW w:w="4479" w:type="dxa"/>
            <w:tcBorders>
              <w:top w:val="nil"/>
              <w:left w:val="nil"/>
              <w:bottom w:val="nil"/>
              <w:right w:val="nil"/>
            </w:tcBorders>
            <w:vAlign w:val="center"/>
          </w:tcPr>
          <w:p w14:paraId="3DB0520C">
            <w:pPr>
              <w:spacing w:line="288" w:lineRule="auto"/>
              <w:jc w:val="left"/>
            </w:pPr>
            <w:r>
              <w:rPr>
                <w:rFonts w:ascii="宋体" w:hAnsi="宋体" w:eastAsia="宋体"/>
                <w:b w:val="0"/>
                <w:sz w:val="19"/>
              </w:rPr>
              <w:t>/api/data/trend</w:t>
            </w:r>
          </w:p>
        </w:tc>
        <w:tc>
          <w:tcPr>
            <w:tcW w:w="4479" w:type="dxa"/>
            <w:tcBorders>
              <w:top w:val="nil"/>
              <w:left w:val="nil"/>
              <w:bottom w:val="nil"/>
              <w:right w:val="nil"/>
            </w:tcBorders>
            <w:vAlign w:val="center"/>
          </w:tcPr>
          <w:p w14:paraId="06537569">
            <w:pPr>
              <w:spacing w:line="288" w:lineRule="auto"/>
              <w:jc w:val="center"/>
            </w:pPr>
            <w:r>
              <w:rPr>
                <w:rFonts w:ascii="宋体" w:hAnsi="宋体" w:eastAsia="宋体"/>
                <w:b w:val="0"/>
                <w:sz w:val="19"/>
              </w:rPr>
              <w:t>获取故障趋势和分布统计</w:t>
            </w:r>
          </w:p>
        </w:tc>
      </w:tr>
      <w:tr w14:paraId="1E9AFBBE">
        <w:tblPrEx>
          <w:tblCellMar>
            <w:top w:w="0" w:type="dxa"/>
            <w:left w:w="108" w:type="dxa"/>
            <w:bottom w:w="0" w:type="dxa"/>
            <w:right w:w="108" w:type="dxa"/>
          </w:tblCellMar>
        </w:tblPrEx>
        <w:tc>
          <w:tcPr>
            <w:tcW w:w="4479" w:type="dxa"/>
            <w:tcBorders>
              <w:top w:val="nil"/>
              <w:left w:val="nil"/>
              <w:bottom w:val="nil"/>
              <w:right w:val="nil"/>
            </w:tcBorders>
            <w:vAlign w:val="center"/>
          </w:tcPr>
          <w:p w14:paraId="4DEF1DDD">
            <w:pPr>
              <w:spacing w:line="288" w:lineRule="auto"/>
              <w:jc w:val="left"/>
            </w:pPr>
            <w:r>
              <w:rPr>
                <w:rFonts w:ascii="宋体" w:hAnsi="宋体" w:eastAsia="宋体"/>
                <w:b w:val="0"/>
                <w:sz w:val="19"/>
              </w:rPr>
              <w:t>/api/windfarm/overview</w:t>
            </w:r>
          </w:p>
        </w:tc>
        <w:tc>
          <w:tcPr>
            <w:tcW w:w="4479" w:type="dxa"/>
            <w:tcBorders>
              <w:top w:val="nil"/>
              <w:left w:val="nil"/>
              <w:bottom w:val="nil"/>
              <w:right w:val="nil"/>
            </w:tcBorders>
            <w:vAlign w:val="center"/>
          </w:tcPr>
          <w:p w14:paraId="7024577A">
            <w:pPr>
              <w:spacing w:line="288" w:lineRule="auto"/>
              <w:jc w:val="center"/>
            </w:pPr>
            <w:r>
              <w:rPr>
                <w:rFonts w:ascii="宋体" w:hAnsi="宋体" w:eastAsia="宋体"/>
                <w:b w:val="0"/>
                <w:sz w:val="19"/>
              </w:rPr>
              <w:t>获取风场总览数据</w:t>
            </w:r>
          </w:p>
        </w:tc>
      </w:tr>
      <w:tr w14:paraId="40BF387D">
        <w:tblPrEx>
          <w:tblCellMar>
            <w:top w:w="0" w:type="dxa"/>
            <w:left w:w="108" w:type="dxa"/>
            <w:bottom w:w="0" w:type="dxa"/>
            <w:right w:w="108" w:type="dxa"/>
          </w:tblCellMar>
        </w:tblPrEx>
        <w:tc>
          <w:tcPr>
            <w:tcW w:w="4479" w:type="dxa"/>
            <w:tcBorders>
              <w:top w:val="nil"/>
              <w:left w:val="nil"/>
              <w:bottom w:val="nil"/>
              <w:right w:val="nil"/>
            </w:tcBorders>
            <w:vAlign w:val="center"/>
          </w:tcPr>
          <w:p w14:paraId="336086D6">
            <w:pPr>
              <w:spacing w:line="288" w:lineRule="auto"/>
              <w:jc w:val="left"/>
            </w:pPr>
            <w:r>
              <w:rPr>
                <w:rFonts w:ascii="宋体" w:hAnsi="宋体" w:eastAsia="宋体"/>
                <w:b w:val="0"/>
                <w:sz w:val="19"/>
              </w:rPr>
              <w:t>/api/windfarm/turbine/&lt;unit_id&gt;</w:t>
            </w:r>
          </w:p>
        </w:tc>
        <w:tc>
          <w:tcPr>
            <w:tcW w:w="4479" w:type="dxa"/>
            <w:tcBorders>
              <w:top w:val="nil"/>
              <w:left w:val="nil"/>
              <w:bottom w:val="nil"/>
              <w:right w:val="nil"/>
            </w:tcBorders>
            <w:vAlign w:val="center"/>
          </w:tcPr>
          <w:p w14:paraId="433A2BEF">
            <w:pPr>
              <w:spacing w:line="288" w:lineRule="auto"/>
              <w:jc w:val="center"/>
            </w:pPr>
            <w:r>
              <w:rPr>
                <w:rFonts w:ascii="宋体" w:hAnsi="宋体" w:eastAsia="宋体"/>
                <w:b w:val="0"/>
                <w:sz w:val="19"/>
              </w:rPr>
              <w:t>获取单机详情数据</w:t>
            </w:r>
          </w:p>
        </w:tc>
      </w:tr>
      <w:tr w14:paraId="6D818647">
        <w:tblPrEx>
          <w:tblCellMar>
            <w:top w:w="0" w:type="dxa"/>
            <w:left w:w="108" w:type="dxa"/>
            <w:bottom w:w="0" w:type="dxa"/>
            <w:right w:w="108" w:type="dxa"/>
          </w:tblCellMar>
        </w:tblPrEx>
        <w:tc>
          <w:tcPr>
            <w:tcW w:w="4479" w:type="dxa"/>
            <w:tcBorders>
              <w:top w:val="nil"/>
              <w:left w:val="nil"/>
              <w:bottom w:val="nil"/>
              <w:right w:val="nil"/>
            </w:tcBorders>
            <w:vAlign w:val="center"/>
          </w:tcPr>
          <w:p w14:paraId="4B302AE7">
            <w:pPr>
              <w:spacing w:line="288" w:lineRule="auto"/>
              <w:jc w:val="left"/>
            </w:pPr>
            <w:r>
              <w:rPr>
                <w:rFonts w:ascii="宋体" w:hAnsi="宋体" w:eastAsia="宋体"/>
                <w:b w:val="0"/>
                <w:sz w:val="19"/>
              </w:rPr>
              <w:t>/api/report/generate</w:t>
            </w:r>
          </w:p>
        </w:tc>
        <w:tc>
          <w:tcPr>
            <w:tcW w:w="4479" w:type="dxa"/>
            <w:tcBorders>
              <w:top w:val="nil"/>
              <w:left w:val="nil"/>
              <w:bottom w:val="nil"/>
              <w:right w:val="nil"/>
            </w:tcBorders>
            <w:vAlign w:val="center"/>
          </w:tcPr>
          <w:p w14:paraId="1E7995AE">
            <w:pPr>
              <w:spacing w:line="288" w:lineRule="auto"/>
              <w:jc w:val="center"/>
            </w:pPr>
            <w:r>
              <w:rPr>
                <w:rFonts w:ascii="宋体" w:hAnsi="宋体" w:eastAsia="宋体"/>
                <w:b w:val="0"/>
                <w:sz w:val="19"/>
              </w:rPr>
              <w:t>生成健康评估报告</w:t>
            </w:r>
          </w:p>
        </w:tc>
      </w:tr>
      <w:tr w14:paraId="444A507B">
        <w:tblPrEx>
          <w:tblCellMar>
            <w:top w:w="0" w:type="dxa"/>
            <w:left w:w="108" w:type="dxa"/>
            <w:bottom w:w="0" w:type="dxa"/>
            <w:right w:w="108" w:type="dxa"/>
          </w:tblCellMar>
        </w:tblPrEx>
        <w:tc>
          <w:tcPr>
            <w:tcW w:w="4479" w:type="dxa"/>
            <w:tcBorders>
              <w:top w:val="nil"/>
              <w:left w:val="nil"/>
              <w:bottom w:val="single" w:color="000000" w:sz="12" w:space="0"/>
              <w:right w:val="nil"/>
            </w:tcBorders>
            <w:vAlign w:val="center"/>
          </w:tcPr>
          <w:p w14:paraId="58DDDA74">
            <w:pPr>
              <w:spacing w:line="288" w:lineRule="auto"/>
              <w:jc w:val="center"/>
            </w:pPr>
            <w:r>
              <w:rPr>
                <w:rFonts w:ascii="宋体" w:hAnsi="宋体" w:eastAsia="宋体"/>
                <w:b w:val="0"/>
                <w:sz w:val="19"/>
              </w:rPr>
              <w:t>/api/qa/ask</w:t>
            </w:r>
          </w:p>
        </w:tc>
        <w:tc>
          <w:tcPr>
            <w:tcW w:w="4479" w:type="dxa"/>
            <w:tcBorders>
              <w:top w:val="nil"/>
              <w:left w:val="nil"/>
              <w:bottom w:val="single" w:color="000000" w:sz="12" w:space="0"/>
              <w:right w:val="nil"/>
            </w:tcBorders>
            <w:vAlign w:val="center"/>
          </w:tcPr>
          <w:p w14:paraId="22E9DB66">
            <w:pPr>
              <w:spacing w:line="288" w:lineRule="auto"/>
              <w:jc w:val="center"/>
            </w:pPr>
            <w:r>
              <w:rPr>
                <w:rFonts w:ascii="宋体" w:hAnsi="宋体" w:eastAsia="宋体"/>
                <w:b w:val="0"/>
                <w:sz w:val="19"/>
              </w:rPr>
              <w:t>执行AI专家问答</w:t>
            </w:r>
          </w:p>
        </w:tc>
      </w:tr>
    </w:tbl>
    <w:p w14:paraId="530A7749"/>
    <w:p w14:paraId="3C830386">
      <w:pPr>
        <w:spacing w:before="240" w:after="120"/>
      </w:pPr>
      <w:r>
        <w:rPr>
          <w:rFonts w:ascii="黑体" w:hAnsi="黑体" w:eastAsia="黑体"/>
          <w:b/>
          <w:sz w:val="28"/>
        </w:rPr>
        <w:t>附录B 风电场数据对接字段建议</w:t>
      </w:r>
    </w:p>
    <w:p w14:paraId="7F2376E9">
      <w:pPr>
        <w:spacing w:after="0" w:line="360" w:lineRule="auto"/>
        <w:ind w:firstLine="420"/>
        <w:jc w:val="both"/>
      </w:pPr>
      <w:r>
        <w:rPr>
          <w:rFonts w:ascii="宋体" w:hAnsi="宋体" w:eastAsia="宋体"/>
          <w:b w:val="0"/>
          <w:sz w:val="21"/>
        </w:rPr>
        <w:t>建议风电场提供机组编号、时间戳、运行状态、有功功率、风速、发电机转速、变桨角、偏航角、齿轮箱油温、高速轴承温度、振动RMS、油液NAS等级、报警码、停机原因和检修记录等字段。所有字段应明确单位、采样周期、数据来源和缺失值表示方式。</w:t>
      </w:r>
    </w:p>
    <w:sectPr>
      <w:pgSz w:w="11906" w:h="16838"/>
      <w:pgMar w:top="1417" w:right="1417" w:bottom="1247" w:left="1531" w:header="851" w:footer="992" w:gutter="284"/>
      <w:pgNumType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09785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7"/>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8"/>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19"/>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0"/>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5"/>
    <w:semiHidden/>
    <w:unhideWhenUsed/>
    <w:uiPriority w:val="99"/>
    <w:rPr>
      <w:sz w:val="18"/>
      <w:szCs w:val="18"/>
    </w:rPr>
  </w:style>
  <w:style w:type="paragraph" w:styleId="9">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3">
    <w:name w:val="页眉 字符"/>
    <w:basedOn w:val="12"/>
    <w:link w:val="10"/>
    <w:qFormat/>
    <w:uiPriority w:val="99"/>
    <w:rPr>
      <w:sz w:val="18"/>
      <w:szCs w:val="18"/>
    </w:rPr>
  </w:style>
  <w:style w:type="character" w:customStyle="1" w:styleId="14">
    <w:name w:val="页脚 字符"/>
    <w:basedOn w:val="12"/>
    <w:link w:val="9"/>
    <w:qFormat/>
    <w:uiPriority w:val="99"/>
    <w:rPr>
      <w:sz w:val="18"/>
      <w:szCs w:val="18"/>
    </w:rPr>
  </w:style>
  <w:style w:type="character" w:customStyle="1" w:styleId="15">
    <w:name w:val="批注框文本 字符"/>
    <w:basedOn w:val="12"/>
    <w:link w:val="8"/>
    <w:semiHidden/>
    <w:uiPriority w:val="99"/>
    <w:rPr>
      <w:rFonts w:ascii="Times New Roman" w:hAnsi="Times New Roman" w:eastAsia="宋体" w:cs="Times New Roman"/>
      <w:sz w:val="18"/>
      <w:szCs w:val="18"/>
    </w:rPr>
  </w:style>
  <w:style w:type="character" w:customStyle="1" w:styleId="16">
    <w:name w:val="标题 1 字符"/>
    <w:basedOn w:val="12"/>
    <w:link w:val="2"/>
    <w:qFormat/>
    <w:uiPriority w:val="0"/>
    <w:rPr>
      <w:rFonts w:ascii="黑体" w:hAnsi="宋体" w:eastAsia="黑体" w:cs="Times New Roman"/>
      <w:sz w:val="30"/>
      <w:szCs w:val="20"/>
    </w:rPr>
  </w:style>
  <w:style w:type="character" w:customStyle="1" w:styleId="17">
    <w:name w:val="标题 2 字符"/>
    <w:basedOn w:val="12"/>
    <w:link w:val="3"/>
    <w:qFormat/>
    <w:uiPriority w:val="0"/>
    <w:rPr>
      <w:rFonts w:ascii="黑体" w:hAnsi="黑体" w:eastAsia="黑体" w:cs="Times New Roman"/>
      <w:sz w:val="28"/>
      <w:szCs w:val="20"/>
    </w:rPr>
  </w:style>
  <w:style w:type="character" w:customStyle="1" w:styleId="18">
    <w:name w:val="标题 3 字符"/>
    <w:basedOn w:val="12"/>
    <w:link w:val="4"/>
    <w:qFormat/>
    <w:uiPriority w:val="0"/>
    <w:rPr>
      <w:rFonts w:ascii="黑体" w:hAnsi="黑体" w:eastAsia="黑体" w:cs="Times New Roman"/>
      <w:sz w:val="26"/>
      <w:szCs w:val="20"/>
    </w:rPr>
  </w:style>
  <w:style w:type="character" w:customStyle="1" w:styleId="19">
    <w:name w:val="标题 5 字符"/>
    <w:basedOn w:val="12"/>
    <w:link w:val="5"/>
    <w:qFormat/>
    <w:uiPriority w:val="0"/>
    <w:rPr>
      <w:rFonts w:ascii="黑体" w:hAnsi="黑体" w:eastAsia="黑体" w:cs="Times New Roman"/>
      <w:sz w:val="22"/>
      <w:szCs w:val="20"/>
    </w:rPr>
  </w:style>
  <w:style w:type="character" w:customStyle="1" w:styleId="20">
    <w:name w:val="标题 6 字符"/>
    <w:basedOn w:val="12"/>
    <w:link w:val="6"/>
    <w:qFormat/>
    <w:uiPriority w:val="9"/>
    <w:rPr>
      <w:rFonts w:ascii="Times New Roman" w:hAnsi="Times New Roman" w:cstheme="majorBidi"/>
      <w:bCs/>
      <w:kern w:val="0"/>
      <w:sz w:val="22"/>
      <w:szCs w:val="24"/>
    </w:rPr>
  </w:style>
  <w:style w:type="paragraph" w:styleId="21">
    <w:name w:val="Quote"/>
    <w:basedOn w:val="1"/>
    <w:next w:val="1"/>
    <w:link w:val="22"/>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2">
    <w:name w:val="引用 字符"/>
    <w:basedOn w:val="12"/>
    <w:link w:val="21"/>
    <w:qFormat/>
    <w:uiPriority w:val="29"/>
    <w:rPr>
      <w:rFonts w:ascii="Times New Roman" w:hAnsi="Times New Roman" w:cs="Times New Roman"/>
      <w:iCs/>
      <w:color w:val="000000" w:themeColor="text1"/>
      <w:kern w:val="0"/>
      <w14:textFill>
        <w14:solidFill>
          <w14:schemeClr w14:val="tx1"/>
        </w14:solidFill>
      </w14:textFill>
    </w:rPr>
  </w:style>
  <w:style w:type="paragraph" w:styleId="23">
    <w:name w:val="List Paragraph"/>
    <w:basedOn w:val="1"/>
    <w:qFormat/>
    <w:uiPriority w:val="34"/>
    <w:pPr>
      <w:ind w:firstLine="420" w:firstLineChars="200"/>
    </w:pPr>
  </w:style>
  <w:style w:type="paragraph" w:customStyle="1" w:styleId="24">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23</Pages>
  <Words>7105</Words>
  <Characters>9085</Characters>
  <Lines>20</Lines>
  <Paragraphs>5</Paragraphs>
  <TotalTime>187</TotalTime>
  <ScaleCrop>false</ScaleCrop>
  <LinksUpToDate>false</LinksUpToDate>
  <CharactersWithSpaces>9635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2026-05-08T09:26:46Z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2052-12.1.0.25865</vt:lpwstr>
  </property>
  <property fmtid="{D5CDD505-2E9C-101B-9397-08002B2CF9AE}" pid="4" name="ICV">
    <vt:lpwstr>248AFB20E1C54A4E838ADD02A25E906C_12</vt:lpwstr>
  </property>
</Properties>
</file>