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FB65E">
      <w:pPr>
        <w:spacing w:before="1440"/>
        <w:jc w:val="center"/>
        <w:rPr>
          <w:rFonts w:hint="eastAsia" w:ascii="黑体" w:hAnsi="黑体" w:eastAsia="黑体" w:cs="黑体"/>
          <w:color w:val="auto"/>
        </w:rPr>
      </w:pPr>
      <w:r>
        <w:rPr>
          <w:rFonts w:hint="eastAsia" w:ascii="黑体" w:hAnsi="黑体" w:eastAsia="黑体" w:cs="黑体"/>
          <w:b/>
          <w:color w:val="auto"/>
          <w:sz w:val="44"/>
        </w:rPr>
        <w:t>风电场数据对接与项目阶段成果</w:t>
      </w:r>
      <w:bookmarkStart w:id="0" w:name="_GoBack"/>
      <w:bookmarkEnd w:id="0"/>
      <w:r>
        <w:rPr>
          <w:rFonts w:hint="eastAsia" w:ascii="黑体" w:hAnsi="黑体" w:eastAsia="黑体" w:cs="黑体"/>
          <w:b/>
          <w:color w:val="auto"/>
          <w:sz w:val="44"/>
        </w:rPr>
        <w:t>说明</w:t>
      </w:r>
    </w:p>
    <w:p w14:paraId="00492E5B">
      <w:pPr>
        <w:jc w:val="center"/>
        <w:rPr>
          <w:rFonts w:hint="eastAsia" w:ascii="黑体" w:hAnsi="黑体" w:eastAsia="黑体" w:cs="黑体"/>
          <w:color w:val="auto"/>
        </w:rPr>
      </w:pPr>
      <w:r>
        <w:rPr>
          <w:rFonts w:hint="eastAsia" w:ascii="黑体" w:hAnsi="黑体" w:eastAsia="黑体" w:cs="黑体"/>
          <w:color w:val="auto"/>
          <w:sz w:val="26"/>
        </w:rPr>
        <w:t>华锐 SL1500 型双馈式风机齿轮箱智能健康管理系统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038F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40F71206">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文档用途</w:t>
            </w:r>
          </w:p>
        </w:tc>
        <w:tc>
          <w:tcPr>
            <w:tcW w:w="4759" w:type="dxa"/>
            <w:shd w:val="clear" w:color="auto" w:fill="FFFFFF" w:themeFill="background1"/>
            <w:vAlign w:val="center"/>
          </w:tcPr>
          <w:p w14:paraId="6A96B5A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风电场数据对接沟通、毕设阶段成果展示、研究方向说明</w:t>
            </w:r>
          </w:p>
        </w:tc>
      </w:tr>
      <w:tr w14:paraId="72B4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4C3B38D3">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系统对象</w:t>
            </w:r>
          </w:p>
        </w:tc>
        <w:tc>
          <w:tcPr>
            <w:tcW w:w="4759" w:type="dxa"/>
            <w:shd w:val="clear" w:color="auto" w:fill="FFFFFF" w:themeFill="background1"/>
            <w:vAlign w:val="center"/>
          </w:tcPr>
          <w:p w14:paraId="4B898C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SL1500 型双馈式风电机组齿轮箱及关键传动链部件</w:t>
            </w:r>
          </w:p>
        </w:tc>
      </w:tr>
      <w:tr w14:paraId="4AB1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53EDB2E6">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当前阶段</w:t>
            </w:r>
          </w:p>
        </w:tc>
        <w:tc>
          <w:tcPr>
            <w:tcW w:w="4759" w:type="dxa"/>
            <w:shd w:val="clear" w:color="auto" w:fill="FFFFFF" w:themeFill="background1"/>
            <w:vAlign w:val="center"/>
          </w:tcPr>
          <w:p w14:paraId="36C53CD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工程原型已完成，正在准备真实 SCADA/PLC/CMS 数据接入与现场验证</w:t>
            </w:r>
          </w:p>
        </w:tc>
      </w:tr>
      <w:tr w14:paraId="3260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7FA875DF">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生成日期</w:t>
            </w:r>
          </w:p>
        </w:tc>
        <w:tc>
          <w:tcPr>
            <w:tcW w:w="4759" w:type="dxa"/>
            <w:shd w:val="clear" w:color="auto" w:fill="FFFFFF" w:themeFill="background1"/>
            <w:vAlign w:val="center"/>
          </w:tcPr>
          <w:p w14:paraId="72FF04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2026 年 5 月 7 日</w:t>
            </w:r>
          </w:p>
        </w:tc>
      </w:tr>
    </w:tbl>
    <w:p w14:paraId="4F91B3C2">
      <w:pPr>
        <w:rPr>
          <w:rFonts w:hint="eastAsia" w:ascii="黑体" w:hAnsi="黑体" w:eastAsia="黑体" w:cs="黑体"/>
          <w:color w:val="auto"/>
        </w:rPr>
      </w:pPr>
      <w:r>
        <w:rPr>
          <w:rFonts w:hint="eastAsia" w:ascii="黑体" w:hAnsi="黑体" w:eastAsia="黑体" w:cs="黑体"/>
          <w:color w:val="auto"/>
        </w:rPr>
        <w:br w:type="page"/>
      </w:r>
    </w:p>
    <w:p w14:paraId="0732E18A">
      <w:pPr>
        <w:pStyle w:val="3"/>
        <w:rPr>
          <w:rFonts w:hint="eastAsia" w:ascii="黑体" w:hAnsi="黑体" w:eastAsia="黑体" w:cs="黑体"/>
          <w:color w:val="auto"/>
        </w:rPr>
      </w:pPr>
      <w:r>
        <w:rPr>
          <w:rFonts w:hint="eastAsia" w:ascii="黑体" w:hAnsi="黑体" w:eastAsia="黑体" w:cs="黑体"/>
          <w:color w:val="auto"/>
        </w:rPr>
        <w:t>一、项目背景与对接目标</w:t>
      </w:r>
    </w:p>
    <w:p w14:paraId="2E0C5E7F">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本项目面向风电场实际运维场景，围绕 SL1500 型双馈式风机齿轮箱健康管理展开。齿轮箱承担风轮低速大扭矩到发电机高速轴的传动转换，长期受交变载荷、风速波动、润滑状态变化和环境温度影响，容易出现齿面磨损、点蚀剥落、轴承损伤、油温异常和润滑油污染等问题。</w:t>
      </w:r>
    </w:p>
    <w:p w14:paraId="2C9C0B4A">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当前系统已完成工程原型开发，下一步需要与风电场 SCADA、PLC、CMS 或历史运行数据库对接，获取真实机组运行数据、故障记录和检修记录，用于验证模型效果、优化健康评分和形成可用于现场运维的诊断闭环。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2922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8" w:type="dxa"/>
            <w:shd w:val="clear" w:color="auto" w:fill="FFFFFF" w:themeFill="background1"/>
          </w:tcPr>
          <w:p w14:paraId="00507081">
            <w:pPr>
              <w:spacing w:after="60" w:line="240" w:lineRule="auto"/>
              <w:rPr>
                <w:rFonts w:hint="eastAsia" w:ascii="黑体" w:hAnsi="黑体" w:eastAsia="黑体" w:cs="黑体"/>
                <w:color w:val="auto"/>
              </w:rPr>
            </w:pPr>
            <w:r>
              <w:rPr>
                <w:rFonts w:hint="eastAsia" w:ascii="黑体" w:hAnsi="黑体" w:eastAsia="黑体" w:cs="黑体"/>
                <w:b/>
                <w:color w:val="auto"/>
                <w:sz w:val="21"/>
              </w:rPr>
              <w:t>对接目标</w:t>
            </w:r>
          </w:p>
          <w:p w14:paraId="17DD1583">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建立稳定的数据采集链路，实现机组运行状态、齿轮箱油温、振动、功率、风速、转速、报警等数据同步。</w:t>
            </w:r>
          </w:p>
          <w:p w14:paraId="744D8895">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将真实数据接入故障诊断、健康评估、RUL 估计和健康报告模块，替换当前演示性模拟数据。</w:t>
            </w:r>
          </w:p>
          <w:p w14:paraId="62165159">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形成从异常识别、诊断建议、复检周期、检修工单到复测验收的闭环运维流程。</w:t>
            </w:r>
          </w:p>
        </w:tc>
      </w:tr>
    </w:tbl>
    <w:p w14:paraId="3E428361">
      <w:pPr>
        <w:rPr>
          <w:rFonts w:hint="eastAsia" w:ascii="黑体" w:hAnsi="黑体" w:eastAsia="黑体" w:cs="黑体"/>
          <w:color w:val="auto"/>
        </w:rPr>
      </w:pPr>
    </w:p>
    <w:p w14:paraId="5C4F4450">
      <w:pPr>
        <w:pStyle w:val="3"/>
        <w:rPr>
          <w:rFonts w:hint="eastAsia" w:ascii="黑体" w:hAnsi="黑体" w:eastAsia="黑体" w:cs="黑体"/>
          <w:color w:val="auto"/>
        </w:rPr>
      </w:pPr>
      <w:r>
        <w:rPr>
          <w:rFonts w:hint="eastAsia" w:ascii="黑体" w:hAnsi="黑体" w:eastAsia="黑体" w:cs="黑体"/>
          <w:color w:val="auto"/>
        </w:rPr>
        <w:t>二、风电场数据对接方案</w:t>
      </w:r>
    </w:p>
    <w:p w14:paraId="409DA14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建议采用“只读接入、分级授权、边缘缓存、统一清洗”的方式对接风电场数据。系统优先通过风场现有 SCADA 网关或历史数据库获取数据，不直接改写 PLC 控制逻辑；若需下发控制命令，应单独经过权限审批、操作确认和安全联锁校验。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928"/>
        <w:gridCol w:w="2948"/>
        <w:gridCol w:w="2268"/>
      </w:tblGrid>
      <w:tr w14:paraId="4B75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FFFFF" w:themeFill="background1"/>
            <w:vAlign w:val="center"/>
          </w:tcPr>
          <w:p w14:paraId="70117EDC">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数据源</w:t>
            </w:r>
          </w:p>
        </w:tc>
        <w:tc>
          <w:tcPr>
            <w:tcW w:w="1928" w:type="dxa"/>
            <w:shd w:val="clear" w:color="auto" w:fill="FFFFFF" w:themeFill="background1"/>
            <w:vAlign w:val="center"/>
          </w:tcPr>
          <w:p w14:paraId="50B0B9CD">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建议接口</w:t>
            </w:r>
          </w:p>
        </w:tc>
        <w:tc>
          <w:tcPr>
            <w:tcW w:w="2948" w:type="dxa"/>
            <w:shd w:val="clear" w:color="auto" w:fill="FFFFFF" w:themeFill="background1"/>
            <w:vAlign w:val="center"/>
          </w:tcPr>
          <w:p w14:paraId="6DE6512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主要数据内容</w:t>
            </w:r>
          </w:p>
        </w:tc>
        <w:tc>
          <w:tcPr>
            <w:tcW w:w="2268" w:type="dxa"/>
            <w:shd w:val="clear" w:color="auto" w:fill="FFFFFF" w:themeFill="background1"/>
            <w:vAlign w:val="center"/>
          </w:tcPr>
          <w:p w14:paraId="0C22993B">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用途</w:t>
            </w:r>
          </w:p>
        </w:tc>
      </w:tr>
      <w:tr w14:paraId="4AD9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4C0D1A8">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SCADA</w:t>
            </w:r>
          </w:p>
        </w:tc>
        <w:tc>
          <w:tcPr>
            <w:tcW w:w="1928" w:type="dxa"/>
            <w:vAlign w:val="center"/>
          </w:tcPr>
          <w:p w14:paraId="6BFEB1F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OPC UA / Modbus TCP / 历史库 API</w:t>
            </w:r>
          </w:p>
        </w:tc>
        <w:tc>
          <w:tcPr>
            <w:tcW w:w="2948" w:type="dxa"/>
            <w:vAlign w:val="center"/>
          </w:tcPr>
          <w:p w14:paraId="72B7F23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风速、功率、转速、变桨角、偏航角、发电量、机组状态</w:t>
            </w:r>
          </w:p>
        </w:tc>
        <w:tc>
          <w:tcPr>
            <w:tcW w:w="2268" w:type="dxa"/>
            <w:vAlign w:val="center"/>
          </w:tcPr>
          <w:p w14:paraId="3DDF899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实时监测、趋势分析、工况归一化</w:t>
            </w:r>
          </w:p>
        </w:tc>
      </w:tr>
      <w:tr w14:paraId="7CBA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2B3284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PLC</w:t>
            </w:r>
          </w:p>
        </w:tc>
        <w:tc>
          <w:tcPr>
            <w:tcW w:w="1928" w:type="dxa"/>
            <w:vAlign w:val="center"/>
          </w:tcPr>
          <w:p w14:paraId="66024F8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只读寄存器映射 / OPC UA</w:t>
            </w:r>
          </w:p>
        </w:tc>
        <w:tc>
          <w:tcPr>
            <w:tcW w:w="2948" w:type="dxa"/>
            <w:vAlign w:val="center"/>
          </w:tcPr>
          <w:p w14:paraId="1643054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运行链路、控制状态、停机原因、保护动作、关键开关量</w:t>
            </w:r>
          </w:p>
        </w:tc>
        <w:tc>
          <w:tcPr>
            <w:tcW w:w="2268" w:type="dxa"/>
            <w:vAlign w:val="center"/>
          </w:tcPr>
          <w:p w14:paraId="369FA04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状态码解析、停机原因判断</w:t>
            </w:r>
          </w:p>
        </w:tc>
      </w:tr>
      <w:tr w14:paraId="764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FCD440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CMS</w:t>
            </w:r>
          </w:p>
        </w:tc>
        <w:tc>
          <w:tcPr>
            <w:tcW w:w="1928" w:type="dxa"/>
            <w:vAlign w:val="center"/>
          </w:tcPr>
          <w:p w14:paraId="0581DA28">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文件导入 / API / 数据库同步</w:t>
            </w:r>
          </w:p>
        </w:tc>
        <w:tc>
          <w:tcPr>
            <w:tcW w:w="2948" w:type="dxa"/>
            <w:vAlign w:val="center"/>
          </w:tcPr>
          <w:p w14:paraId="61649D7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高速轴承振动、包络谱、RMS、峭度、峰值因子</w:t>
            </w:r>
          </w:p>
        </w:tc>
        <w:tc>
          <w:tcPr>
            <w:tcW w:w="2268" w:type="dxa"/>
            <w:vAlign w:val="center"/>
          </w:tcPr>
          <w:p w14:paraId="2D8712D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齿轮箱与轴承故障识别</w:t>
            </w:r>
          </w:p>
        </w:tc>
      </w:tr>
      <w:tr w14:paraId="00CE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202E9E0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油液监测</w:t>
            </w:r>
          </w:p>
        </w:tc>
        <w:tc>
          <w:tcPr>
            <w:tcW w:w="1928" w:type="dxa"/>
            <w:vAlign w:val="center"/>
          </w:tcPr>
          <w:p w14:paraId="3A6B73C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CSV / API / 在线油液传感器</w:t>
            </w:r>
          </w:p>
        </w:tc>
        <w:tc>
          <w:tcPr>
            <w:tcW w:w="2948" w:type="dxa"/>
            <w:vAlign w:val="center"/>
          </w:tcPr>
          <w:p w14:paraId="6F5EC53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NAS 等级、水分、铁磁颗粒、黏度、油温</w:t>
            </w:r>
          </w:p>
        </w:tc>
        <w:tc>
          <w:tcPr>
            <w:tcW w:w="2268" w:type="dxa"/>
            <w:vAlign w:val="center"/>
          </w:tcPr>
          <w:p w14:paraId="3F2BD37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润滑状态评估与故障辅助判断</w:t>
            </w:r>
          </w:p>
        </w:tc>
      </w:tr>
      <w:tr w14:paraId="5529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16A4E0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检修台账</w:t>
            </w:r>
          </w:p>
        </w:tc>
        <w:tc>
          <w:tcPr>
            <w:tcW w:w="1928" w:type="dxa"/>
            <w:vAlign w:val="center"/>
          </w:tcPr>
          <w:p w14:paraId="435B531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Excel / 工单系统 API</w:t>
            </w:r>
          </w:p>
        </w:tc>
        <w:tc>
          <w:tcPr>
            <w:tcW w:w="2948" w:type="dxa"/>
            <w:vAlign w:val="center"/>
          </w:tcPr>
          <w:p w14:paraId="3A4D710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故障时间、处理过程、备件、更换记录、复测结果</w:t>
            </w:r>
          </w:p>
        </w:tc>
        <w:tc>
          <w:tcPr>
            <w:tcW w:w="2268" w:type="dxa"/>
            <w:vAlign w:val="center"/>
          </w:tcPr>
          <w:p w14:paraId="7A7E665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模型标签、闭环验证、论文案例支撑</w:t>
            </w:r>
          </w:p>
        </w:tc>
      </w:tr>
    </w:tbl>
    <w:p w14:paraId="43588503">
      <w:pPr>
        <w:rPr>
          <w:rFonts w:hint="eastAsia" w:ascii="黑体" w:hAnsi="黑体" w:eastAsia="黑体" w:cs="黑体"/>
          <w:color w:val="auto"/>
        </w:rPr>
      </w:pPr>
    </w:p>
    <w:p w14:paraId="45CAC977">
      <w:pPr>
        <w:pStyle w:val="3"/>
        <w:rPr>
          <w:rFonts w:hint="eastAsia" w:ascii="黑体" w:hAnsi="黑体" w:eastAsia="黑体" w:cs="黑体"/>
          <w:color w:val="auto"/>
        </w:rPr>
      </w:pPr>
      <w:r>
        <w:rPr>
          <w:rFonts w:hint="eastAsia" w:ascii="黑体" w:hAnsi="黑体" w:eastAsia="黑体" w:cs="黑体"/>
          <w:color w:val="auto"/>
        </w:rPr>
        <w:t>三、建议采集字段与数据粒度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402"/>
        <w:gridCol w:w="1474"/>
        <w:gridCol w:w="2381"/>
      </w:tblGrid>
      <w:tr w14:paraId="5DB1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auto"/>
            <w:vAlign w:val="center"/>
          </w:tcPr>
          <w:p w14:paraId="1D6EC621">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类别</w:t>
            </w:r>
          </w:p>
        </w:tc>
        <w:tc>
          <w:tcPr>
            <w:tcW w:w="3402" w:type="dxa"/>
            <w:shd w:val="clear" w:color="auto" w:fill="auto"/>
            <w:vAlign w:val="center"/>
          </w:tcPr>
          <w:p w14:paraId="5809B8B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关键字段</w:t>
            </w:r>
          </w:p>
        </w:tc>
        <w:tc>
          <w:tcPr>
            <w:tcW w:w="1474" w:type="dxa"/>
            <w:shd w:val="clear" w:color="auto" w:fill="auto"/>
            <w:vAlign w:val="center"/>
          </w:tcPr>
          <w:p w14:paraId="31FE8CA2">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建议频率</w:t>
            </w:r>
          </w:p>
        </w:tc>
        <w:tc>
          <w:tcPr>
            <w:tcW w:w="2381" w:type="dxa"/>
            <w:shd w:val="clear" w:color="auto" w:fill="auto"/>
            <w:vAlign w:val="center"/>
          </w:tcPr>
          <w:p w14:paraId="55E4B9D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说明</w:t>
            </w:r>
          </w:p>
        </w:tc>
      </w:tr>
      <w:tr w14:paraId="76B0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E21E7C5">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机组运行</w:t>
            </w:r>
          </w:p>
        </w:tc>
        <w:tc>
          <w:tcPr>
            <w:tcW w:w="3402" w:type="dxa"/>
            <w:vAlign w:val="center"/>
          </w:tcPr>
          <w:p w14:paraId="1463672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机组编号、运行状态、有功功率、风速、发电机转速、变桨角、偏航角、转矩</w:t>
            </w:r>
          </w:p>
        </w:tc>
        <w:tc>
          <w:tcPr>
            <w:tcW w:w="1474" w:type="dxa"/>
            <w:vAlign w:val="center"/>
          </w:tcPr>
          <w:p w14:paraId="65A5694D">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s - 10 s</w:t>
            </w:r>
          </w:p>
        </w:tc>
        <w:tc>
          <w:tcPr>
            <w:tcW w:w="2381" w:type="dxa"/>
            <w:vAlign w:val="center"/>
          </w:tcPr>
          <w:p w14:paraId="76B291B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用于实时监测、功率曲线与工况修正</w:t>
            </w:r>
          </w:p>
        </w:tc>
      </w:tr>
      <w:tr w14:paraId="36CA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93BEA8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齿轮箱温度</w:t>
            </w:r>
          </w:p>
        </w:tc>
        <w:tc>
          <w:tcPr>
            <w:tcW w:w="3402" w:type="dxa"/>
            <w:vAlign w:val="center"/>
          </w:tcPr>
          <w:p w14:paraId="5D686D9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齿轮箱油温、高速轴承温度、发电机温度、柜内温度、环境温度</w:t>
            </w:r>
          </w:p>
        </w:tc>
        <w:tc>
          <w:tcPr>
            <w:tcW w:w="1474" w:type="dxa"/>
            <w:vAlign w:val="center"/>
          </w:tcPr>
          <w:p w14:paraId="41C01276">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s - 10 s</w:t>
            </w:r>
          </w:p>
        </w:tc>
        <w:tc>
          <w:tcPr>
            <w:tcW w:w="2381" w:type="dxa"/>
            <w:vAlign w:val="center"/>
          </w:tcPr>
          <w:p w14:paraId="3A3C7AC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 M-IALO-SVR 油温残差预测和过温预警</w:t>
            </w:r>
          </w:p>
        </w:tc>
      </w:tr>
      <w:tr w14:paraId="0411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C92137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振动特征</w:t>
            </w:r>
          </w:p>
        </w:tc>
        <w:tc>
          <w:tcPr>
            <w:tcW w:w="3402" w:type="dxa"/>
            <w:vAlign w:val="center"/>
          </w:tcPr>
          <w:p w14:paraId="1D40DC6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RMS、峭度、峰值、峰值因子、包络谱特征频率</w:t>
            </w:r>
          </w:p>
        </w:tc>
        <w:tc>
          <w:tcPr>
            <w:tcW w:w="1474" w:type="dxa"/>
            <w:vAlign w:val="center"/>
          </w:tcPr>
          <w:p w14:paraId="3921B8D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CMS 原始高频；特征 1 min - 10 min</w:t>
            </w:r>
          </w:p>
        </w:tc>
        <w:tc>
          <w:tcPr>
            <w:tcW w:w="2381" w:type="dxa"/>
            <w:vAlign w:val="center"/>
          </w:tcPr>
          <w:p w14:paraId="6C89694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用于齿轮、轴承、轴系不对中等故障诊断</w:t>
            </w:r>
          </w:p>
        </w:tc>
      </w:tr>
      <w:tr w14:paraId="5F08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C04429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报警事件</w:t>
            </w:r>
          </w:p>
        </w:tc>
        <w:tc>
          <w:tcPr>
            <w:tcW w:w="3402" w:type="dxa"/>
            <w:vAlign w:val="center"/>
          </w:tcPr>
          <w:p w14:paraId="6D6851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报警码、报警名称、严重程度、触发时间、恢复时间、停机原因</w:t>
            </w:r>
          </w:p>
        </w:tc>
        <w:tc>
          <w:tcPr>
            <w:tcW w:w="1474" w:type="dxa"/>
            <w:vAlign w:val="center"/>
          </w:tcPr>
          <w:p w14:paraId="22C828E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事件触发</w:t>
            </w:r>
          </w:p>
        </w:tc>
        <w:tc>
          <w:tcPr>
            <w:tcW w:w="2381" w:type="dxa"/>
            <w:vAlign w:val="center"/>
          </w:tcPr>
          <w:p w14:paraId="12C71DA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用于故障历史趋势和严重程度统计</w:t>
            </w:r>
          </w:p>
        </w:tc>
      </w:tr>
      <w:tr w14:paraId="731E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30F0C9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检修记录</w:t>
            </w:r>
          </w:p>
        </w:tc>
        <w:tc>
          <w:tcPr>
            <w:tcW w:w="3402" w:type="dxa"/>
            <w:vAlign w:val="center"/>
          </w:tcPr>
          <w:p w14:paraId="5F7F786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工单号、故障部位、处理措施、备件、验收结论、复检结果</w:t>
            </w:r>
          </w:p>
        </w:tc>
        <w:tc>
          <w:tcPr>
            <w:tcW w:w="1474" w:type="dxa"/>
            <w:vAlign w:val="center"/>
          </w:tcPr>
          <w:p w14:paraId="5089F37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人工录入 / 工单同步</w:t>
            </w:r>
          </w:p>
        </w:tc>
        <w:tc>
          <w:tcPr>
            <w:tcW w:w="2381" w:type="dxa"/>
            <w:vAlign w:val="center"/>
          </w:tcPr>
          <w:p w14:paraId="6360DD0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用于诊断结果闭环和模型验证标签</w:t>
            </w:r>
          </w:p>
        </w:tc>
      </w:tr>
    </w:tbl>
    <w:p w14:paraId="30AE55CA">
      <w:pPr>
        <w:rPr>
          <w:rFonts w:hint="eastAsia" w:ascii="黑体" w:hAnsi="黑体" w:eastAsia="黑体" w:cs="黑体"/>
          <w:color w:val="auto"/>
        </w:rPr>
      </w:pPr>
    </w:p>
    <w:p w14:paraId="1D48FBBB">
      <w:pPr>
        <w:pStyle w:val="3"/>
        <w:rPr>
          <w:rFonts w:hint="eastAsia" w:ascii="黑体" w:hAnsi="黑体" w:eastAsia="黑体" w:cs="黑体"/>
          <w:color w:val="auto"/>
        </w:rPr>
      </w:pPr>
      <w:r>
        <w:rPr>
          <w:rFonts w:hint="eastAsia" w:ascii="黑体" w:hAnsi="黑体" w:eastAsia="黑体" w:cs="黑体"/>
          <w:color w:val="auto"/>
        </w:rPr>
        <w:t>四、当前项目成果</w:t>
      </w:r>
    </w:p>
    <w:p w14:paraId="2373FEFD">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目前项目已形成一套可演示、可扩展的风机齿轮箱智能健康管理系统原型，后端采用 Flask，前端采用 HTML、CSS、JavaScript、ECharts 和 Three.js/SVG 可视化，数据库采用 SQLite，并预留真实数据接入和模型替换位置。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2835"/>
      </w:tblGrid>
      <w:tr w14:paraId="77C6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auto"/>
            <w:vAlign w:val="center"/>
          </w:tcPr>
          <w:p w14:paraId="4CF454BC">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模块</w:t>
            </w:r>
          </w:p>
        </w:tc>
        <w:tc>
          <w:tcPr>
            <w:tcW w:w="3969" w:type="dxa"/>
            <w:shd w:val="clear" w:color="auto" w:fill="auto"/>
            <w:vAlign w:val="center"/>
          </w:tcPr>
          <w:p w14:paraId="5BE264A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已实现成果</w:t>
            </w:r>
          </w:p>
        </w:tc>
        <w:tc>
          <w:tcPr>
            <w:tcW w:w="2835" w:type="dxa"/>
            <w:shd w:val="clear" w:color="auto" w:fill="auto"/>
            <w:vAlign w:val="center"/>
          </w:tcPr>
          <w:p w14:paraId="203D77C2">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工程价值</w:t>
            </w:r>
          </w:p>
        </w:tc>
      </w:tr>
      <w:tr w14:paraId="4110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39E7CF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登录与权限</w:t>
            </w:r>
          </w:p>
        </w:tc>
        <w:tc>
          <w:tcPr>
            <w:tcW w:w="3969" w:type="dxa"/>
            <w:vAlign w:val="center"/>
          </w:tcPr>
          <w:p w14:paraId="78BD36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管理员登录、用户管理、权限配置、系统通知已读处理</w:t>
            </w:r>
          </w:p>
        </w:tc>
        <w:tc>
          <w:tcPr>
            <w:tcW w:w="2835" w:type="dxa"/>
            <w:vAlign w:val="center"/>
          </w:tcPr>
          <w:p w14:paraId="4AFC696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满足基本系统使用和安全管理需求</w:t>
            </w:r>
          </w:p>
        </w:tc>
      </w:tr>
      <w:tr w14:paraId="0B6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84D121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风场总览</w:t>
            </w:r>
          </w:p>
        </w:tc>
        <w:tc>
          <w:tcPr>
            <w:tcW w:w="3969" w:type="dxa"/>
            <w:vAlign w:val="center"/>
          </w:tcPr>
          <w:p w14:paraId="3BF9634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多台风机卡片、健康 99 显示、小风机叶片旋转、环境/列表视图切换、添加机组</w:t>
            </w:r>
          </w:p>
        </w:tc>
        <w:tc>
          <w:tcPr>
            <w:tcW w:w="2835" w:type="dxa"/>
            <w:vAlign w:val="center"/>
          </w:tcPr>
          <w:p w14:paraId="231B87D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展示场站运行态势和机组分布状态</w:t>
            </w:r>
          </w:p>
        </w:tc>
      </w:tr>
      <w:tr w14:paraId="2983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1F0B31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单机详情</w:t>
            </w:r>
          </w:p>
        </w:tc>
        <w:tc>
          <w:tcPr>
            <w:tcW w:w="3969" w:type="dxa"/>
            <w:vAlign w:val="center"/>
          </w:tcPr>
          <w:p w14:paraId="7EB717E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单机切换、实时指标卡、温度寿命、控制按钮、机舱剖视模型、集群对标</w:t>
            </w:r>
          </w:p>
        </w:tc>
        <w:tc>
          <w:tcPr>
            <w:tcW w:w="2835" w:type="dxa"/>
            <w:vAlign w:val="center"/>
          </w:tcPr>
          <w:p w14:paraId="6CC33D6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支撑单台机组精细化诊断和运维查看</w:t>
            </w:r>
          </w:p>
        </w:tc>
      </w:tr>
      <w:tr w14:paraId="0E5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5477DF2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实时监测</w:t>
            </w:r>
          </w:p>
        </w:tc>
        <w:tc>
          <w:tcPr>
            <w:tcW w:w="3969" w:type="dxa"/>
            <w:vAlign w:val="center"/>
          </w:tcPr>
          <w:p w14:paraId="2CD7A27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机组选择、SCADA/CMS 指标刷新、振动波形、数据质量与传感器状态</w:t>
            </w:r>
          </w:p>
        </w:tc>
        <w:tc>
          <w:tcPr>
            <w:tcW w:w="2835" w:type="dxa"/>
            <w:vAlign w:val="center"/>
          </w:tcPr>
          <w:p w14:paraId="72CD82E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模拟真实在线监测中心工作流</w:t>
            </w:r>
          </w:p>
        </w:tc>
      </w:tr>
      <w:tr w14:paraId="5E76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57D005">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故障诊断</w:t>
            </w:r>
          </w:p>
        </w:tc>
        <w:tc>
          <w:tcPr>
            <w:tcW w:w="3969" w:type="dxa"/>
            <w:vAlign w:val="center"/>
          </w:tcPr>
          <w:p w14:paraId="086301E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基于特征的异常识别、故障类型分布、严重程度统计、诊断机组选择</w:t>
            </w:r>
          </w:p>
        </w:tc>
        <w:tc>
          <w:tcPr>
            <w:tcW w:w="2835" w:type="dxa"/>
            <w:vAlign w:val="center"/>
          </w:tcPr>
          <w:p w14:paraId="0C4F345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支撑齿轮箱异常检测和检修建议生成</w:t>
            </w:r>
          </w:p>
        </w:tc>
      </w:tr>
      <w:tr w14:paraId="6A14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5598A7C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故障数据管理</w:t>
            </w:r>
          </w:p>
        </w:tc>
        <w:tc>
          <w:tcPr>
            <w:tcW w:w="3969" w:type="dxa"/>
            <w:vAlign w:val="center"/>
          </w:tcPr>
          <w:p w14:paraId="112228B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历史故障记录、机组编号、严重程度、处理状态、导出能力</w:t>
            </w:r>
          </w:p>
        </w:tc>
        <w:tc>
          <w:tcPr>
            <w:tcW w:w="2835" w:type="dxa"/>
            <w:vAlign w:val="center"/>
          </w:tcPr>
          <w:p w14:paraId="7854D26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形成故障样本积累和论文验证数据基础</w:t>
            </w:r>
          </w:p>
        </w:tc>
      </w:tr>
      <w:tr w14:paraId="3163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84B2548">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健康评估报告</w:t>
            </w:r>
          </w:p>
        </w:tc>
        <w:tc>
          <w:tcPr>
            <w:tcW w:w="3969" w:type="dxa"/>
            <w:vAlign w:val="center"/>
          </w:tcPr>
          <w:p w14:paraId="58B73D4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关键指标、健康评分、RUL、复检周期、导出报告</w:t>
            </w:r>
          </w:p>
        </w:tc>
        <w:tc>
          <w:tcPr>
            <w:tcW w:w="2835" w:type="dxa"/>
            <w:vAlign w:val="center"/>
          </w:tcPr>
          <w:p w14:paraId="5012713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服务运维决策与阶段性汇报</w:t>
            </w:r>
          </w:p>
        </w:tc>
      </w:tr>
      <w:tr w14:paraId="41F8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11E4BDE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AI 专家问答</w:t>
            </w:r>
          </w:p>
        </w:tc>
        <w:tc>
          <w:tcPr>
            <w:tcW w:w="3969" w:type="dxa"/>
            <w:vAlign w:val="center"/>
          </w:tcPr>
          <w:p w14:paraId="6906C8C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内置风电运维知识、可接入大模型 API、回答结合当前工况</w:t>
            </w:r>
          </w:p>
        </w:tc>
        <w:tc>
          <w:tcPr>
            <w:tcW w:w="2835" w:type="dxa"/>
            <w:vAlign w:val="center"/>
          </w:tcPr>
          <w:p w14:paraId="109D063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辅助非专家人员快速理解诊断结论</w:t>
            </w:r>
          </w:p>
        </w:tc>
      </w:tr>
    </w:tbl>
    <w:p w14:paraId="2314D609">
      <w:pPr>
        <w:rPr>
          <w:rFonts w:hint="eastAsia" w:ascii="黑体" w:hAnsi="黑体" w:eastAsia="黑体" w:cs="黑体"/>
          <w:color w:val="auto"/>
        </w:rPr>
      </w:pPr>
    </w:p>
    <w:p w14:paraId="3C5C9EDB">
      <w:pPr>
        <w:pStyle w:val="3"/>
        <w:rPr>
          <w:rFonts w:hint="eastAsia" w:ascii="黑体" w:hAnsi="黑体" w:eastAsia="黑体" w:cs="黑体"/>
          <w:color w:val="auto"/>
        </w:rPr>
      </w:pPr>
      <w:r>
        <w:rPr>
          <w:rFonts w:hint="eastAsia" w:ascii="黑体" w:hAnsi="黑体" w:eastAsia="黑体" w:cs="黑体"/>
          <w:color w:val="auto"/>
        </w:rPr>
        <w:t>五、具体研究方向</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2551"/>
      </w:tblGrid>
      <w:tr w14:paraId="3670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vAlign w:val="center"/>
          </w:tcPr>
          <w:p w14:paraId="5E842EF9">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研究方向</w:t>
            </w:r>
          </w:p>
        </w:tc>
        <w:tc>
          <w:tcPr>
            <w:tcW w:w="3969" w:type="dxa"/>
            <w:shd w:val="clear" w:color="auto" w:fill="auto"/>
            <w:vAlign w:val="center"/>
          </w:tcPr>
          <w:p w14:paraId="55BD26E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研究内容</w:t>
            </w:r>
          </w:p>
        </w:tc>
        <w:tc>
          <w:tcPr>
            <w:tcW w:w="2551" w:type="dxa"/>
            <w:shd w:val="clear" w:color="auto" w:fill="auto"/>
            <w:vAlign w:val="center"/>
          </w:tcPr>
          <w:p w14:paraId="50833F6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预期成果</w:t>
            </w:r>
          </w:p>
        </w:tc>
      </w:tr>
      <w:tr w14:paraId="2A3D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51438F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多源数据融合</w:t>
            </w:r>
          </w:p>
        </w:tc>
        <w:tc>
          <w:tcPr>
            <w:tcW w:w="3969" w:type="dxa"/>
            <w:vAlign w:val="center"/>
          </w:tcPr>
          <w:p w14:paraId="23EF9B3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融合 SCADA、CMS、油液、报警和检修台账，统一时间戳、机组编号和字段口径</w:t>
            </w:r>
          </w:p>
        </w:tc>
        <w:tc>
          <w:tcPr>
            <w:tcW w:w="2551" w:type="dxa"/>
            <w:vAlign w:val="center"/>
          </w:tcPr>
          <w:p w14:paraId="29F7C64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形成面向齿轮箱健康评估的数据底座</w:t>
            </w:r>
          </w:p>
        </w:tc>
      </w:tr>
      <w:tr w14:paraId="3C8E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B9D1F63">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油温残差预测</w:t>
            </w:r>
          </w:p>
        </w:tc>
        <w:tc>
          <w:tcPr>
            <w:tcW w:w="3969" w:type="dxa"/>
            <w:vAlign w:val="center"/>
          </w:tcPr>
          <w:p w14:paraId="1832D35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利用 M-IALO-SVR 建立油温预测模型，以实际油温与预测油温残差识别异常热状态</w:t>
            </w:r>
          </w:p>
        </w:tc>
        <w:tc>
          <w:tcPr>
            <w:tcW w:w="2551" w:type="dxa"/>
            <w:vAlign w:val="center"/>
          </w:tcPr>
          <w:p w14:paraId="0C55A0E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获得过温早期预警指标和残差阈值策略</w:t>
            </w:r>
          </w:p>
        </w:tc>
      </w:tr>
      <w:tr w14:paraId="3722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5AD3489">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齿轮箱故障诊断</w:t>
            </w:r>
          </w:p>
        </w:tc>
        <w:tc>
          <w:tcPr>
            <w:tcW w:w="3969" w:type="dxa"/>
            <w:vAlign w:val="center"/>
          </w:tcPr>
          <w:p w14:paraId="2E145F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提取振动时域、频域、包络谱和工况参数特征，识别齿轮磨损、点蚀、断齿、轴承过温等故障</w:t>
            </w:r>
          </w:p>
        </w:tc>
        <w:tc>
          <w:tcPr>
            <w:tcW w:w="2551" w:type="dxa"/>
            <w:vAlign w:val="center"/>
          </w:tcPr>
          <w:p w14:paraId="71439D2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输出故障类型、置信度、严重程度和维修建议</w:t>
            </w:r>
          </w:p>
        </w:tc>
      </w:tr>
      <w:tr w14:paraId="5693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86B47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健康评分与 RUL</w:t>
            </w:r>
          </w:p>
        </w:tc>
        <w:tc>
          <w:tcPr>
            <w:tcW w:w="3969" w:type="dxa"/>
            <w:vAlign w:val="center"/>
          </w:tcPr>
          <w:p w14:paraId="2359CE4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结合油温、振动、油液、报警和历史趋势计算健康评分，按 20 年设计寿命和 RUL 推算复检周期</w:t>
            </w:r>
          </w:p>
        </w:tc>
        <w:tc>
          <w:tcPr>
            <w:tcW w:w="2551" w:type="dxa"/>
            <w:vAlign w:val="center"/>
          </w:tcPr>
          <w:p w14:paraId="2B10271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形成可解释的健康评估报告</w:t>
            </w:r>
          </w:p>
        </w:tc>
      </w:tr>
      <w:tr w14:paraId="5BFB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755A567">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运维闭环</w:t>
            </w:r>
          </w:p>
        </w:tc>
        <w:tc>
          <w:tcPr>
            <w:tcW w:w="3969" w:type="dxa"/>
            <w:vAlign w:val="center"/>
          </w:tcPr>
          <w:p w14:paraId="57ADCB6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将诊断结果转为检修建议、工单优先级、复检周期和验收记录</w:t>
            </w:r>
          </w:p>
        </w:tc>
        <w:tc>
          <w:tcPr>
            <w:tcW w:w="2551" w:type="dxa"/>
            <w:vAlign w:val="center"/>
          </w:tcPr>
          <w:p w14:paraId="09B9D4A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实现从诊断到处置的闭环管理</w:t>
            </w:r>
          </w:p>
        </w:tc>
      </w:tr>
    </w:tbl>
    <w:p w14:paraId="2665DEC8">
      <w:pPr>
        <w:rPr>
          <w:rFonts w:hint="eastAsia" w:ascii="黑体" w:hAnsi="黑体" w:eastAsia="黑体" w:cs="黑体"/>
          <w:color w:val="auto"/>
        </w:rPr>
      </w:pPr>
    </w:p>
    <w:p w14:paraId="28AEF28A">
      <w:pPr>
        <w:pStyle w:val="3"/>
        <w:rPr>
          <w:rFonts w:hint="eastAsia" w:ascii="黑体" w:hAnsi="黑体" w:eastAsia="黑体" w:cs="黑体"/>
          <w:color w:val="auto"/>
        </w:rPr>
      </w:pPr>
      <w:r>
        <w:rPr>
          <w:rFonts w:hint="eastAsia" w:ascii="黑体" w:hAnsi="黑体" w:eastAsia="黑体" w:cs="黑体"/>
          <w:color w:val="auto"/>
        </w:rPr>
        <w:t>六、前期准备工作</w:t>
      </w:r>
    </w:p>
    <w:p w14:paraId="587B0DA2">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完成风机齿轮箱常见故障机理梳理，重点关注齿面磨损、点蚀剥落、断齿、轴承磨损、轴系不对中、冷却系统故障和润滑油污染。</w:t>
      </w:r>
    </w:p>
    <w:p w14:paraId="531A7931">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完成系统原型搭建，形成后端接口、前端页面、图表展示、机组详情和健康报告的基础框架。</w:t>
      </w:r>
    </w:p>
    <w:p w14:paraId="490E6C40">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完成数据字段设计，已覆盖油温、振动 RMS、油液 NAS、功率、风速、转速、变桨角、报警状态和 RUL 等关键指标。</w:t>
      </w:r>
    </w:p>
    <w:p w14:paraId="5D7609B1">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完成模拟数据流和接口联调，能够支持实时刷新、机组切换、故障趋势展示和不同机组差异化分析。</w:t>
      </w:r>
    </w:p>
    <w:p w14:paraId="79D7A8CE">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完成大模型运维问答接入准备，能够将知识条目、当前工况和运维建议结合起来生成回答。</w:t>
      </w:r>
    </w:p>
    <w:p w14:paraId="2ADA3EB8">
      <w:pPr>
        <w:pStyle w:val="3"/>
        <w:rPr>
          <w:rFonts w:hint="eastAsia" w:ascii="黑体" w:hAnsi="黑体" w:eastAsia="黑体" w:cs="黑体"/>
          <w:color w:val="auto"/>
        </w:rPr>
      </w:pPr>
      <w:r>
        <w:rPr>
          <w:rFonts w:hint="eastAsia" w:ascii="黑体" w:hAnsi="黑体" w:eastAsia="黑体" w:cs="黑体"/>
          <w:color w:val="auto"/>
        </w:rPr>
        <w:t>七、对研究方向的深入理解</w:t>
      </w:r>
    </w:p>
    <w:p w14:paraId="00F6371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风机齿轮箱故障诊断不能只依赖单一阈值。油温升高可能来自负载升高、环境温度变化、冷却系统效率下降、润滑油劣化或轴承摩擦异常；振动增大也可能与风速波动、转速变化、传动链不对中、齿轮啮合冲击或轴承局部损伤有关。因此，研究重点应放在工况修正、多源特征融合和趋势变化识别上。</w:t>
      </w:r>
    </w:p>
    <w:p w14:paraId="51E0980D">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M-IALO-SVR 在本课题中的价值不在于简单预测一个温度值，而是建立“正常工况下油温应当是多少”的参考模型。当实测油温持续高于模型预测值，且振动、油液或报警信号同步出现异常时，系统可以更早识别潜在故障，减少单纯阈值判断造成的漏报和误报。</w:t>
      </w:r>
    </w:p>
    <w:p w14:paraId="530DF7B5">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真实风场对接后，研究工作应重点解决三类问题：第一，数据质量问题，包括缺失、延迟、异常跳变和不同系统时间不一致；第二，标签稀缺问题，即真实故障样本少、故障边界不清；第三，工程可解释问题，即诊断结果必须能说明依据、风险等级、建议复检周期和现场处理动作。</w:t>
      </w:r>
    </w:p>
    <w:p w14:paraId="43D940BC">
      <w:pPr>
        <w:pStyle w:val="3"/>
        <w:rPr>
          <w:rFonts w:hint="eastAsia" w:ascii="黑体" w:hAnsi="黑体" w:eastAsia="黑体" w:cs="黑体"/>
          <w:color w:val="auto"/>
        </w:rPr>
      </w:pPr>
      <w:r>
        <w:rPr>
          <w:rFonts w:hint="eastAsia" w:ascii="黑体" w:hAnsi="黑体" w:eastAsia="黑体" w:cs="黑体"/>
          <w:color w:val="auto"/>
        </w:rPr>
        <w:t>八、风电场现场对接实施步骤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535"/>
        <w:gridCol w:w="2381"/>
      </w:tblGrid>
      <w:tr w14:paraId="6073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FFFFFF" w:themeFill="background1"/>
            <w:vAlign w:val="center"/>
          </w:tcPr>
          <w:p w14:paraId="6DBBE4EC">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阶段</w:t>
            </w:r>
          </w:p>
        </w:tc>
        <w:tc>
          <w:tcPr>
            <w:tcW w:w="4535" w:type="dxa"/>
            <w:shd w:val="clear" w:color="auto" w:fill="FFFFFF" w:themeFill="background1"/>
            <w:vAlign w:val="center"/>
          </w:tcPr>
          <w:p w14:paraId="065DBCC5">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主要工作</w:t>
            </w:r>
          </w:p>
        </w:tc>
        <w:tc>
          <w:tcPr>
            <w:tcW w:w="2381" w:type="dxa"/>
            <w:shd w:val="clear" w:color="auto" w:fill="FFFFFF" w:themeFill="background1"/>
            <w:vAlign w:val="center"/>
          </w:tcPr>
          <w:p w14:paraId="32035B4E">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交付物</w:t>
            </w:r>
          </w:p>
        </w:tc>
      </w:tr>
      <w:tr w14:paraId="3AA6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E31302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对接确认</w:t>
            </w:r>
          </w:p>
        </w:tc>
        <w:tc>
          <w:tcPr>
            <w:tcW w:w="4535" w:type="dxa"/>
            <w:vAlign w:val="center"/>
          </w:tcPr>
          <w:p w14:paraId="5B7C413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确认风场系统结构、可开放接口、机组清单、数据字段、网络边界和权限要求</w:t>
            </w:r>
          </w:p>
        </w:tc>
        <w:tc>
          <w:tcPr>
            <w:tcW w:w="2381" w:type="dxa"/>
            <w:vAlign w:val="center"/>
          </w:tcPr>
          <w:p w14:paraId="20F08F5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数据对接清单、字段字典、接口授权说明</w:t>
            </w:r>
          </w:p>
        </w:tc>
      </w:tr>
      <w:tr w14:paraId="6183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B4B047D">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2. 数据试采</w:t>
            </w:r>
          </w:p>
        </w:tc>
        <w:tc>
          <w:tcPr>
            <w:tcW w:w="4535" w:type="dxa"/>
            <w:vAlign w:val="center"/>
          </w:tcPr>
          <w:p w14:paraId="1F3BC43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选择 1-3 台机组进行只读试采，验证时间戳、采样频率、单位和数据质量</w:t>
            </w:r>
          </w:p>
        </w:tc>
        <w:tc>
          <w:tcPr>
            <w:tcW w:w="2381" w:type="dxa"/>
            <w:vAlign w:val="center"/>
          </w:tcPr>
          <w:p w14:paraId="66F5E4F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试采样本、数据质量报告</w:t>
            </w:r>
          </w:p>
        </w:tc>
      </w:tr>
      <w:tr w14:paraId="16DD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15B88D6">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3. 映射清洗</w:t>
            </w:r>
          </w:p>
        </w:tc>
        <w:tc>
          <w:tcPr>
            <w:tcW w:w="4535" w:type="dxa"/>
            <w:vAlign w:val="center"/>
          </w:tcPr>
          <w:p w14:paraId="7548F7B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建立字段映射、单位换算、异常值处理、缺失补齐和缓存机制</w:t>
            </w:r>
          </w:p>
        </w:tc>
        <w:tc>
          <w:tcPr>
            <w:tcW w:w="2381" w:type="dxa"/>
            <w:vAlign w:val="center"/>
          </w:tcPr>
          <w:p w14:paraId="2DF8F8F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标准化数据表、清洗规则</w:t>
            </w:r>
          </w:p>
        </w:tc>
      </w:tr>
      <w:tr w14:paraId="4BDC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53461B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4. 模型验证</w:t>
            </w:r>
          </w:p>
        </w:tc>
        <w:tc>
          <w:tcPr>
            <w:tcW w:w="4535" w:type="dxa"/>
            <w:vAlign w:val="center"/>
          </w:tcPr>
          <w:p w14:paraId="66E486F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基于真实数据验证油温残差、故障类型识别、健康评分和 RUL 估计</w:t>
            </w:r>
          </w:p>
        </w:tc>
        <w:tc>
          <w:tcPr>
            <w:tcW w:w="2381" w:type="dxa"/>
            <w:vAlign w:val="center"/>
          </w:tcPr>
          <w:p w14:paraId="6E4B092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模型评估结果、阈值建议</w:t>
            </w:r>
          </w:p>
        </w:tc>
      </w:tr>
      <w:tr w14:paraId="140C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DB5B65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5. 系统联调</w:t>
            </w:r>
          </w:p>
        </w:tc>
        <w:tc>
          <w:tcPr>
            <w:tcW w:w="4535" w:type="dxa"/>
            <w:vAlign w:val="center"/>
          </w:tcPr>
          <w:p w14:paraId="56B20A3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将真实数据接入现有页面，联调总览、单机、实时监测、诊断、报告和工单流程</w:t>
            </w:r>
          </w:p>
        </w:tc>
        <w:tc>
          <w:tcPr>
            <w:tcW w:w="2381" w:type="dxa"/>
            <w:vAlign w:val="center"/>
          </w:tcPr>
          <w:p w14:paraId="2BAAAD8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现场演示版本、联调记录</w:t>
            </w:r>
          </w:p>
        </w:tc>
      </w:tr>
      <w:tr w14:paraId="496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4C77D9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6. 运维闭环</w:t>
            </w:r>
          </w:p>
        </w:tc>
        <w:tc>
          <w:tcPr>
            <w:tcW w:w="4535" w:type="dxa"/>
            <w:vAlign w:val="center"/>
          </w:tcPr>
          <w:p w14:paraId="16185A2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把诊断结论转为检修建议和复检周期，并记录处理反馈</w:t>
            </w:r>
          </w:p>
        </w:tc>
        <w:tc>
          <w:tcPr>
            <w:tcW w:w="2381" w:type="dxa"/>
            <w:vAlign w:val="center"/>
          </w:tcPr>
          <w:p w14:paraId="7843F60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闭环案例、论文验证材料</w:t>
            </w:r>
          </w:p>
        </w:tc>
      </w:tr>
    </w:tbl>
    <w:p w14:paraId="710B70E3">
      <w:pPr>
        <w:rPr>
          <w:rFonts w:hint="eastAsia" w:ascii="黑体" w:hAnsi="黑体" w:eastAsia="黑体" w:cs="黑体"/>
          <w:color w:val="auto"/>
        </w:rPr>
      </w:pPr>
    </w:p>
    <w:p w14:paraId="49D7B48C">
      <w:pPr>
        <w:pStyle w:val="3"/>
        <w:rPr>
          <w:rFonts w:hint="eastAsia" w:ascii="黑体" w:hAnsi="黑体" w:eastAsia="黑体" w:cs="黑体"/>
          <w:color w:val="auto"/>
        </w:rPr>
      </w:pPr>
      <w:r>
        <w:rPr>
          <w:rFonts w:hint="eastAsia" w:ascii="黑体" w:hAnsi="黑体" w:eastAsia="黑体" w:cs="黑体"/>
          <w:color w:val="auto"/>
        </w:rPr>
        <w:t>九、需要风电场配合提供的资料</w:t>
      </w:r>
    </w:p>
    <w:p w14:paraId="6C4D317F">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机组清单：机组编号、型号、投运日期、容量、所属线路或区域、当前运行状态。</w:t>
      </w:r>
    </w:p>
    <w:p w14:paraId="55008E68">
      <w:pPr>
        <w:pStyle w:val="16"/>
        <w:spacing w:after="60" w:line="300" w:lineRule="auto"/>
        <w:rPr>
          <w:rFonts w:hint="eastAsia" w:ascii="黑体" w:hAnsi="黑体" w:eastAsia="黑体" w:cs="黑体"/>
          <w:color w:val="auto"/>
        </w:rPr>
      </w:pPr>
      <w:r>
        <w:t>数据接口与信息安全资料：包括 SCADA、PLC、CMS 等系统的数据访问方式、通信协议、点表信息或字段字典等；涉及 IP 地址、端口、账号权限、访问密钥等敏感信息时，应按风电场网络安全要求进行脱敏处理，或仅在现场受控环境下查看。系统原则上以只读方式接入运行数据，不直接修改 PLC 控制逻辑，不越权访问生产控制网络，并对数据访问过程进行权限控制和操作记录，确保数据接入安全、可控、可追溯。</w:t>
      </w:r>
    </w:p>
    <w:p w14:paraId="5E0E3D20">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历史数据：至少 3-12 个月运行数据，包含油温、风速、功率、转速、振动、报警和停机事件。</w:t>
      </w:r>
    </w:p>
    <w:p w14:paraId="3AF6EC45">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故障与检修记录：齿轮箱、轴承、冷却系统、润滑系统相关故障案例及处理结果。</w:t>
      </w:r>
    </w:p>
    <w:p w14:paraId="77CC242A">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现场规则：网络安全要求、数据脱敏要求、控制命令权限边界和现场验收流程。</w:t>
      </w:r>
    </w:p>
    <w:p w14:paraId="4D1337C0">
      <w:pPr>
        <w:pStyle w:val="3"/>
        <w:rPr>
          <w:rFonts w:hint="eastAsia" w:ascii="黑体" w:hAnsi="黑体" w:eastAsia="黑体" w:cs="黑体"/>
          <w:color w:val="auto"/>
        </w:rPr>
      </w:pPr>
      <w:r>
        <w:rPr>
          <w:rFonts w:hint="eastAsia" w:ascii="黑体" w:hAnsi="黑体" w:eastAsia="黑体" w:cs="黑体"/>
          <w:color w:val="auto"/>
        </w:rPr>
        <w:t>十、阶段计划与预期成果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535"/>
        <w:gridCol w:w="2268"/>
      </w:tblGrid>
      <w:tr w14:paraId="62DF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FFFFF" w:themeFill="background1"/>
            <w:vAlign w:val="center"/>
          </w:tcPr>
          <w:p w14:paraId="10E69A4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时间安排</w:t>
            </w:r>
          </w:p>
        </w:tc>
        <w:tc>
          <w:tcPr>
            <w:tcW w:w="4535" w:type="dxa"/>
            <w:shd w:val="clear" w:color="auto" w:fill="FFFFFF" w:themeFill="background1"/>
            <w:vAlign w:val="center"/>
          </w:tcPr>
          <w:p w14:paraId="7D9D507F">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工作重点</w:t>
            </w:r>
          </w:p>
        </w:tc>
        <w:tc>
          <w:tcPr>
            <w:tcW w:w="2268" w:type="dxa"/>
            <w:shd w:val="clear" w:color="auto" w:fill="FFFFFF" w:themeFill="background1"/>
            <w:vAlign w:val="center"/>
          </w:tcPr>
          <w:p w14:paraId="7E139E57">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成果形式</w:t>
            </w:r>
          </w:p>
        </w:tc>
      </w:tr>
      <w:tr w14:paraId="3C78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7A3ABA0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1 阶段</w:t>
            </w:r>
          </w:p>
        </w:tc>
        <w:tc>
          <w:tcPr>
            <w:tcW w:w="4535" w:type="dxa"/>
            <w:vAlign w:val="center"/>
          </w:tcPr>
          <w:p w14:paraId="4ECB7613">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完成风场数据字段确认、接口沟通和试采方案设计</w:t>
            </w:r>
          </w:p>
        </w:tc>
        <w:tc>
          <w:tcPr>
            <w:tcW w:w="2268" w:type="dxa"/>
            <w:vAlign w:val="center"/>
          </w:tcPr>
          <w:p w14:paraId="6F31E7A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字段表、接口方案、试采计划</w:t>
            </w:r>
          </w:p>
        </w:tc>
      </w:tr>
      <w:tr w14:paraId="340F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5BE9B8D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2 阶段</w:t>
            </w:r>
          </w:p>
        </w:tc>
        <w:tc>
          <w:tcPr>
            <w:tcW w:w="4535" w:type="dxa"/>
            <w:vAlign w:val="center"/>
          </w:tcPr>
          <w:p w14:paraId="2FFD885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完成真实数据导入、清洗、可视化页面适配</w:t>
            </w:r>
          </w:p>
        </w:tc>
        <w:tc>
          <w:tcPr>
            <w:tcW w:w="2268" w:type="dxa"/>
            <w:vAlign w:val="center"/>
          </w:tcPr>
          <w:p w14:paraId="267AA8B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真实数据演示页面、数据质量报告</w:t>
            </w:r>
          </w:p>
        </w:tc>
      </w:tr>
      <w:tr w14:paraId="1F44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78D6B5C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3 阶段</w:t>
            </w:r>
          </w:p>
        </w:tc>
        <w:tc>
          <w:tcPr>
            <w:tcW w:w="4535" w:type="dxa"/>
            <w:vAlign w:val="center"/>
          </w:tcPr>
          <w:p w14:paraId="5211922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 M-IALO-SVR 油温残差模型训练和故障样本验证</w:t>
            </w:r>
          </w:p>
        </w:tc>
        <w:tc>
          <w:tcPr>
            <w:tcW w:w="2268" w:type="dxa"/>
            <w:vAlign w:val="center"/>
          </w:tcPr>
          <w:p w14:paraId="76F64E7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模型结果、误差指标、残差阈值</w:t>
            </w:r>
          </w:p>
        </w:tc>
      </w:tr>
      <w:tr w14:paraId="78DE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59466B9">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4 阶段</w:t>
            </w:r>
          </w:p>
        </w:tc>
        <w:tc>
          <w:tcPr>
            <w:tcW w:w="4535" w:type="dxa"/>
            <w:vAlign w:val="center"/>
          </w:tcPr>
          <w:p w14:paraId="5F4605D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完成健康评分、RUL、复检周期和故障诊断报告优化</w:t>
            </w:r>
          </w:p>
        </w:tc>
        <w:tc>
          <w:tcPr>
            <w:tcW w:w="2268" w:type="dxa"/>
            <w:vAlign w:val="center"/>
          </w:tcPr>
          <w:p w14:paraId="0356BC0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健康评估报告、诊断案例</w:t>
            </w:r>
          </w:p>
        </w:tc>
      </w:tr>
      <w:tr w14:paraId="3189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54964A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5 阶段</w:t>
            </w:r>
          </w:p>
        </w:tc>
        <w:tc>
          <w:tcPr>
            <w:tcW w:w="4535" w:type="dxa"/>
            <w:vAlign w:val="center"/>
          </w:tcPr>
          <w:p w14:paraId="0FFF2DA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完成论文撰写、系统测试和答辩展示材料整理</w:t>
            </w:r>
          </w:p>
        </w:tc>
        <w:tc>
          <w:tcPr>
            <w:tcW w:w="2268" w:type="dxa"/>
            <w:vAlign w:val="center"/>
          </w:tcPr>
          <w:p w14:paraId="5CF63E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毕业论文、演示系统、答辩 PPT</w:t>
            </w:r>
          </w:p>
        </w:tc>
      </w:tr>
    </w:tbl>
    <w:p w14:paraId="63DBD0D2">
      <w:pPr>
        <w:rPr>
          <w:rFonts w:hint="eastAsia" w:ascii="黑体" w:hAnsi="黑体" w:eastAsia="黑体" w:cs="黑体"/>
          <w:color w:val="auto"/>
        </w:rPr>
      </w:pPr>
    </w:p>
    <w:p w14:paraId="10C64E38">
      <w:pPr>
        <w:pStyle w:val="3"/>
        <w:rPr>
          <w:rFonts w:hint="eastAsia" w:ascii="黑体" w:hAnsi="黑体" w:eastAsia="黑体" w:cs="黑体"/>
          <w:color w:val="auto"/>
        </w:rPr>
      </w:pPr>
      <w:r>
        <w:rPr>
          <w:rFonts w:hint="eastAsia" w:ascii="黑体" w:hAnsi="黑体" w:eastAsia="黑体" w:cs="黑体"/>
          <w:color w:val="auto"/>
        </w:rPr>
        <w:t>十一、结论</w:t>
      </w:r>
    </w:p>
    <w:p w14:paraId="64B8EC8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本项目已经具备风电场智能健康管理系统的基础形态，能够展示风场总览、单机详情、实时监测、故障诊断、故障数据管理、健康报告和智能问答等核心功能。后续工作的关键是接入真实风场数据，通过真实运行工况和检修记录验证模型效果，使系统从毕设演示原型进一步提升为具有工程应用价值的智能运维辅助平台。</w:t>
      </w:r>
    </w:p>
    <w:sectPr>
      <w:pgSz w:w="12240" w:h="15840"/>
      <w:pgMar w:top="1247" w:right="1361" w:bottom="1134" w:left="1361"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272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1686</Words>
  <Characters>1851</Characters>
  <Lines>0</Lines>
  <Paragraphs>0</Paragraphs>
  <TotalTime>3</TotalTime>
  <ScaleCrop>false</ScaleCrop>
  <LinksUpToDate>false</LinksUpToDate>
  <CharactersWithSpaces>1925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2026-05-07T13:02:19Z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2052-12.1.0.25865</vt:lpwstr>
  </property>
  <property fmtid="{D5CDD505-2E9C-101B-9397-08002B2CF9AE}" pid="4" name="ICV">
    <vt:lpwstr>2C8BA75813D54D6FA9C1F61197BAB794_12</vt:lpwstr>
  </property>
</Properties>
</file>