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8FB65E">
      <w:pPr>
        <w:spacing w:before="1440"/>
        <w:jc w:val="center"/>
        <w:rPr>
          <w:rFonts w:hint="eastAsia" w:ascii="黑体" w:hAnsi="黑体" w:eastAsia="黑体" w:cs="黑体"/>
          <w:color w:val="auto"/>
        </w:rPr>
      </w:pPr>
      <w:r>
        <w:rPr>
          <w:rFonts w:hint="eastAsia" w:ascii="黑体" w:hAnsi="黑体" w:eastAsia="黑体" w:cs="黑体"/>
          <w:b/>
          <w:color w:val="auto"/>
          <w:sz w:val="44"/>
        </w:rPr>
        <w:t>风电场数据对接与项目阶段成果</w:t>
      </w:r>
      <w:bookmarkStart w:id="0" w:name="_GoBack"/>
      <w:bookmarkEnd w:id="0"/>
      <w:r>
        <w:rPr>
          <w:rFonts w:hint="eastAsia" w:ascii="黑体" w:hAnsi="黑体" w:eastAsia="黑体" w:cs="黑体"/>
          <w:b/>
          <w:color w:val="auto"/>
          <w:sz w:val="44"/>
        </w:rPr>
        <w:t>说明</w:t>
      </w:r>
    </w:p>
    <w:p w14:paraId="00492E5B">
      <w:pPr>
        <w:jc w:val="center"/>
        <w:rPr>
          <w:rFonts w:hint="eastAsia" w:ascii="黑体" w:hAnsi="黑体" w:eastAsia="黑体" w:cs="黑体"/>
          <w:color w:val="auto"/>
        </w:rPr>
      </w:pPr>
      <w:r>
        <w:rPr>
          <w:rFonts w:hint="eastAsia" w:ascii="黑体" w:hAnsi="黑体" w:eastAsia="黑体" w:cs="黑体"/>
          <w:color w:val="auto"/>
          <w:sz w:val="26"/>
        </w:rPr>
        <w:t>华锐 SL1500 型双馈式风机齿轮箱智能健康管理系统</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9"/>
        <w:gridCol w:w="4759"/>
      </w:tblGrid>
      <w:tr w14:paraId="038F0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9" w:type="dxa"/>
            <w:shd w:val="clear" w:color="auto" w:fill="FFFFFF" w:themeFill="background1"/>
            <w:vAlign w:val="center"/>
          </w:tcPr>
          <w:p w14:paraId="40F71206">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文档用途</w:t>
            </w:r>
          </w:p>
        </w:tc>
        <w:tc>
          <w:tcPr>
            <w:tcW w:w="4759" w:type="dxa"/>
            <w:shd w:val="clear" w:color="auto" w:fill="FFFFFF" w:themeFill="background1"/>
            <w:vAlign w:val="center"/>
          </w:tcPr>
          <w:p w14:paraId="6A96B5A9">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风电场数据对接沟通、毕设阶段成果展示、研究方向说明</w:t>
            </w:r>
          </w:p>
        </w:tc>
      </w:tr>
      <w:tr w14:paraId="72B4F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9" w:type="dxa"/>
            <w:shd w:val="clear" w:color="auto" w:fill="FFFFFF" w:themeFill="background1"/>
            <w:vAlign w:val="center"/>
          </w:tcPr>
          <w:p w14:paraId="4C3B38D3">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系统对象</w:t>
            </w:r>
          </w:p>
        </w:tc>
        <w:tc>
          <w:tcPr>
            <w:tcW w:w="4759" w:type="dxa"/>
            <w:shd w:val="clear" w:color="auto" w:fill="FFFFFF" w:themeFill="background1"/>
            <w:vAlign w:val="center"/>
          </w:tcPr>
          <w:p w14:paraId="4B898C16">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SL1500 型双馈式风电机组齿轮箱及关键传动链部件</w:t>
            </w:r>
          </w:p>
        </w:tc>
      </w:tr>
      <w:tr w14:paraId="4AB15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9" w:type="dxa"/>
            <w:shd w:val="clear" w:color="auto" w:fill="FFFFFF" w:themeFill="background1"/>
            <w:vAlign w:val="center"/>
          </w:tcPr>
          <w:p w14:paraId="53EDB2E6">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当前阶段</w:t>
            </w:r>
          </w:p>
        </w:tc>
        <w:tc>
          <w:tcPr>
            <w:tcW w:w="4759" w:type="dxa"/>
            <w:shd w:val="clear" w:color="auto" w:fill="FFFFFF" w:themeFill="background1"/>
            <w:vAlign w:val="center"/>
          </w:tcPr>
          <w:p w14:paraId="36C53CDA">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工程原型已完成，正在准备真实 SCADA/PLC/CMS 数据接入与现场验证</w:t>
            </w:r>
          </w:p>
        </w:tc>
      </w:tr>
      <w:tr w14:paraId="32607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9" w:type="dxa"/>
            <w:shd w:val="clear" w:color="auto" w:fill="FFFFFF" w:themeFill="background1"/>
            <w:vAlign w:val="center"/>
          </w:tcPr>
          <w:p w14:paraId="7FA875DF">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生成日期</w:t>
            </w:r>
          </w:p>
        </w:tc>
        <w:tc>
          <w:tcPr>
            <w:tcW w:w="4759" w:type="dxa"/>
            <w:shd w:val="clear" w:color="auto" w:fill="FFFFFF" w:themeFill="background1"/>
            <w:vAlign w:val="center"/>
          </w:tcPr>
          <w:p w14:paraId="72FF042C">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2026 年 5 月 7 日</w:t>
            </w:r>
          </w:p>
        </w:tc>
      </w:tr>
    </w:tbl>
    <w:p w14:paraId="4F91B3C2">
      <w:pPr>
        <w:rPr>
          <w:rFonts w:hint="eastAsia" w:ascii="黑体" w:hAnsi="黑体" w:eastAsia="黑体" w:cs="黑体"/>
          <w:color w:val="auto"/>
        </w:rPr>
      </w:pPr>
      <w:r>
        <w:rPr>
          <w:rFonts w:hint="eastAsia" w:ascii="黑体" w:hAnsi="黑体" w:eastAsia="黑体" w:cs="黑体"/>
          <w:color w:val="auto"/>
        </w:rPr>
        <w:br w:type="page"/>
      </w:r>
    </w:p>
    <w:p w14:paraId="0732E18A">
      <w:pPr>
        <w:pStyle w:val="3"/>
        <w:rPr>
          <w:rFonts w:hint="eastAsia" w:ascii="黑体" w:hAnsi="黑体" w:eastAsia="黑体" w:cs="黑体"/>
          <w:color w:val="auto"/>
        </w:rPr>
      </w:pPr>
      <w:r>
        <w:rPr>
          <w:rFonts w:hint="eastAsia" w:ascii="黑体" w:hAnsi="黑体" w:eastAsia="黑体" w:cs="黑体"/>
          <w:color w:val="auto"/>
        </w:rPr>
        <w:t>一、项目背景与对接目标</w:t>
      </w:r>
    </w:p>
    <w:p w14:paraId="2E0C5E7F">
      <w:pPr>
        <w:spacing w:after="100" w:line="324" w:lineRule="auto"/>
        <w:ind w:firstLine="420"/>
        <w:rPr>
          <w:rFonts w:hint="eastAsia" w:ascii="黑体" w:hAnsi="黑体" w:eastAsia="黑体" w:cs="黑体"/>
          <w:color w:val="auto"/>
        </w:rPr>
      </w:pPr>
      <w:r>
        <w:rPr>
          <w:rFonts w:hint="eastAsia" w:ascii="黑体" w:hAnsi="黑体" w:eastAsia="黑体" w:cs="黑体"/>
          <w:color w:val="auto"/>
          <w:sz w:val="21"/>
        </w:rPr>
        <w:t>本项目面向风电场实际运维场景，围绕 SL1500 型双馈式风机齿轮箱健康管理展开。齿轮箱承担风轮低速大扭矩到发电机高速轴的传动转换，长期受交变载荷、风速波动、润滑状态变化和环境温度影响，容易出现齿面磨损、点蚀剥落、轴承损伤、油温异常和润滑油污染等问题。</w:t>
      </w:r>
    </w:p>
    <w:p w14:paraId="2C9C0B4A">
      <w:pPr>
        <w:spacing w:after="100" w:line="324" w:lineRule="auto"/>
        <w:ind w:firstLine="420"/>
        <w:rPr>
          <w:rFonts w:hint="eastAsia" w:ascii="黑体" w:hAnsi="黑体" w:eastAsia="黑体" w:cs="黑体"/>
          <w:color w:val="auto"/>
        </w:rPr>
      </w:pPr>
      <w:r>
        <w:rPr>
          <w:rFonts w:hint="eastAsia" w:ascii="黑体" w:hAnsi="黑体" w:eastAsia="黑体" w:cs="黑体"/>
          <w:color w:val="auto"/>
          <w:sz w:val="21"/>
        </w:rPr>
        <w:t>当前系统已完成工程原型开发，下一步需要与风电场 SCADA、PLC、CMS 或历史运行数据库对接，获取真实机组运行数据、故障记录和检修记录，用于验证模型效果、优化健康评分和形成可用于现场运维的诊断闭环。</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18"/>
      </w:tblGrid>
      <w:tr w14:paraId="29220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18" w:type="dxa"/>
            <w:shd w:val="clear" w:color="auto" w:fill="FFFFFF" w:themeFill="background1"/>
          </w:tcPr>
          <w:p w14:paraId="00507081">
            <w:pPr>
              <w:spacing w:after="60" w:line="240" w:lineRule="auto"/>
              <w:rPr>
                <w:rFonts w:hint="eastAsia" w:ascii="黑体" w:hAnsi="黑体" w:eastAsia="黑体" w:cs="黑体"/>
                <w:color w:val="auto"/>
              </w:rPr>
            </w:pPr>
            <w:r>
              <w:rPr>
                <w:rFonts w:hint="eastAsia" w:ascii="黑体" w:hAnsi="黑体" w:eastAsia="黑体" w:cs="黑体"/>
                <w:b/>
                <w:color w:val="auto"/>
                <w:sz w:val="21"/>
              </w:rPr>
              <w:t>对接目标</w:t>
            </w:r>
          </w:p>
          <w:p w14:paraId="17DD1583">
            <w:pPr>
              <w:spacing w:after="20" w:line="240" w:lineRule="auto"/>
              <w:ind w:left="113"/>
              <w:rPr>
                <w:rFonts w:hint="eastAsia" w:ascii="黑体" w:hAnsi="黑体" w:eastAsia="黑体" w:cs="黑体"/>
                <w:color w:val="auto"/>
              </w:rPr>
            </w:pPr>
            <w:r>
              <w:rPr>
                <w:rFonts w:hint="eastAsia" w:ascii="黑体" w:hAnsi="黑体" w:eastAsia="黑体" w:cs="黑体"/>
                <w:color w:val="auto"/>
                <w:sz w:val="19"/>
              </w:rPr>
              <w:t>• 建立稳定的数据采集链路，实现机组运行状态、齿轮箱油温、振动、功率、风速、转速、报警等数据同步。</w:t>
            </w:r>
          </w:p>
          <w:p w14:paraId="744D8895">
            <w:pPr>
              <w:spacing w:after="20" w:line="240" w:lineRule="auto"/>
              <w:ind w:left="113"/>
              <w:rPr>
                <w:rFonts w:hint="eastAsia" w:ascii="黑体" w:hAnsi="黑体" w:eastAsia="黑体" w:cs="黑体"/>
                <w:color w:val="auto"/>
              </w:rPr>
            </w:pPr>
            <w:r>
              <w:rPr>
                <w:rFonts w:hint="eastAsia" w:ascii="黑体" w:hAnsi="黑体" w:eastAsia="黑体" w:cs="黑体"/>
                <w:color w:val="auto"/>
                <w:sz w:val="19"/>
              </w:rPr>
              <w:t>• 将真实数据接入故障诊断、健康评估、RUL 估计和健康报告模块，替换当前演示性模拟数据。</w:t>
            </w:r>
          </w:p>
          <w:p w14:paraId="62165159">
            <w:pPr>
              <w:spacing w:after="20" w:line="240" w:lineRule="auto"/>
              <w:ind w:left="113"/>
              <w:rPr>
                <w:rFonts w:hint="eastAsia" w:ascii="黑体" w:hAnsi="黑体" w:eastAsia="黑体" w:cs="黑体"/>
                <w:color w:val="auto"/>
              </w:rPr>
            </w:pPr>
            <w:r>
              <w:rPr>
                <w:rFonts w:hint="eastAsia" w:ascii="黑体" w:hAnsi="黑体" w:eastAsia="黑体" w:cs="黑体"/>
                <w:color w:val="auto"/>
                <w:sz w:val="19"/>
              </w:rPr>
              <w:t>• 形成从异常识别、诊断建议、复检周期、检修工单到复测验收的闭环运维流程。</w:t>
            </w:r>
          </w:p>
        </w:tc>
      </w:tr>
    </w:tbl>
    <w:p w14:paraId="3E428361">
      <w:pPr>
        <w:rPr>
          <w:rFonts w:hint="eastAsia" w:ascii="黑体" w:hAnsi="黑体" w:eastAsia="黑体" w:cs="黑体"/>
          <w:color w:val="auto"/>
        </w:rPr>
      </w:pPr>
    </w:p>
    <w:p w14:paraId="5C4F4450">
      <w:pPr>
        <w:pStyle w:val="3"/>
        <w:rPr>
          <w:rFonts w:hint="eastAsia" w:ascii="黑体" w:hAnsi="黑体" w:eastAsia="黑体" w:cs="黑体"/>
          <w:color w:val="auto"/>
        </w:rPr>
      </w:pPr>
      <w:r>
        <w:rPr>
          <w:rFonts w:hint="eastAsia" w:ascii="黑体" w:hAnsi="黑体" w:eastAsia="黑体" w:cs="黑体"/>
          <w:color w:val="auto"/>
        </w:rPr>
        <w:t>二、风电场数据对接方案</w:t>
      </w:r>
    </w:p>
    <w:p w14:paraId="409DA14B">
      <w:pPr>
        <w:spacing w:after="100" w:line="324" w:lineRule="auto"/>
        <w:ind w:firstLine="420"/>
        <w:rPr>
          <w:rFonts w:hint="eastAsia" w:ascii="黑体" w:hAnsi="黑体" w:eastAsia="黑体" w:cs="黑体"/>
          <w:color w:val="auto"/>
        </w:rPr>
      </w:pPr>
      <w:r>
        <w:rPr>
          <w:rFonts w:hint="eastAsia" w:ascii="黑体" w:hAnsi="黑体" w:eastAsia="黑体" w:cs="黑体"/>
          <w:color w:val="auto"/>
          <w:sz w:val="21"/>
        </w:rPr>
        <w:t>建议采用“只读接入、分级授权、边缘缓存、统一清洗”的方式对接风电场数据。系统优先通过风场现有 SCADA 网关或历史数据库获取数据，不直接改写 PLC 控制逻辑；若需下发控制命令，应单独经过权限审批、操作确认和安全联锁校验。</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1928"/>
        <w:gridCol w:w="2948"/>
        <w:gridCol w:w="2268"/>
      </w:tblGrid>
      <w:tr w14:paraId="4B752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shd w:val="clear" w:color="auto" w:fill="FFFFFF" w:themeFill="background1"/>
            <w:vAlign w:val="center"/>
          </w:tcPr>
          <w:p w14:paraId="70117EDC">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数据源</w:t>
            </w:r>
          </w:p>
        </w:tc>
        <w:tc>
          <w:tcPr>
            <w:tcW w:w="1928" w:type="dxa"/>
            <w:shd w:val="clear" w:color="auto" w:fill="FFFFFF" w:themeFill="background1"/>
            <w:vAlign w:val="center"/>
          </w:tcPr>
          <w:p w14:paraId="50B0B9CD">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建议接口</w:t>
            </w:r>
          </w:p>
        </w:tc>
        <w:tc>
          <w:tcPr>
            <w:tcW w:w="2948" w:type="dxa"/>
            <w:shd w:val="clear" w:color="auto" w:fill="FFFFFF" w:themeFill="background1"/>
            <w:vAlign w:val="center"/>
          </w:tcPr>
          <w:p w14:paraId="6DE6512A">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主要数据内容</w:t>
            </w:r>
          </w:p>
        </w:tc>
        <w:tc>
          <w:tcPr>
            <w:tcW w:w="2268" w:type="dxa"/>
            <w:shd w:val="clear" w:color="auto" w:fill="FFFFFF" w:themeFill="background1"/>
            <w:vAlign w:val="center"/>
          </w:tcPr>
          <w:p w14:paraId="0C22993B">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用途</w:t>
            </w:r>
          </w:p>
        </w:tc>
      </w:tr>
      <w:tr w14:paraId="4AD9F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14C0D1A8">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SCADA</w:t>
            </w:r>
          </w:p>
        </w:tc>
        <w:tc>
          <w:tcPr>
            <w:tcW w:w="1928" w:type="dxa"/>
            <w:vAlign w:val="center"/>
          </w:tcPr>
          <w:p w14:paraId="6BFEB1F4">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OPC UA / Modbus TCP / 历史库 API</w:t>
            </w:r>
          </w:p>
        </w:tc>
        <w:tc>
          <w:tcPr>
            <w:tcW w:w="2948" w:type="dxa"/>
            <w:vAlign w:val="center"/>
          </w:tcPr>
          <w:p w14:paraId="72B7F23F">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风速、功率、转速、变桨角、偏航角、发电量、机组状态</w:t>
            </w:r>
          </w:p>
        </w:tc>
        <w:tc>
          <w:tcPr>
            <w:tcW w:w="2268" w:type="dxa"/>
            <w:vAlign w:val="center"/>
          </w:tcPr>
          <w:p w14:paraId="3DDF8999">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实时监测、趋势分析、工况归一化</w:t>
            </w:r>
          </w:p>
        </w:tc>
      </w:tr>
      <w:tr w14:paraId="7CBA6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32B3284B">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PLC</w:t>
            </w:r>
          </w:p>
        </w:tc>
        <w:tc>
          <w:tcPr>
            <w:tcW w:w="1928" w:type="dxa"/>
            <w:vAlign w:val="center"/>
          </w:tcPr>
          <w:p w14:paraId="66024F8C">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只读寄存器映射 / OPC UA</w:t>
            </w:r>
          </w:p>
        </w:tc>
        <w:tc>
          <w:tcPr>
            <w:tcW w:w="2948" w:type="dxa"/>
            <w:vAlign w:val="center"/>
          </w:tcPr>
          <w:p w14:paraId="1643054C">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运行链路、控制状态、停机原因、保护动作、关键开关量</w:t>
            </w:r>
          </w:p>
        </w:tc>
        <w:tc>
          <w:tcPr>
            <w:tcW w:w="2268" w:type="dxa"/>
            <w:vAlign w:val="center"/>
          </w:tcPr>
          <w:p w14:paraId="369FA044">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状态码解析、停机原因判断</w:t>
            </w:r>
          </w:p>
        </w:tc>
      </w:tr>
      <w:tr w14:paraId="76484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3FCD4401">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CMS</w:t>
            </w:r>
          </w:p>
        </w:tc>
        <w:tc>
          <w:tcPr>
            <w:tcW w:w="1928" w:type="dxa"/>
            <w:vAlign w:val="center"/>
          </w:tcPr>
          <w:p w14:paraId="0581DA28">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文件导入 / API / 数据库同步</w:t>
            </w:r>
          </w:p>
        </w:tc>
        <w:tc>
          <w:tcPr>
            <w:tcW w:w="2948" w:type="dxa"/>
            <w:vAlign w:val="center"/>
          </w:tcPr>
          <w:p w14:paraId="61649D76">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高速轴承振动、包络谱、RMS、峭度、峰值因子</w:t>
            </w:r>
          </w:p>
        </w:tc>
        <w:tc>
          <w:tcPr>
            <w:tcW w:w="2268" w:type="dxa"/>
            <w:vAlign w:val="center"/>
          </w:tcPr>
          <w:p w14:paraId="2D8712DA">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齿轮箱与轴承故障识别</w:t>
            </w:r>
          </w:p>
        </w:tc>
      </w:tr>
      <w:tr w14:paraId="00CE0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202E9E02">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油液监测</w:t>
            </w:r>
          </w:p>
        </w:tc>
        <w:tc>
          <w:tcPr>
            <w:tcW w:w="1928" w:type="dxa"/>
            <w:vAlign w:val="center"/>
          </w:tcPr>
          <w:p w14:paraId="3A6B73CB">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CSV / API / 在线油液传感器</w:t>
            </w:r>
          </w:p>
        </w:tc>
        <w:tc>
          <w:tcPr>
            <w:tcW w:w="2948" w:type="dxa"/>
            <w:vAlign w:val="center"/>
          </w:tcPr>
          <w:p w14:paraId="6F5EC537">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NAS 等级、水分、铁磁颗粒、黏度、油温</w:t>
            </w:r>
          </w:p>
        </w:tc>
        <w:tc>
          <w:tcPr>
            <w:tcW w:w="2268" w:type="dxa"/>
            <w:vAlign w:val="center"/>
          </w:tcPr>
          <w:p w14:paraId="3F2BD37C">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润滑状态评估与故障辅助判断</w:t>
            </w:r>
          </w:p>
        </w:tc>
      </w:tr>
      <w:tr w14:paraId="55299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116A4E0E">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检修台账</w:t>
            </w:r>
          </w:p>
        </w:tc>
        <w:tc>
          <w:tcPr>
            <w:tcW w:w="1928" w:type="dxa"/>
            <w:vAlign w:val="center"/>
          </w:tcPr>
          <w:p w14:paraId="435B5314">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Excel / 工单系统 API</w:t>
            </w:r>
          </w:p>
        </w:tc>
        <w:tc>
          <w:tcPr>
            <w:tcW w:w="2948" w:type="dxa"/>
            <w:vAlign w:val="center"/>
          </w:tcPr>
          <w:p w14:paraId="3A4D7109">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故障时间、处理过程、备件、更换记录、复测结果</w:t>
            </w:r>
          </w:p>
        </w:tc>
        <w:tc>
          <w:tcPr>
            <w:tcW w:w="2268" w:type="dxa"/>
            <w:vAlign w:val="center"/>
          </w:tcPr>
          <w:p w14:paraId="7A7E6655">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模型标签、闭环验证、论文案例支撑</w:t>
            </w:r>
          </w:p>
        </w:tc>
      </w:tr>
    </w:tbl>
    <w:p w14:paraId="43588503">
      <w:pPr>
        <w:rPr>
          <w:rFonts w:hint="eastAsia" w:ascii="黑体" w:hAnsi="黑体" w:eastAsia="黑体" w:cs="黑体"/>
          <w:color w:val="auto"/>
        </w:rPr>
      </w:pPr>
    </w:p>
    <w:p w14:paraId="45CAC977">
      <w:pPr>
        <w:pStyle w:val="3"/>
        <w:rPr>
          <w:rFonts w:hint="eastAsia" w:ascii="黑体" w:hAnsi="黑体" w:eastAsia="黑体" w:cs="黑体"/>
          <w:color w:val="auto"/>
        </w:rPr>
      </w:pPr>
      <w:r>
        <w:rPr>
          <w:rFonts w:hint="eastAsia" w:ascii="黑体" w:hAnsi="黑体" w:eastAsia="黑体" w:cs="黑体"/>
          <w:color w:val="auto"/>
        </w:rPr>
        <w:t>三、建议采集字段与数据粒度</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3402"/>
        <w:gridCol w:w="1474"/>
        <w:gridCol w:w="2381"/>
      </w:tblGrid>
      <w:tr w14:paraId="5DB1B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shd w:val="clear" w:color="auto" w:fill="auto"/>
            <w:vAlign w:val="center"/>
          </w:tcPr>
          <w:p w14:paraId="1D6EC621">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类别</w:t>
            </w:r>
          </w:p>
        </w:tc>
        <w:tc>
          <w:tcPr>
            <w:tcW w:w="3402" w:type="dxa"/>
            <w:shd w:val="clear" w:color="auto" w:fill="auto"/>
            <w:vAlign w:val="center"/>
          </w:tcPr>
          <w:p w14:paraId="5809B8B4">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关键字段</w:t>
            </w:r>
          </w:p>
        </w:tc>
        <w:tc>
          <w:tcPr>
            <w:tcW w:w="1474" w:type="dxa"/>
            <w:shd w:val="clear" w:color="auto" w:fill="auto"/>
            <w:vAlign w:val="center"/>
          </w:tcPr>
          <w:p w14:paraId="31FE8CA2">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建议频率</w:t>
            </w:r>
          </w:p>
        </w:tc>
        <w:tc>
          <w:tcPr>
            <w:tcW w:w="2381" w:type="dxa"/>
            <w:shd w:val="clear" w:color="auto" w:fill="auto"/>
            <w:vAlign w:val="center"/>
          </w:tcPr>
          <w:p w14:paraId="55E4B9DA">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说明</w:t>
            </w:r>
          </w:p>
        </w:tc>
      </w:tr>
      <w:tr w14:paraId="76B04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1E21E7C5">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机组运行</w:t>
            </w:r>
          </w:p>
        </w:tc>
        <w:tc>
          <w:tcPr>
            <w:tcW w:w="3402" w:type="dxa"/>
            <w:vAlign w:val="center"/>
          </w:tcPr>
          <w:p w14:paraId="14636721">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机组编号、运行状态、有功功率、风速、发电机转速、变桨角、偏航角、转矩</w:t>
            </w:r>
          </w:p>
        </w:tc>
        <w:tc>
          <w:tcPr>
            <w:tcW w:w="1474" w:type="dxa"/>
            <w:vAlign w:val="center"/>
          </w:tcPr>
          <w:p w14:paraId="65A5694D">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1 s - 10 s</w:t>
            </w:r>
          </w:p>
        </w:tc>
        <w:tc>
          <w:tcPr>
            <w:tcW w:w="2381" w:type="dxa"/>
            <w:vAlign w:val="center"/>
          </w:tcPr>
          <w:p w14:paraId="76B291B6">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用于实时监测、功率曲线与工况修正</w:t>
            </w:r>
          </w:p>
        </w:tc>
      </w:tr>
      <w:tr w14:paraId="36CA0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293BEA8E">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齿轮箱温度</w:t>
            </w:r>
          </w:p>
        </w:tc>
        <w:tc>
          <w:tcPr>
            <w:tcW w:w="3402" w:type="dxa"/>
            <w:vAlign w:val="center"/>
          </w:tcPr>
          <w:p w14:paraId="5D686D99">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齿轮箱油温、高速轴承温度、发电机温度、柜内温度、环境温度</w:t>
            </w:r>
          </w:p>
        </w:tc>
        <w:tc>
          <w:tcPr>
            <w:tcW w:w="1474" w:type="dxa"/>
            <w:vAlign w:val="center"/>
          </w:tcPr>
          <w:p w14:paraId="41C01276">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1 s - 10 s</w:t>
            </w:r>
          </w:p>
        </w:tc>
        <w:tc>
          <w:tcPr>
            <w:tcW w:w="2381" w:type="dxa"/>
            <w:vAlign w:val="center"/>
          </w:tcPr>
          <w:p w14:paraId="3A3C7AC7">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用于 M-IALO-SVR 油温残差预测和过温预警</w:t>
            </w:r>
          </w:p>
        </w:tc>
      </w:tr>
      <w:tr w14:paraId="0411F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6C92137E">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振动特征</w:t>
            </w:r>
          </w:p>
        </w:tc>
        <w:tc>
          <w:tcPr>
            <w:tcW w:w="3402" w:type="dxa"/>
            <w:vAlign w:val="center"/>
          </w:tcPr>
          <w:p w14:paraId="1D40DC60">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RMS、峭度、峰值、峰值因子、包络谱特征频率</w:t>
            </w:r>
          </w:p>
        </w:tc>
        <w:tc>
          <w:tcPr>
            <w:tcW w:w="1474" w:type="dxa"/>
            <w:vAlign w:val="center"/>
          </w:tcPr>
          <w:p w14:paraId="3921B8D0">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CMS 原始高频；特征 1 min - 10 min</w:t>
            </w:r>
          </w:p>
        </w:tc>
        <w:tc>
          <w:tcPr>
            <w:tcW w:w="2381" w:type="dxa"/>
            <w:vAlign w:val="center"/>
          </w:tcPr>
          <w:p w14:paraId="6C896947">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用于齿轮、轴承、轴系不对中等故障诊断</w:t>
            </w:r>
          </w:p>
        </w:tc>
      </w:tr>
      <w:tr w14:paraId="5F08D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1C04429B">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报警事件</w:t>
            </w:r>
          </w:p>
        </w:tc>
        <w:tc>
          <w:tcPr>
            <w:tcW w:w="3402" w:type="dxa"/>
            <w:vAlign w:val="center"/>
          </w:tcPr>
          <w:p w14:paraId="6D685116">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报警码、报警名称、严重程度、触发时间、恢复时间、停机原因</w:t>
            </w:r>
          </w:p>
        </w:tc>
        <w:tc>
          <w:tcPr>
            <w:tcW w:w="1474" w:type="dxa"/>
            <w:vAlign w:val="center"/>
          </w:tcPr>
          <w:p w14:paraId="22C828EB">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事件触发</w:t>
            </w:r>
          </w:p>
        </w:tc>
        <w:tc>
          <w:tcPr>
            <w:tcW w:w="2381" w:type="dxa"/>
            <w:vAlign w:val="center"/>
          </w:tcPr>
          <w:p w14:paraId="12C71DAF">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用于故障历史趋势和严重程度统计</w:t>
            </w:r>
          </w:p>
        </w:tc>
      </w:tr>
      <w:tr w14:paraId="731E9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130F0C9A">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检修记录</w:t>
            </w:r>
          </w:p>
        </w:tc>
        <w:tc>
          <w:tcPr>
            <w:tcW w:w="3402" w:type="dxa"/>
            <w:vAlign w:val="center"/>
          </w:tcPr>
          <w:p w14:paraId="5F7F7861">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工单号、故障部位、处理措施、备件、验收结论、复检结果</w:t>
            </w:r>
          </w:p>
        </w:tc>
        <w:tc>
          <w:tcPr>
            <w:tcW w:w="1474" w:type="dxa"/>
            <w:vAlign w:val="center"/>
          </w:tcPr>
          <w:p w14:paraId="5089F37F">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人工录入 / 工单同步</w:t>
            </w:r>
          </w:p>
        </w:tc>
        <w:tc>
          <w:tcPr>
            <w:tcW w:w="2381" w:type="dxa"/>
            <w:vAlign w:val="center"/>
          </w:tcPr>
          <w:p w14:paraId="6360DD0F">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用于诊断结果闭环和模型验证标签</w:t>
            </w:r>
          </w:p>
        </w:tc>
      </w:tr>
    </w:tbl>
    <w:p w14:paraId="30AE55CA">
      <w:pPr>
        <w:rPr>
          <w:rFonts w:hint="eastAsia" w:ascii="黑体" w:hAnsi="黑体" w:eastAsia="黑体" w:cs="黑体"/>
          <w:color w:val="auto"/>
        </w:rPr>
      </w:pPr>
    </w:p>
    <w:p w14:paraId="1D48FBBB">
      <w:pPr>
        <w:pStyle w:val="3"/>
        <w:rPr>
          <w:rFonts w:hint="eastAsia" w:ascii="黑体" w:hAnsi="黑体" w:eastAsia="黑体" w:cs="黑体"/>
          <w:color w:val="auto"/>
        </w:rPr>
      </w:pPr>
      <w:r>
        <w:rPr>
          <w:rFonts w:hint="eastAsia" w:ascii="黑体" w:hAnsi="黑体" w:eastAsia="黑体" w:cs="黑体"/>
          <w:color w:val="auto"/>
        </w:rPr>
        <w:t>四、当前项目成果</w:t>
      </w:r>
    </w:p>
    <w:p w14:paraId="2373FEFD">
      <w:pPr>
        <w:spacing w:after="100" w:line="324" w:lineRule="auto"/>
        <w:ind w:firstLine="420"/>
        <w:rPr>
          <w:rFonts w:hint="eastAsia" w:ascii="黑体" w:hAnsi="黑体" w:eastAsia="黑体" w:cs="黑体"/>
          <w:color w:val="auto"/>
        </w:rPr>
      </w:pPr>
      <w:r>
        <w:rPr>
          <w:rFonts w:hint="eastAsia" w:ascii="黑体" w:hAnsi="黑体" w:eastAsia="黑体" w:cs="黑体"/>
          <w:color w:val="auto"/>
          <w:sz w:val="21"/>
        </w:rPr>
        <w:t>目前项目已形成一套可演示、可扩展的风机齿轮箱智能健康管理系统原型，后端采用 Flask，前端采用 HTML、CSS、JavaScript、ECharts 和 Three.js/SVG 可视化，数据库采用 SQLite，并预留真实数据接入和模型替换位置。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3969"/>
        <w:gridCol w:w="2835"/>
      </w:tblGrid>
      <w:tr w14:paraId="77C66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shd w:val="clear" w:color="auto" w:fill="auto"/>
            <w:vAlign w:val="center"/>
          </w:tcPr>
          <w:p w14:paraId="4CF454BC">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模块</w:t>
            </w:r>
          </w:p>
        </w:tc>
        <w:tc>
          <w:tcPr>
            <w:tcW w:w="3969" w:type="dxa"/>
            <w:shd w:val="clear" w:color="auto" w:fill="auto"/>
            <w:vAlign w:val="center"/>
          </w:tcPr>
          <w:p w14:paraId="5BE264AA">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已实现成果</w:t>
            </w:r>
          </w:p>
        </w:tc>
        <w:tc>
          <w:tcPr>
            <w:tcW w:w="2835" w:type="dxa"/>
            <w:shd w:val="clear" w:color="auto" w:fill="auto"/>
            <w:vAlign w:val="center"/>
          </w:tcPr>
          <w:p w14:paraId="203D77C2">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工程价值</w:t>
            </w:r>
          </w:p>
        </w:tc>
      </w:tr>
      <w:tr w14:paraId="41100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239E7CF2">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登录与权限</w:t>
            </w:r>
          </w:p>
        </w:tc>
        <w:tc>
          <w:tcPr>
            <w:tcW w:w="3969" w:type="dxa"/>
            <w:vAlign w:val="center"/>
          </w:tcPr>
          <w:p w14:paraId="78BD362C">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管理员登录、用户管理、权限配置、系统通知已读处理</w:t>
            </w:r>
          </w:p>
        </w:tc>
        <w:tc>
          <w:tcPr>
            <w:tcW w:w="2835" w:type="dxa"/>
            <w:vAlign w:val="center"/>
          </w:tcPr>
          <w:p w14:paraId="4AFC6965">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满足基本系统使用和安全管理需求</w:t>
            </w:r>
          </w:p>
        </w:tc>
      </w:tr>
      <w:tr w14:paraId="0B680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284D121C">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风场总览</w:t>
            </w:r>
          </w:p>
        </w:tc>
        <w:tc>
          <w:tcPr>
            <w:tcW w:w="3969" w:type="dxa"/>
            <w:vAlign w:val="center"/>
          </w:tcPr>
          <w:p w14:paraId="3BF9634B">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多台风机卡片、健康 99 显示、小风机叶片旋转、环境/列表视图切换、添加机组</w:t>
            </w:r>
          </w:p>
        </w:tc>
        <w:tc>
          <w:tcPr>
            <w:tcW w:w="2835" w:type="dxa"/>
            <w:vAlign w:val="center"/>
          </w:tcPr>
          <w:p w14:paraId="231B87D5">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展示场站运行态势和机组分布状态</w:t>
            </w:r>
          </w:p>
        </w:tc>
      </w:tr>
      <w:tr w14:paraId="2983E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71F0B311">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单机详情</w:t>
            </w:r>
          </w:p>
        </w:tc>
        <w:tc>
          <w:tcPr>
            <w:tcW w:w="3969" w:type="dxa"/>
            <w:vAlign w:val="center"/>
          </w:tcPr>
          <w:p w14:paraId="7EB717E2">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单机切换、实时指标卡、温度寿命、控制按钮、机舱剖视模型、集群对标</w:t>
            </w:r>
          </w:p>
        </w:tc>
        <w:tc>
          <w:tcPr>
            <w:tcW w:w="2835" w:type="dxa"/>
            <w:vAlign w:val="center"/>
          </w:tcPr>
          <w:p w14:paraId="6CC33D65">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支撑单台机组精细化诊断和运维查看</w:t>
            </w:r>
          </w:p>
        </w:tc>
      </w:tr>
      <w:tr w14:paraId="0E5C8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5477DF20">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实时监测</w:t>
            </w:r>
          </w:p>
        </w:tc>
        <w:tc>
          <w:tcPr>
            <w:tcW w:w="3969" w:type="dxa"/>
            <w:vAlign w:val="center"/>
          </w:tcPr>
          <w:p w14:paraId="2CD7A27B">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机组选择、SCADA/CMS 指标刷新、振动波形、数据质量与传感器状态</w:t>
            </w:r>
          </w:p>
        </w:tc>
        <w:tc>
          <w:tcPr>
            <w:tcW w:w="2835" w:type="dxa"/>
            <w:vAlign w:val="center"/>
          </w:tcPr>
          <w:p w14:paraId="72CD82E9">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模拟真实在线监测中心工作流</w:t>
            </w:r>
          </w:p>
        </w:tc>
      </w:tr>
      <w:tr w14:paraId="5E760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3E57D005">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故障诊断</w:t>
            </w:r>
          </w:p>
        </w:tc>
        <w:tc>
          <w:tcPr>
            <w:tcW w:w="3969" w:type="dxa"/>
            <w:vAlign w:val="center"/>
          </w:tcPr>
          <w:p w14:paraId="086301EE">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基于特征的异常识别、故障类型分布、严重程度统计、诊断机组选择</w:t>
            </w:r>
          </w:p>
        </w:tc>
        <w:tc>
          <w:tcPr>
            <w:tcW w:w="2835" w:type="dxa"/>
            <w:vAlign w:val="center"/>
          </w:tcPr>
          <w:p w14:paraId="0C4F3457">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支撑齿轮箱异常检测和检修建议生成</w:t>
            </w:r>
          </w:p>
        </w:tc>
      </w:tr>
      <w:tr w14:paraId="6A144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5598A7CA">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故障数据管理</w:t>
            </w:r>
          </w:p>
        </w:tc>
        <w:tc>
          <w:tcPr>
            <w:tcW w:w="3969" w:type="dxa"/>
            <w:vAlign w:val="center"/>
          </w:tcPr>
          <w:p w14:paraId="112228BF">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历史故障记录、机组编号、严重程度、处理状态、导出能力</w:t>
            </w:r>
          </w:p>
        </w:tc>
        <w:tc>
          <w:tcPr>
            <w:tcW w:w="2835" w:type="dxa"/>
            <w:vAlign w:val="center"/>
          </w:tcPr>
          <w:p w14:paraId="7854D26B">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形成故障样本积累和论文验证数据基础</w:t>
            </w:r>
          </w:p>
        </w:tc>
      </w:tr>
      <w:tr w14:paraId="31635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784B2548">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健康评估报告</w:t>
            </w:r>
          </w:p>
        </w:tc>
        <w:tc>
          <w:tcPr>
            <w:tcW w:w="3969" w:type="dxa"/>
            <w:vAlign w:val="center"/>
          </w:tcPr>
          <w:p w14:paraId="58B73D40">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关键指标、健康评分、RUL、复检周期、导出报告</w:t>
            </w:r>
          </w:p>
        </w:tc>
        <w:tc>
          <w:tcPr>
            <w:tcW w:w="2835" w:type="dxa"/>
            <w:vAlign w:val="center"/>
          </w:tcPr>
          <w:p w14:paraId="5012713B">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服务运维决策与阶段性汇报</w:t>
            </w:r>
          </w:p>
        </w:tc>
      </w:tr>
      <w:tr w14:paraId="41F8A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11E4BDE1">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AI 专家问答</w:t>
            </w:r>
          </w:p>
        </w:tc>
        <w:tc>
          <w:tcPr>
            <w:tcW w:w="3969" w:type="dxa"/>
            <w:vAlign w:val="center"/>
          </w:tcPr>
          <w:p w14:paraId="6906C8C7">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内置风电运维知识、可接入大模型 API、回答结合当前工况</w:t>
            </w:r>
          </w:p>
        </w:tc>
        <w:tc>
          <w:tcPr>
            <w:tcW w:w="2835" w:type="dxa"/>
            <w:vAlign w:val="center"/>
          </w:tcPr>
          <w:p w14:paraId="109D0634">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辅助非专家人员快速理解诊断结论</w:t>
            </w:r>
          </w:p>
        </w:tc>
      </w:tr>
    </w:tbl>
    <w:p w14:paraId="2314D609">
      <w:pPr>
        <w:rPr>
          <w:rFonts w:hint="eastAsia" w:ascii="黑体" w:hAnsi="黑体" w:eastAsia="黑体" w:cs="黑体"/>
          <w:color w:val="auto"/>
        </w:rPr>
      </w:pPr>
    </w:p>
    <w:p w14:paraId="3C5C9EDB">
      <w:pPr>
        <w:pStyle w:val="3"/>
        <w:rPr>
          <w:rFonts w:hint="eastAsia" w:ascii="黑体" w:hAnsi="黑体" w:eastAsia="黑体" w:cs="黑体"/>
          <w:color w:val="auto"/>
        </w:rPr>
      </w:pPr>
      <w:r>
        <w:rPr>
          <w:rFonts w:hint="eastAsia" w:ascii="黑体" w:hAnsi="黑体" w:eastAsia="黑体" w:cs="黑体"/>
          <w:color w:val="auto"/>
        </w:rPr>
        <w:t>五、具体研究方向</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969"/>
        <w:gridCol w:w="2551"/>
      </w:tblGrid>
      <w:tr w14:paraId="3670E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auto"/>
            <w:vAlign w:val="center"/>
          </w:tcPr>
          <w:p w14:paraId="5E842EF9">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研究方向</w:t>
            </w:r>
          </w:p>
        </w:tc>
        <w:tc>
          <w:tcPr>
            <w:tcW w:w="3969" w:type="dxa"/>
            <w:shd w:val="clear" w:color="auto" w:fill="auto"/>
            <w:vAlign w:val="center"/>
          </w:tcPr>
          <w:p w14:paraId="55BD26E4">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研究内容</w:t>
            </w:r>
          </w:p>
        </w:tc>
        <w:tc>
          <w:tcPr>
            <w:tcW w:w="2551" w:type="dxa"/>
            <w:shd w:val="clear" w:color="auto" w:fill="auto"/>
            <w:vAlign w:val="center"/>
          </w:tcPr>
          <w:p w14:paraId="50833F6A">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预期成果</w:t>
            </w:r>
          </w:p>
        </w:tc>
      </w:tr>
      <w:tr w14:paraId="2A3D3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051438F0">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多源数据融合</w:t>
            </w:r>
          </w:p>
        </w:tc>
        <w:tc>
          <w:tcPr>
            <w:tcW w:w="3969" w:type="dxa"/>
            <w:vAlign w:val="center"/>
          </w:tcPr>
          <w:p w14:paraId="23EF9B3C">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融合 SCADA、CMS、油液、报警和检修台账，统一时间戳、机组编号和字段口径</w:t>
            </w:r>
          </w:p>
        </w:tc>
        <w:tc>
          <w:tcPr>
            <w:tcW w:w="2551" w:type="dxa"/>
            <w:vAlign w:val="center"/>
          </w:tcPr>
          <w:p w14:paraId="29F7C64E">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形成面向齿轮箱健康评估的数据底座</w:t>
            </w:r>
          </w:p>
        </w:tc>
      </w:tr>
      <w:tr w14:paraId="3C8E6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2B9D1F63">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油温残差预测</w:t>
            </w:r>
          </w:p>
        </w:tc>
        <w:tc>
          <w:tcPr>
            <w:tcW w:w="3969" w:type="dxa"/>
            <w:vAlign w:val="center"/>
          </w:tcPr>
          <w:p w14:paraId="1832D357">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利用 M-IALO-SVR 建立油温预测模型，以实际油温与预测油温残差识别异常热状态</w:t>
            </w:r>
          </w:p>
        </w:tc>
        <w:tc>
          <w:tcPr>
            <w:tcW w:w="2551" w:type="dxa"/>
            <w:vAlign w:val="center"/>
          </w:tcPr>
          <w:p w14:paraId="0C55A0EF">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获得过温早期预警指标和残差阈值策略</w:t>
            </w:r>
          </w:p>
        </w:tc>
      </w:tr>
      <w:tr w14:paraId="37224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45AD3489">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齿轮箱故障诊断</w:t>
            </w:r>
          </w:p>
        </w:tc>
        <w:tc>
          <w:tcPr>
            <w:tcW w:w="3969" w:type="dxa"/>
            <w:vAlign w:val="center"/>
          </w:tcPr>
          <w:p w14:paraId="2E145F16">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提取振动时域、频域、包络谱和工况参数特征，识别齿轮磨损、点蚀、断齿、轴承过温等故障</w:t>
            </w:r>
          </w:p>
        </w:tc>
        <w:tc>
          <w:tcPr>
            <w:tcW w:w="2551" w:type="dxa"/>
            <w:vAlign w:val="center"/>
          </w:tcPr>
          <w:p w14:paraId="71439D2B">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输出故障类型、置信度、严重程度和维修建议</w:t>
            </w:r>
          </w:p>
        </w:tc>
      </w:tr>
      <w:tr w14:paraId="56933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0E86B47C">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健康评分与 RUL</w:t>
            </w:r>
          </w:p>
        </w:tc>
        <w:tc>
          <w:tcPr>
            <w:tcW w:w="3969" w:type="dxa"/>
            <w:vAlign w:val="center"/>
          </w:tcPr>
          <w:p w14:paraId="2359CE4B">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结合油温、振动、油液、报警和历史趋势计算健康评分，按 20 年设计寿命和 RUL 推算复检周期</w:t>
            </w:r>
          </w:p>
        </w:tc>
        <w:tc>
          <w:tcPr>
            <w:tcW w:w="2551" w:type="dxa"/>
            <w:vAlign w:val="center"/>
          </w:tcPr>
          <w:p w14:paraId="2B102714">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形成可解释的健康评估报告</w:t>
            </w:r>
          </w:p>
        </w:tc>
      </w:tr>
      <w:tr w14:paraId="5BFB2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6755A567">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运维闭环</w:t>
            </w:r>
          </w:p>
        </w:tc>
        <w:tc>
          <w:tcPr>
            <w:tcW w:w="3969" w:type="dxa"/>
            <w:vAlign w:val="center"/>
          </w:tcPr>
          <w:p w14:paraId="57ADCB6A">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将诊断结果转为检修建议、工单优先级、复检周期和验收记录</w:t>
            </w:r>
          </w:p>
        </w:tc>
        <w:tc>
          <w:tcPr>
            <w:tcW w:w="2551" w:type="dxa"/>
            <w:vAlign w:val="center"/>
          </w:tcPr>
          <w:p w14:paraId="09B9D4A1">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实现从诊断到处置的闭环管理</w:t>
            </w:r>
          </w:p>
        </w:tc>
      </w:tr>
    </w:tbl>
    <w:p w14:paraId="2665DEC8">
      <w:pPr>
        <w:rPr>
          <w:rFonts w:hint="eastAsia" w:ascii="黑体" w:hAnsi="黑体" w:eastAsia="黑体" w:cs="黑体"/>
          <w:color w:val="auto"/>
        </w:rPr>
      </w:pPr>
    </w:p>
    <w:p w14:paraId="28AEF28A">
      <w:pPr>
        <w:pStyle w:val="3"/>
        <w:rPr>
          <w:rFonts w:hint="eastAsia" w:ascii="黑体" w:hAnsi="黑体" w:eastAsia="黑体" w:cs="黑体"/>
          <w:color w:val="auto"/>
        </w:rPr>
      </w:pPr>
      <w:r>
        <w:rPr>
          <w:rFonts w:hint="eastAsia" w:ascii="黑体" w:hAnsi="黑体" w:eastAsia="黑体" w:cs="黑体"/>
          <w:color w:val="auto"/>
        </w:rPr>
        <w:t>六、前期准备工作</w:t>
      </w:r>
    </w:p>
    <w:p w14:paraId="587B0DA2">
      <w:pPr>
        <w:pStyle w:val="16"/>
        <w:spacing w:after="60" w:line="300" w:lineRule="auto"/>
        <w:rPr>
          <w:rFonts w:hint="eastAsia" w:ascii="黑体" w:hAnsi="黑体" w:eastAsia="黑体" w:cs="黑体"/>
          <w:color w:val="auto"/>
        </w:rPr>
      </w:pPr>
      <w:r>
        <w:rPr>
          <w:rFonts w:hint="eastAsia" w:ascii="黑体" w:hAnsi="黑体" w:eastAsia="黑体" w:cs="黑体"/>
          <w:color w:val="auto"/>
          <w:sz w:val="20"/>
        </w:rPr>
        <w:t>完成风机齿轮箱常见故障机理梳理，重点关注齿面磨损、点蚀剥落、断齿、轴承磨损、轴系不对中、冷却系统故障和润滑油污染。</w:t>
      </w:r>
    </w:p>
    <w:p w14:paraId="531A7931">
      <w:pPr>
        <w:pStyle w:val="16"/>
        <w:spacing w:after="60" w:line="300" w:lineRule="auto"/>
        <w:rPr>
          <w:rFonts w:hint="eastAsia" w:ascii="黑体" w:hAnsi="黑体" w:eastAsia="黑体" w:cs="黑体"/>
          <w:color w:val="auto"/>
        </w:rPr>
      </w:pPr>
      <w:r>
        <w:rPr>
          <w:rFonts w:hint="eastAsia" w:ascii="黑体" w:hAnsi="黑体" w:eastAsia="黑体" w:cs="黑体"/>
          <w:color w:val="auto"/>
          <w:sz w:val="20"/>
        </w:rPr>
        <w:t>完成系统原型搭建，形成后端接口、前端页面、图表展示、机组详情和健康报告的基础框架。</w:t>
      </w:r>
    </w:p>
    <w:p w14:paraId="490E6C40">
      <w:pPr>
        <w:pStyle w:val="16"/>
        <w:spacing w:after="60" w:line="300" w:lineRule="auto"/>
        <w:rPr>
          <w:rFonts w:hint="eastAsia" w:ascii="黑体" w:hAnsi="黑体" w:eastAsia="黑体" w:cs="黑体"/>
          <w:color w:val="auto"/>
        </w:rPr>
      </w:pPr>
      <w:r>
        <w:rPr>
          <w:rFonts w:hint="eastAsia" w:ascii="黑体" w:hAnsi="黑体" w:eastAsia="黑体" w:cs="黑体"/>
          <w:color w:val="auto"/>
          <w:sz w:val="20"/>
        </w:rPr>
        <w:t>完成数据字段设计，已覆盖油温、振动 RMS、油液 NAS、功率、风速、转速、变桨角、报警状态和 RUL 等关键指标。</w:t>
      </w:r>
    </w:p>
    <w:p w14:paraId="5D7609B1">
      <w:pPr>
        <w:pStyle w:val="16"/>
        <w:spacing w:after="60" w:line="300" w:lineRule="auto"/>
        <w:rPr>
          <w:rFonts w:hint="eastAsia" w:ascii="黑体" w:hAnsi="黑体" w:eastAsia="黑体" w:cs="黑体"/>
          <w:color w:val="auto"/>
        </w:rPr>
      </w:pPr>
      <w:r>
        <w:rPr>
          <w:rFonts w:hint="eastAsia" w:ascii="黑体" w:hAnsi="黑体" w:eastAsia="黑体" w:cs="黑体"/>
          <w:color w:val="auto"/>
          <w:sz w:val="20"/>
        </w:rPr>
        <w:t>完成模拟数据流和接口联调，能够支持实时刷新、机组切换、故障趋势展示和不同机组差异化分析。</w:t>
      </w:r>
    </w:p>
    <w:p w14:paraId="79D7A8CE">
      <w:pPr>
        <w:pStyle w:val="16"/>
        <w:spacing w:after="60" w:line="300" w:lineRule="auto"/>
        <w:rPr>
          <w:rFonts w:hint="eastAsia" w:ascii="黑体" w:hAnsi="黑体" w:eastAsia="黑体" w:cs="黑体"/>
          <w:color w:val="auto"/>
        </w:rPr>
      </w:pPr>
      <w:r>
        <w:rPr>
          <w:rFonts w:hint="eastAsia" w:ascii="黑体" w:hAnsi="黑体" w:eastAsia="黑体" w:cs="黑体"/>
          <w:color w:val="auto"/>
          <w:sz w:val="20"/>
        </w:rPr>
        <w:t>完成大模型运维问答接入准备，能够将知识条目、当前工况和运维建议结合起来生成回答。</w:t>
      </w:r>
    </w:p>
    <w:p w14:paraId="2ADA3EB8">
      <w:pPr>
        <w:pStyle w:val="3"/>
        <w:rPr>
          <w:rFonts w:hint="eastAsia" w:ascii="黑体" w:hAnsi="黑体" w:eastAsia="黑体" w:cs="黑体"/>
          <w:color w:val="auto"/>
        </w:rPr>
      </w:pPr>
      <w:r>
        <w:rPr>
          <w:rFonts w:hint="eastAsia" w:ascii="黑体" w:hAnsi="黑体" w:eastAsia="黑体" w:cs="黑体"/>
          <w:color w:val="auto"/>
        </w:rPr>
        <w:t>七、对研究方向的深入理解</w:t>
      </w:r>
    </w:p>
    <w:p w14:paraId="00F6371B">
      <w:pPr>
        <w:spacing w:after="100" w:line="324" w:lineRule="auto"/>
        <w:ind w:firstLine="420"/>
        <w:rPr>
          <w:rFonts w:hint="eastAsia" w:ascii="黑体" w:hAnsi="黑体" w:eastAsia="黑体" w:cs="黑体"/>
          <w:color w:val="auto"/>
        </w:rPr>
      </w:pPr>
      <w:r>
        <w:rPr>
          <w:rFonts w:hint="eastAsia" w:ascii="黑体" w:hAnsi="黑体" w:eastAsia="黑体" w:cs="黑体"/>
          <w:color w:val="auto"/>
          <w:sz w:val="21"/>
        </w:rPr>
        <w:t>风机齿轮箱故障诊断不能只依赖单一阈值。油温升高可能来自负载升高、环境温度变化、冷却系统效率下降、润滑油劣化或轴承摩擦异常；振动增大也可能与风速波动、转速变化、传动链不对中、齿轮啮合冲击或轴承局部损伤有关。因此，研究重点应放在工况修正、多源特征融合和趋势变化识别上。</w:t>
      </w:r>
    </w:p>
    <w:p w14:paraId="51E0980D">
      <w:pPr>
        <w:spacing w:after="100" w:line="324" w:lineRule="auto"/>
        <w:ind w:firstLine="420"/>
        <w:rPr>
          <w:rFonts w:hint="eastAsia" w:ascii="黑体" w:hAnsi="黑体" w:eastAsia="黑体" w:cs="黑体"/>
          <w:color w:val="auto"/>
        </w:rPr>
      </w:pPr>
      <w:r>
        <w:rPr>
          <w:rFonts w:hint="eastAsia" w:ascii="黑体" w:hAnsi="黑体" w:eastAsia="黑体" w:cs="黑体"/>
          <w:color w:val="auto"/>
          <w:sz w:val="21"/>
        </w:rPr>
        <w:t>M-IALO-SVR 在本课题中的价值不在于简单预测一个温度值，而是建立“正常工况下油温应当是多少”的参考模型。当实测油温持续高于模型预测值，且振动、油液或报警信号同步出现异常时，系统可以更早识别潜在故障，减少单纯阈值判断造成的漏报和误报。</w:t>
      </w:r>
    </w:p>
    <w:p w14:paraId="530DF7B5">
      <w:pPr>
        <w:spacing w:after="100" w:line="324" w:lineRule="auto"/>
        <w:ind w:firstLine="420"/>
        <w:rPr>
          <w:rFonts w:hint="eastAsia" w:ascii="黑体" w:hAnsi="黑体" w:eastAsia="黑体" w:cs="黑体"/>
          <w:color w:val="auto"/>
        </w:rPr>
      </w:pPr>
      <w:r>
        <w:rPr>
          <w:rFonts w:hint="eastAsia" w:ascii="黑体" w:hAnsi="黑体" w:eastAsia="黑体" w:cs="黑体"/>
          <w:color w:val="auto"/>
          <w:sz w:val="21"/>
        </w:rPr>
        <w:t>真实风场对接后，研究工作应重点解决三类问题：第一，数据质量问题，包括缺失、延迟、异常跳变和不同系统时间不一致；第二，标签稀缺问题，即真实故障样本少、故障边界不清；第三，工程可解释问题，即诊断结果必须能说明依据、风险等级、建议复检周期和现场处理动作。</w:t>
      </w:r>
    </w:p>
    <w:p w14:paraId="43D940BC">
      <w:pPr>
        <w:pStyle w:val="3"/>
        <w:rPr>
          <w:rFonts w:hint="eastAsia" w:ascii="黑体" w:hAnsi="黑体" w:eastAsia="黑体" w:cs="黑体"/>
          <w:color w:val="auto"/>
        </w:rPr>
      </w:pPr>
      <w:r>
        <w:rPr>
          <w:rFonts w:hint="eastAsia" w:ascii="黑体" w:hAnsi="黑体" w:eastAsia="黑体" w:cs="黑体"/>
          <w:color w:val="auto"/>
        </w:rPr>
        <w:t>八、风电场现场对接实施步骤</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4535"/>
        <w:gridCol w:w="2381"/>
      </w:tblGrid>
      <w:tr w14:paraId="6073F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shd w:val="clear" w:color="auto" w:fill="FFFFFF" w:themeFill="background1"/>
            <w:vAlign w:val="center"/>
          </w:tcPr>
          <w:p w14:paraId="6DBBE4EC">
            <w:pPr>
              <w:spacing w:after="0" w:line="240" w:lineRule="auto"/>
              <w:jc w:val="center"/>
              <w:rPr>
                <w:rFonts w:hint="eastAsia" w:ascii="黑体" w:hAnsi="黑体" w:eastAsia="黑体" w:cs="黑体"/>
                <w:b w:val="0"/>
                <w:color w:val="auto"/>
                <w:sz w:val="18"/>
              </w:rPr>
            </w:pPr>
            <w:r>
              <w:rPr>
                <w:rFonts w:hint="eastAsia" w:ascii="黑体" w:hAnsi="黑体" w:eastAsia="黑体" w:cs="黑体"/>
                <w:b w:val="0"/>
                <w:color w:val="auto"/>
                <w:sz w:val="18"/>
              </w:rPr>
              <w:t>阶段</w:t>
            </w:r>
          </w:p>
        </w:tc>
        <w:tc>
          <w:tcPr>
            <w:tcW w:w="4535" w:type="dxa"/>
            <w:shd w:val="clear" w:color="auto" w:fill="FFFFFF" w:themeFill="background1"/>
            <w:vAlign w:val="center"/>
          </w:tcPr>
          <w:p w14:paraId="065DBCC5">
            <w:pPr>
              <w:spacing w:after="0" w:line="240" w:lineRule="auto"/>
              <w:jc w:val="center"/>
              <w:rPr>
                <w:rFonts w:hint="eastAsia" w:ascii="黑体" w:hAnsi="黑体" w:eastAsia="黑体" w:cs="黑体"/>
                <w:b w:val="0"/>
                <w:color w:val="auto"/>
                <w:sz w:val="18"/>
              </w:rPr>
            </w:pPr>
            <w:r>
              <w:rPr>
                <w:rFonts w:hint="eastAsia" w:ascii="黑体" w:hAnsi="黑体" w:eastAsia="黑体" w:cs="黑体"/>
                <w:b w:val="0"/>
                <w:color w:val="auto"/>
                <w:sz w:val="18"/>
              </w:rPr>
              <w:t>主要工作</w:t>
            </w:r>
          </w:p>
        </w:tc>
        <w:tc>
          <w:tcPr>
            <w:tcW w:w="2381" w:type="dxa"/>
            <w:shd w:val="clear" w:color="auto" w:fill="FFFFFF" w:themeFill="background1"/>
            <w:vAlign w:val="center"/>
          </w:tcPr>
          <w:p w14:paraId="32035B4E">
            <w:pPr>
              <w:spacing w:after="0" w:line="240" w:lineRule="auto"/>
              <w:jc w:val="center"/>
              <w:rPr>
                <w:rFonts w:hint="eastAsia" w:ascii="黑体" w:hAnsi="黑体" w:eastAsia="黑体" w:cs="黑体"/>
                <w:b w:val="0"/>
                <w:color w:val="auto"/>
                <w:sz w:val="18"/>
              </w:rPr>
            </w:pPr>
            <w:r>
              <w:rPr>
                <w:rFonts w:hint="eastAsia" w:ascii="黑体" w:hAnsi="黑体" w:eastAsia="黑体" w:cs="黑体"/>
                <w:b w:val="0"/>
                <w:color w:val="auto"/>
                <w:sz w:val="18"/>
              </w:rPr>
              <w:t>交付物</w:t>
            </w:r>
          </w:p>
        </w:tc>
      </w:tr>
      <w:tr w14:paraId="3AA63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3E313022">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1. 对接确认</w:t>
            </w:r>
          </w:p>
        </w:tc>
        <w:tc>
          <w:tcPr>
            <w:tcW w:w="4535" w:type="dxa"/>
            <w:vAlign w:val="center"/>
          </w:tcPr>
          <w:p w14:paraId="5B7C4131">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确认风场系统结构、可开放接口、机组清单、数据字段、网络边界和权限要求</w:t>
            </w:r>
          </w:p>
        </w:tc>
        <w:tc>
          <w:tcPr>
            <w:tcW w:w="2381" w:type="dxa"/>
            <w:vAlign w:val="center"/>
          </w:tcPr>
          <w:p w14:paraId="20F08F52">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数据对接清单、字段字典、接口授权说明</w:t>
            </w:r>
          </w:p>
        </w:tc>
      </w:tr>
      <w:tr w14:paraId="61834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4B4B047D">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2. 数据试采</w:t>
            </w:r>
          </w:p>
        </w:tc>
        <w:tc>
          <w:tcPr>
            <w:tcW w:w="4535" w:type="dxa"/>
            <w:vAlign w:val="center"/>
          </w:tcPr>
          <w:p w14:paraId="1F3BC432">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选择 1-3 台机组进行只读试采，验证时间戳、采样频率、单位和数据质量</w:t>
            </w:r>
          </w:p>
        </w:tc>
        <w:tc>
          <w:tcPr>
            <w:tcW w:w="2381" w:type="dxa"/>
            <w:vAlign w:val="center"/>
          </w:tcPr>
          <w:p w14:paraId="66F5E4F9">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试采样本、数据质量报告</w:t>
            </w:r>
          </w:p>
        </w:tc>
      </w:tr>
      <w:tr w14:paraId="16DD2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015B88D6">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3. 映射清洗</w:t>
            </w:r>
          </w:p>
        </w:tc>
        <w:tc>
          <w:tcPr>
            <w:tcW w:w="4535" w:type="dxa"/>
            <w:vAlign w:val="center"/>
          </w:tcPr>
          <w:p w14:paraId="7548F7BC">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建立字段映射、单位换算、异常值处理、缺失补齐和缓存机制</w:t>
            </w:r>
          </w:p>
        </w:tc>
        <w:tc>
          <w:tcPr>
            <w:tcW w:w="2381" w:type="dxa"/>
            <w:vAlign w:val="center"/>
          </w:tcPr>
          <w:p w14:paraId="2DF8F8FA">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标准化数据表、清洗规则</w:t>
            </w:r>
          </w:p>
        </w:tc>
      </w:tr>
      <w:tr w14:paraId="4BDC9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053461BC">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4. 模型验证</w:t>
            </w:r>
          </w:p>
        </w:tc>
        <w:tc>
          <w:tcPr>
            <w:tcW w:w="4535" w:type="dxa"/>
            <w:vAlign w:val="center"/>
          </w:tcPr>
          <w:p w14:paraId="66E486F0">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基于真实数据验证油温残差、故障类型识别、健康评分和 RUL 估计</w:t>
            </w:r>
          </w:p>
        </w:tc>
        <w:tc>
          <w:tcPr>
            <w:tcW w:w="2381" w:type="dxa"/>
            <w:vAlign w:val="center"/>
          </w:tcPr>
          <w:p w14:paraId="6E4B0927">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模型评估结果、阈值建议</w:t>
            </w:r>
          </w:p>
        </w:tc>
      </w:tr>
      <w:tr w14:paraId="140C9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5DB5B654">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5. 系统联调</w:t>
            </w:r>
          </w:p>
        </w:tc>
        <w:tc>
          <w:tcPr>
            <w:tcW w:w="4535" w:type="dxa"/>
            <w:vAlign w:val="center"/>
          </w:tcPr>
          <w:p w14:paraId="56B20A37">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将真实数据接入现有页面，联调总览、单机、实时监测、诊断、报告和工单流程</w:t>
            </w:r>
          </w:p>
        </w:tc>
        <w:tc>
          <w:tcPr>
            <w:tcW w:w="2381" w:type="dxa"/>
            <w:vAlign w:val="center"/>
          </w:tcPr>
          <w:p w14:paraId="2BAAAD8F">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现场演示版本、联调记录</w:t>
            </w:r>
          </w:p>
        </w:tc>
      </w:tr>
      <w:tr w14:paraId="4967C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24C77D92">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6. 运维闭环</w:t>
            </w:r>
          </w:p>
        </w:tc>
        <w:tc>
          <w:tcPr>
            <w:tcW w:w="4535" w:type="dxa"/>
            <w:vAlign w:val="center"/>
          </w:tcPr>
          <w:p w14:paraId="16185A2E">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把诊断结论转为检修建议和复检周期，并记录处理反馈</w:t>
            </w:r>
          </w:p>
        </w:tc>
        <w:tc>
          <w:tcPr>
            <w:tcW w:w="2381" w:type="dxa"/>
            <w:vAlign w:val="center"/>
          </w:tcPr>
          <w:p w14:paraId="7843F60C">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闭环案例、论文验证材料</w:t>
            </w:r>
          </w:p>
        </w:tc>
      </w:tr>
    </w:tbl>
    <w:p w14:paraId="710B70E3">
      <w:pPr>
        <w:rPr>
          <w:rFonts w:hint="eastAsia" w:ascii="黑体" w:hAnsi="黑体" w:eastAsia="黑体" w:cs="黑体"/>
          <w:color w:val="auto"/>
        </w:rPr>
      </w:pPr>
    </w:p>
    <w:p w14:paraId="49D7B48C">
      <w:pPr>
        <w:pStyle w:val="3"/>
        <w:rPr>
          <w:rFonts w:hint="eastAsia" w:ascii="黑体" w:hAnsi="黑体" w:eastAsia="黑体" w:cs="黑体"/>
          <w:color w:val="auto"/>
        </w:rPr>
      </w:pPr>
      <w:r>
        <w:rPr>
          <w:rFonts w:hint="eastAsia" w:ascii="黑体" w:hAnsi="黑体" w:eastAsia="黑体" w:cs="黑体"/>
          <w:color w:val="auto"/>
        </w:rPr>
        <w:t>九、需要风电场配合提供的资料</w:t>
      </w:r>
    </w:p>
    <w:p>
      <w:r>
        <w:t>机组基础信息：包括机组编号、机组型号、额定容量、投运日期、所属线路或区域、当前运行状态等，用于建立系统中的机组资产档案和机组编号映射关系。</w:t>
      </w:r>
    </w:p>
    <w:p>
      <w:r>
        <w:t>数据接口与信息安全资料：包括 SCADA、PLC、CMS 等系统的数据访问方式、通信协议类型、点表信息或字段字典等。涉及 IP 地址、端口、账号权限、访问密钥等敏感信息时，应按风电场网络安全要求进行脱敏处理，或仅在现场受控环境下查看。系统原则上以只读方式接入运行数据，不直接修改 PLC 控制逻辑，不越权访问生产控制网络，并对数据访问过程进行权限控制和操作记录，确保数据接入安全、可控、可追溯。</w:t>
      </w:r>
    </w:p>
    <w:p>
      <w:r>
        <w:t>历史运行数据：建议提供至少 3 至 12 个月的历史运行数据，主要包括齿轮箱油温、环境温度、风速、有功功率、发电机转速、变桨角度、偏航角度、振动特征、报警记录和停机事件等，用于模型训练、趋势分析和健康评估结果校准。</w:t>
      </w:r>
    </w:p>
    <w:p>
      <w:r>
        <w:t>故障与检修记录：包括齿轮箱、轴承、冷却系统、润滑系统等相关故障案例、报警原因、停机原因、处理措施、备件更换情况和复测结果，用于建立故障样本标签，并验证系统诊断结论的准确性。</w:t>
      </w:r>
    </w:p>
    <w:p>
      <w:r>
        <w:t>现场运行与验收规则：包括风电场网络安全要求、数据脱敏要求、接口访问审批流程、控制命令权限边界、数据使用范围、现场联调方式和验收流程等，用于保证系统对接过程符合现场生产管理和信息安全要求。</w:t>
      </w:r>
    </w:p>
    <w:p>
      <w:r>
        <w:t>数据使用授权说明：明确数据使用范围、使用周期、保密要求和成果展示边界。论文、答辩或公开展示中不直接暴露风电场敏感信息，必要时对机组编号、场站名称、网络地址和账号信息进行脱敏处理。</w:t>
      </w:r>
    </w:p>
    <w:p>
      <w:r>
        <w:t>通过上述资料，可完成机组资产建档、真实数据接入、字段映射、模型训练验证、故障样本标注和健康评估结果校准，为系统由演示原型向工程应用转化提供数据基础。</w:t>
      </w:r>
    </w:p>
    <w:p w14:paraId="4D1337C0">
      <w:pPr>
        <w:pStyle w:val="3"/>
        <w:rPr>
          <w:rFonts w:hint="eastAsia" w:ascii="黑体" w:hAnsi="黑体" w:eastAsia="黑体" w:cs="黑体"/>
          <w:color w:val="auto"/>
        </w:rPr>
      </w:pPr>
      <w:r>
        <w:rPr>
          <w:rFonts w:hint="eastAsia" w:ascii="黑体" w:hAnsi="黑体" w:eastAsia="黑体" w:cs="黑体"/>
          <w:color w:val="auto"/>
        </w:rPr>
        <w:t>十、阶段计划与预期成果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4535"/>
        <w:gridCol w:w="2268"/>
      </w:tblGrid>
      <w:tr w14:paraId="62DFC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shd w:val="clear" w:color="auto" w:fill="FFFFFF" w:themeFill="background1"/>
            <w:vAlign w:val="center"/>
          </w:tcPr>
          <w:p w14:paraId="10E69A44">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时间安排</w:t>
            </w:r>
          </w:p>
        </w:tc>
        <w:tc>
          <w:tcPr>
            <w:tcW w:w="4535" w:type="dxa"/>
            <w:shd w:val="clear" w:color="auto" w:fill="FFFFFF" w:themeFill="background1"/>
            <w:vAlign w:val="center"/>
          </w:tcPr>
          <w:p w14:paraId="7D9D507F">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工作重点</w:t>
            </w:r>
          </w:p>
        </w:tc>
        <w:tc>
          <w:tcPr>
            <w:tcW w:w="2268" w:type="dxa"/>
            <w:shd w:val="clear" w:color="auto" w:fill="FFFFFF" w:themeFill="background1"/>
            <w:vAlign w:val="center"/>
          </w:tcPr>
          <w:p w14:paraId="7E139E57">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成果形式</w:t>
            </w:r>
          </w:p>
        </w:tc>
      </w:tr>
      <w:tr w14:paraId="3C789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7A3ABA0C">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第 1 阶段</w:t>
            </w:r>
          </w:p>
        </w:tc>
        <w:tc>
          <w:tcPr>
            <w:tcW w:w="4535" w:type="dxa"/>
            <w:vAlign w:val="center"/>
          </w:tcPr>
          <w:p w14:paraId="4ECB7613">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完成风场数据字段确认、接口沟通和试采方案设计</w:t>
            </w:r>
          </w:p>
        </w:tc>
        <w:tc>
          <w:tcPr>
            <w:tcW w:w="2268" w:type="dxa"/>
            <w:vAlign w:val="center"/>
          </w:tcPr>
          <w:p w14:paraId="6F31E7AE">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字段表、接口方案、试采计划</w:t>
            </w:r>
          </w:p>
        </w:tc>
      </w:tr>
      <w:tr w14:paraId="340F0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5BE9B8D4">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第 2 阶段</w:t>
            </w:r>
          </w:p>
        </w:tc>
        <w:tc>
          <w:tcPr>
            <w:tcW w:w="4535" w:type="dxa"/>
            <w:vAlign w:val="center"/>
          </w:tcPr>
          <w:p w14:paraId="2FFD8854">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完成真实数据导入、清洗、可视化页面适配</w:t>
            </w:r>
          </w:p>
        </w:tc>
        <w:tc>
          <w:tcPr>
            <w:tcW w:w="2268" w:type="dxa"/>
            <w:vAlign w:val="center"/>
          </w:tcPr>
          <w:p w14:paraId="267AA8BB">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真实数据演示页面、数据质量报告</w:t>
            </w:r>
          </w:p>
        </w:tc>
      </w:tr>
      <w:tr w14:paraId="1F44F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78D6B5C0">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第 3 阶段</w:t>
            </w:r>
          </w:p>
        </w:tc>
        <w:tc>
          <w:tcPr>
            <w:tcW w:w="4535" w:type="dxa"/>
            <w:vAlign w:val="center"/>
          </w:tcPr>
          <w:p w14:paraId="52119221">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完成 M-IALO-SVR 油温残差模型训练和故障样本验证</w:t>
            </w:r>
          </w:p>
        </w:tc>
        <w:tc>
          <w:tcPr>
            <w:tcW w:w="2268" w:type="dxa"/>
            <w:vAlign w:val="center"/>
          </w:tcPr>
          <w:p w14:paraId="76F64E75">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模型结果、误差指标、残差阈值</w:t>
            </w:r>
          </w:p>
        </w:tc>
      </w:tr>
      <w:tr w14:paraId="78DEA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159466B9">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第 4 阶段</w:t>
            </w:r>
          </w:p>
        </w:tc>
        <w:tc>
          <w:tcPr>
            <w:tcW w:w="4535" w:type="dxa"/>
            <w:vAlign w:val="center"/>
          </w:tcPr>
          <w:p w14:paraId="5F4605D4">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完成健康评分、RUL、复检周期和故障诊断报告优化</w:t>
            </w:r>
          </w:p>
        </w:tc>
        <w:tc>
          <w:tcPr>
            <w:tcW w:w="2268" w:type="dxa"/>
            <w:vAlign w:val="center"/>
          </w:tcPr>
          <w:p w14:paraId="0356BC0E">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健康评估报告、诊断案例</w:t>
            </w:r>
          </w:p>
        </w:tc>
      </w:tr>
      <w:tr w14:paraId="3189D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154964A4">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第 5 阶段</w:t>
            </w:r>
          </w:p>
        </w:tc>
        <w:tc>
          <w:tcPr>
            <w:tcW w:w="4535" w:type="dxa"/>
            <w:vAlign w:val="center"/>
          </w:tcPr>
          <w:p w14:paraId="0FFF2DA6">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完成论文撰写、系统测试和答辩展示材料整理</w:t>
            </w:r>
          </w:p>
        </w:tc>
        <w:tc>
          <w:tcPr>
            <w:tcW w:w="2268" w:type="dxa"/>
            <w:vAlign w:val="center"/>
          </w:tcPr>
          <w:p w14:paraId="5CF63E2C">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毕业论文、演示系统、答辩 PPT</w:t>
            </w:r>
          </w:p>
        </w:tc>
      </w:tr>
    </w:tbl>
    <w:p w14:paraId="63DBD0D2">
      <w:pPr>
        <w:rPr>
          <w:rFonts w:hint="eastAsia" w:ascii="黑体" w:hAnsi="黑体" w:eastAsia="黑体" w:cs="黑体"/>
          <w:color w:val="auto"/>
        </w:rPr>
      </w:pPr>
    </w:p>
    <w:p w14:paraId="10C64E38">
      <w:pPr>
        <w:pStyle w:val="3"/>
        <w:rPr>
          <w:rFonts w:hint="eastAsia" w:ascii="黑体" w:hAnsi="黑体" w:eastAsia="黑体" w:cs="黑体"/>
          <w:color w:val="auto"/>
        </w:rPr>
      </w:pPr>
      <w:r>
        <w:rPr>
          <w:rFonts w:hint="eastAsia" w:ascii="黑体" w:hAnsi="黑体" w:eastAsia="黑体" w:cs="黑体"/>
          <w:color w:val="auto"/>
        </w:rPr>
        <w:t>十一、结论</w:t>
      </w:r>
    </w:p>
    <w:p w14:paraId="64B8EC8B">
      <w:pPr>
        <w:spacing w:after="100" w:line="324" w:lineRule="auto"/>
        <w:ind w:firstLine="420"/>
        <w:rPr>
          <w:rFonts w:hint="eastAsia" w:ascii="黑体" w:hAnsi="黑体" w:eastAsia="黑体" w:cs="黑体"/>
          <w:color w:val="auto"/>
        </w:rPr>
      </w:pPr>
      <w:r>
        <w:rPr>
          <w:rFonts w:hint="eastAsia" w:ascii="黑体" w:hAnsi="黑体" w:eastAsia="黑体" w:cs="黑体"/>
          <w:color w:val="auto"/>
          <w:sz w:val="21"/>
        </w:rPr>
        <w:t>本项目已经具备风电场智能健康管理系统的基础形态，能够展示风场总览、单机详情、实时监测、故障诊断、故障数据管理、健康报告和智能问答等核心功能。后续工作的关键是接入真实风场数据，通过真实运行工况和检修记录验证模型效果，使系统从毕设演示原型进一步提升为具有工程应用价值的智能运维辅助平台。</w:t>
      </w:r>
    </w:p>
    <w:sectPr>
      <w:pgSz w:w="12240" w:h="15840"/>
      <w:pgMar w:top="1247" w:right="1361" w:bottom="1134" w:left="1361"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82724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1686</Words>
  <Characters>1851</Characters>
  <Lines>0</Lines>
  <Paragraphs>0</Paragraphs>
  <TotalTime>3</TotalTime>
  <ScaleCrop>false</ScaleCrop>
  <LinksUpToDate>false</LinksUpToDate>
  <CharactersWithSpaces>1925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p:lastModifiedBy>
  <dcterms:modified xsi:type="dcterms:W3CDTF">2026-05-07T13:02:19Z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eyJoZGlkIjoiMjFiYjJlOWYxYTBiZjMzNzRkMDg4MWVkZWViM2VkYjkiLCJ1c2VySWQiOiIxMDAyNTA1OTUwIn0=</vt:lpwstr>
  </property>
  <property fmtid="{D5CDD505-2E9C-101B-9397-08002B2CF9AE}" pid="3" name="KSOProductBuildVer">
    <vt:lpwstr>2052-12.1.0.25865</vt:lpwstr>
  </property>
  <property fmtid="{D5CDD505-2E9C-101B-9397-08002B2CF9AE}" pid="4" name="ICV">
    <vt:lpwstr>2C8BA75813D54D6FA9C1F61197BAB794_12</vt:lpwstr>
  </property>
</Properties>
</file>