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sz w:val="21"/>
        </w:rPr>
        <w:t>摘要</w:t>
      </w:r>
      <w:r>
        <w:tab/>
      </w:r>
      <w:r>
        <w:rPr>
          <w:rFonts w:ascii="Times New Roman" w:hAnsi="Times New Roman" w:eastAsia="宋体"/>
          <w:sz w:val="21"/>
        </w:rPr>
        <w:t>I</w:t>
      </w:r>
    </w:p>
    <w:p w14:paraId="7B8916EE">
      <w:pPr>
        <w:tabs>
          <w:tab w:pos="9000" w:val="right" w:leader="dot"/>
        </w:tabs>
        <w:spacing w:after="0" w:line="300" w:lineRule="exact" w:before="0"/>
        <w:ind w:left="0" w:firstLine="0"/>
        <w:jc w:val="left"/>
      </w:pPr>
      <w:r>
        <w:rPr>
          <w:rFonts w:ascii="Times New Roman" w:hAnsi="Times New Roman" w:eastAsia="宋体"/>
          <w:sz w:val="21"/>
        </w:rPr>
        <w:t>ABSTRACT</w:t>
      </w:r>
      <w:r>
        <w:tab/>
      </w:r>
      <w:r>
        <w:rPr>
          <w:rFonts w:ascii="Times New Roman" w:hAnsi="Times New Roman" w:eastAsia="宋体"/>
          <w:sz w:val="21"/>
        </w:rPr>
        <w:t>II</w:t>
      </w:r>
    </w:p>
    <w:p w14:paraId="1D0CE393">
      <w:pPr>
        <w:tabs>
          <w:tab w:pos="9000" w:val="right" w:leader="dot"/>
        </w:tabs>
        <w:spacing w:after="0" w:line="300" w:lineRule="exact" w:before="0"/>
        <w:ind w:left="0" w:firstLine="0"/>
        <w:jc w:val="left"/>
      </w:pPr>
      <w:r>
        <w:rPr>
          <w:rFonts w:ascii="Times New Roman" w:hAnsi="Times New Roman" w:eastAsia="宋体"/>
          <w:sz w:val="21"/>
        </w:rPr>
        <w:t>第1章 绪论</w:t>
      </w:r>
      <w:r>
        <w:tab/>
      </w:r>
      <w:r>
        <w:rPr>
          <w:rFonts w:ascii="Times New Roman" w:hAnsi="Times New Roman" w:eastAsia="宋体"/>
          <w:sz w:val="21"/>
        </w:rPr>
        <w:t>1</w:t>
      </w:r>
    </w:p>
    <w:p w14:paraId="253639A1">
      <w:pPr>
        <w:tabs>
          <w:tab w:pos="9000" w:val="right" w:leader="dot"/>
        </w:tabs>
        <w:spacing w:after="0" w:line="300" w:lineRule="exact" w:before="0"/>
        <w:ind w:left="547" w:firstLine="0"/>
        <w:jc w:val="left"/>
      </w:pPr>
      <w:r>
        <w:rPr>
          <w:rFonts w:ascii="Times New Roman" w:hAnsi="Times New Roman" w:eastAsia="宋体"/>
          <w:sz w:val="21"/>
        </w:rPr>
        <w:t>1.1 研究背景与意义</w:t>
      </w:r>
      <w:r>
        <w:tab/>
      </w:r>
      <w:r>
        <w:rPr>
          <w:rFonts w:ascii="Times New Roman" w:hAnsi="Times New Roman" w:eastAsia="宋体"/>
          <w:sz w:val="21"/>
        </w:rPr>
        <w:t>1</w:t>
      </w:r>
    </w:p>
    <w:p w14:paraId="5292490C">
      <w:pPr>
        <w:tabs>
          <w:tab w:pos="9000" w:val="right" w:leader="dot"/>
        </w:tabs>
        <w:spacing w:after="0" w:line="300" w:lineRule="exact" w:before="0"/>
        <w:ind w:left="547" w:firstLine="0"/>
        <w:jc w:val="left"/>
      </w:pPr>
      <w:r>
        <w:rPr>
          <w:rFonts w:ascii="Times New Roman" w:hAnsi="Times New Roman" w:eastAsia="宋体"/>
          <w:sz w:val="21"/>
        </w:rPr>
        <w:t>1.2 国内外研究现状</w:t>
      </w:r>
      <w:r>
        <w:tab/>
      </w:r>
      <w:r>
        <w:rPr>
          <w:rFonts w:ascii="Times New Roman" w:hAnsi="Times New Roman" w:eastAsia="宋体"/>
          <w:sz w:val="21"/>
        </w:rPr>
        <w:t>1</w:t>
      </w:r>
    </w:p>
    <w:p w14:paraId="0A14F3A8">
      <w:pPr>
        <w:tabs>
          <w:tab w:pos="9000" w:val="right" w:leader="dot"/>
        </w:tabs>
        <w:spacing w:after="0" w:line="300" w:lineRule="exact" w:before="0"/>
        <w:ind w:left="547" w:firstLine="0"/>
        <w:jc w:val="left"/>
      </w:pPr>
      <w:r>
        <w:rPr>
          <w:rFonts w:ascii="Times New Roman" w:hAnsi="Times New Roman" w:eastAsia="宋体"/>
          <w:sz w:val="21"/>
        </w:rPr>
        <w:t>1.3 本文研究内容</w:t>
      </w:r>
      <w:r>
        <w:tab/>
      </w:r>
      <w:r>
        <w:rPr>
          <w:rFonts w:ascii="Times New Roman" w:hAnsi="Times New Roman" w:eastAsia="宋体"/>
          <w:sz w:val="21"/>
        </w:rPr>
        <w:t>2</w:t>
      </w:r>
    </w:p>
    <w:p w14:paraId="40CE6064">
      <w:pPr>
        <w:tabs>
          <w:tab w:pos="9000" w:val="right" w:leader="dot"/>
        </w:tabs>
        <w:spacing w:after="0" w:line="300" w:lineRule="exact" w:before="0"/>
        <w:ind w:left="547" w:firstLine="0"/>
        <w:jc w:val="left"/>
      </w:pPr>
      <w:r>
        <w:rPr>
          <w:rFonts w:ascii="Times New Roman" w:hAnsi="Times New Roman" w:eastAsia="宋体"/>
          <w:sz w:val="21"/>
        </w:rPr>
        <w:t>1.4 技术路线</w:t>
      </w:r>
      <w:r>
        <w:tab/>
      </w:r>
      <w:r>
        <w:rPr>
          <w:rFonts w:ascii="Times New Roman" w:hAnsi="Times New Roman" w:eastAsia="宋体"/>
          <w:sz w:val="21"/>
        </w:rPr>
        <w:t>2</w:t>
      </w:r>
    </w:p>
    <w:p w14:paraId="6636B884">
      <w:pPr>
        <w:tabs>
          <w:tab w:pos="9000" w:val="right" w:leader="dot"/>
        </w:tabs>
        <w:spacing w:after="0" w:line="300" w:lineRule="exact" w:before="0"/>
        <w:ind w:left="0" w:firstLine="0"/>
        <w:jc w:val="left"/>
      </w:pPr>
      <w:r>
        <w:rPr>
          <w:rFonts w:ascii="Times New Roman" w:hAnsi="Times New Roman" w:eastAsia="宋体"/>
          <w:sz w:val="21"/>
        </w:rPr>
        <w:t>第2章 系统需求分析</w:t>
      </w:r>
      <w:r>
        <w:tab/>
      </w:r>
      <w:r>
        <w:rPr>
          <w:rFonts w:ascii="Times New Roman" w:hAnsi="Times New Roman" w:eastAsia="宋体"/>
          <w:sz w:val="21"/>
        </w:rPr>
        <w:t>3</w:t>
      </w:r>
    </w:p>
    <w:p w14:paraId="59B62721">
      <w:pPr>
        <w:tabs>
          <w:tab w:pos="9000" w:val="right" w:leader="dot"/>
        </w:tabs>
        <w:spacing w:after="0" w:line="300" w:lineRule="exact" w:before="0"/>
        <w:ind w:left="547" w:firstLine="0"/>
        <w:jc w:val="left"/>
      </w:pPr>
      <w:r>
        <w:rPr>
          <w:rFonts w:ascii="Times New Roman" w:hAnsi="Times New Roman" w:eastAsia="宋体"/>
          <w:sz w:val="21"/>
        </w:rPr>
        <w:t>2.1 业务需求分析</w:t>
      </w:r>
      <w:r>
        <w:tab/>
      </w:r>
      <w:r>
        <w:rPr>
          <w:rFonts w:ascii="Times New Roman" w:hAnsi="Times New Roman" w:eastAsia="宋体"/>
          <w:sz w:val="21"/>
        </w:rPr>
        <w:t>3</w:t>
      </w:r>
    </w:p>
    <w:p w14:paraId="76270A8C">
      <w:pPr>
        <w:tabs>
          <w:tab w:pos="9000" w:val="right" w:leader="dot"/>
        </w:tabs>
        <w:spacing w:after="0" w:line="300" w:lineRule="exact" w:before="0"/>
        <w:ind w:left="547" w:firstLine="0"/>
        <w:jc w:val="left"/>
      </w:pPr>
      <w:r>
        <w:rPr>
          <w:rFonts w:ascii="Times New Roman" w:hAnsi="Times New Roman" w:eastAsia="宋体"/>
          <w:sz w:val="21"/>
        </w:rPr>
        <w:t>2.2 功能需求分析</w:t>
      </w:r>
      <w:r>
        <w:tab/>
      </w:r>
      <w:r>
        <w:rPr>
          <w:rFonts w:ascii="Times New Roman" w:hAnsi="Times New Roman" w:eastAsia="宋体"/>
          <w:sz w:val="21"/>
        </w:rPr>
        <w:t>3</w:t>
      </w:r>
    </w:p>
    <w:p w14:paraId="09F47589">
      <w:pPr>
        <w:tabs>
          <w:tab w:pos="9000" w:val="right" w:leader="dot"/>
        </w:tabs>
        <w:spacing w:after="0" w:line="300" w:lineRule="exact" w:before="0"/>
        <w:ind w:left="547" w:firstLine="0"/>
        <w:jc w:val="left"/>
      </w:pPr>
      <w:r>
        <w:rPr>
          <w:rFonts w:ascii="Times New Roman" w:hAnsi="Times New Roman" w:eastAsia="宋体"/>
          <w:sz w:val="21"/>
        </w:rPr>
        <w:t>2.3 非功能需求分析</w:t>
      </w:r>
      <w:r>
        <w:tab/>
      </w:r>
      <w:r>
        <w:rPr>
          <w:rFonts w:ascii="Times New Roman" w:hAnsi="Times New Roman" w:eastAsia="宋体"/>
          <w:sz w:val="21"/>
        </w:rPr>
        <w:t>4</w:t>
      </w:r>
    </w:p>
    <w:p w14:paraId="03A30441">
      <w:pPr>
        <w:tabs>
          <w:tab w:pos="9000" w:val="right" w:leader="dot"/>
        </w:tabs>
        <w:spacing w:after="0" w:line="300" w:lineRule="exact" w:before="0"/>
        <w:ind w:left="547" w:firstLine="0"/>
        <w:jc w:val="left"/>
      </w:pPr>
      <w:r>
        <w:rPr>
          <w:rFonts w:ascii="Times New Roman" w:hAnsi="Times New Roman" w:eastAsia="宋体"/>
          <w:sz w:val="21"/>
        </w:rPr>
        <w:t>2.4 数据需求分析</w:t>
      </w:r>
      <w:r>
        <w:tab/>
      </w:r>
      <w:r>
        <w:rPr>
          <w:rFonts w:ascii="Times New Roman" w:hAnsi="Times New Roman" w:eastAsia="宋体"/>
          <w:sz w:val="21"/>
        </w:rPr>
        <w:t>4</w:t>
      </w:r>
    </w:p>
    <w:p w14:paraId="195B07AC">
      <w:pPr>
        <w:tabs>
          <w:tab w:pos="9000" w:val="right" w:leader="dot"/>
        </w:tabs>
        <w:spacing w:after="0" w:line="300" w:lineRule="exact" w:before="0"/>
        <w:ind w:left="0" w:firstLine="0"/>
        <w:jc w:val="left"/>
      </w:pPr>
      <w:r>
        <w:rPr>
          <w:rFonts w:ascii="Times New Roman" w:hAnsi="Times New Roman" w:eastAsia="宋体"/>
          <w:sz w:val="21"/>
        </w:rPr>
        <w:t>第3章 相关技术与理论基础</w:t>
      </w:r>
      <w:r>
        <w:tab/>
      </w:r>
      <w:r>
        <w:rPr>
          <w:rFonts w:ascii="Times New Roman" w:hAnsi="Times New Roman" w:eastAsia="宋体"/>
          <w:sz w:val="21"/>
        </w:rPr>
        <w:t>5</w:t>
      </w:r>
    </w:p>
    <w:p w14:paraId="23BC6452">
      <w:pPr>
        <w:tabs>
          <w:tab w:pos="9000" w:val="right" w:leader="dot"/>
        </w:tabs>
        <w:spacing w:after="0" w:line="300" w:lineRule="exact" w:before="0"/>
        <w:ind w:left="547" w:firstLine="0"/>
        <w:jc w:val="left"/>
      </w:pPr>
      <w:r>
        <w:rPr>
          <w:rFonts w:ascii="Times New Roman" w:hAnsi="Times New Roman" w:eastAsia="宋体"/>
          <w:sz w:val="21"/>
        </w:rPr>
        <w:t>3.1 齿轮箱典型故障机理</w:t>
      </w:r>
      <w:r>
        <w:tab/>
      </w:r>
      <w:r>
        <w:rPr>
          <w:rFonts w:ascii="Times New Roman" w:hAnsi="Times New Roman" w:eastAsia="宋体"/>
          <w:sz w:val="21"/>
        </w:rPr>
        <w:t>5</w:t>
      </w:r>
    </w:p>
    <w:p w14:paraId="1BFBE5A1">
      <w:pPr>
        <w:tabs>
          <w:tab w:pos="9000" w:val="right" w:leader="dot"/>
        </w:tabs>
        <w:spacing w:after="0" w:line="300" w:lineRule="exact" w:before="0"/>
        <w:ind w:left="547" w:firstLine="0"/>
        <w:jc w:val="left"/>
      </w:pPr>
      <w:r>
        <w:rPr>
          <w:rFonts w:ascii="Times New Roman" w:hAnsi="Times New Roman" w:eastAsia="宋体"/>
          <w:sz w:val="21"/>
        </w:rPr>
        <w:t>3.2 多源状态监测技术</w:t>
      </w:r>
      <w:r>
        <w:tab/>
      </w:r>
      <w:r>
        <w:rPr>
          <w:rFonts w:ascii="Times New Roman" w:hAnsi="Times New Roman" w:eastAsia="宋体"/>
          <w:sz w:val="21"/>
        </w:rPr>
        <w:t>5</w:t>
      </w:r>
    </w:p>
    <w:p w14:paraId="741DDDC9">
      <w:pPr>
        <w:tabs>
          <w:tab w:pos="9000" w:val="right" w:leader="dot"/>
        </w:tabs>
        <w:spacing w:after="0" w:line="300" w:lineRule="exact" w:before="0"/>
        <w:ind w:left="547" w:firstLine="0"/>
        <w:jc w:val="left"/>
      </w:pPr>
      <w:r>
        <w:rPr>
          <w:rFonts w:ascii="Times New Roman" w:hAnsi="Times New Roman" w:eastAsia="宋体"/>
          <w:sz w:val="21"/>
        </w:rPr>
        <w:t>3.3 振动特征提取方法</w:t>
      </w:r>
      <w:r>
        <w:tab/>
      </w:r>
      <w:r>
        <w:rPr>
          <w:rFonts w:ascii="Times New Roman" w:hAnsi="Times New Roman" w:eastAsia="宋体"/>
          <w:sz w:val="21"/>
        </w:rPr>
        <w:t>5</w:t>
      </w:r>
    </w:p>
    <w:p w14:paraId="0C53C742">
      <w:pPr>
        <w:tabs>
          <w:tab w:pos="9000" w:val="right" w:leader="dot"/>
        </w:tabs>
        <w:spacing w:after="0" w:line="300" w:lineRule="exact" w:before="0"/>
        <w:ind w:left="547" w:firstLine="0"/>
        <w:jc w:val="left"/>
      </w:pPr>
      <w:r>
        <w:rPr>
          <w:rFonts w:ascii="Times New Roman" w:hAnsi="Times New Roman" w:eastAsia="宋体"/>
          <w:sz w:val="21"/>
        </w:rPr>
        <w:t>3.4 风险评分与健康评估方法</w:t>
      </w:r>
      <w:r>
        <w:tab/>
      </w:r>
      <w:r>
        <w:rPr>
          <w:rFonts w:ascii="Times New Roman" w:hAnsi="Times New Roman" w:eastAsia="宋体"/>
          <w:sz w:val="21"/>
        </w:rPr>
        <w:t>5</w:t>
      </w:r>
    </w:p>
    <w:p w14:paraId="1EA55305">
      <w:pPr>
        <w:tabs>
          <w:tab w:pos="9000" w:val="right" w:leader="dot"/>
        </w:tabs>
        <w:spacing w:after="0" w:line="300" w:lineRule="exact" w:before="0"/>
        <w:ind w:left="547" w:firstLine="0"/>
        <w:jc w:val="left"/>
      </w:pPr>
      <w:r>
        <w:rPr>
          <w:rFonts w:ascii="Times New Roman" w:hAnsi="Times New Roman" w:eastAsia="宋体"/>
          <w:sz w:val="21"/>
        </w:rPr>
        <w:t>3.5 Web系统开发技术</w:t>
      </w:r>
      <w:r>
        <w:tab/>
      </w:r>
      <w:r>
        <w:rPr>
          <w:rFonts w:ascii="Times New Roman" w:hAnsi="Times New Roman" w:eastAsia="宋体"/>
          <w:sz w:val="21"/>
        </w:rPr>
        <w:t>6</w:t>
      </w:r>
    </w:p>
    <w:p w14:paraId="20441DA4">
      <w:pPr>
        <w:tabs>
          <w:tab w:pos="9000" w:val="right" w:leader="dot"/>
        </w:tabs>
        <w:spacing w:after="0" w:line="300" w:lineRule="exact" w:before="0"/>
        <w:ind w:left="0" w:firstLine="0"/>
        <w:jc w:val="left"/>
      </w:pPr>
      <w:r>
        <w:rPr>
          <w:rFonts w:ascii="Times New Roman" w:hAnsi="Times New Roman" w:eastAsia="宋体"/>
          <w:sz w:val="21"/>
        </w:rPr>
        <w:t>第4章 系统总体设计</w:t>
      </w:r>
      <w:r>
        <w:tab/>
      </w:r>
      <w:r>
        <w:rPr>
          <w:rFonts w:ascii="Times New Roman" w:hAnsi="Times New Roman" w:eastAsia="宋体"/>
          <w:sz w:val="21"/>
        </w:rPr>
        <w:t>7</w:t>
      </w:r>
    </w:p>
    <w:p w14:paraId="7DB1911D">
      <w:pPr>
        <w:tabs>
          <w:tab w:pos="9000" w:val="right" w:leader="dot"/>
        </w:tabs>
        <w:spacing w:after="0" w:line="300" w:lineRule="exact" w:before="0"/>
        <w:ind w:left="547" w:firstLine="0"/>
        <w:jc w:val="left"/>
      </w:pPr>
      <w:r>
        <w:rPr>
          <w:rFonts w:ascii="Times New Roman" w:hAnsi="Times New Roman" w:eastAsia="宋体"/>
          <w:sz w:val="21"/>
        </w:rPr>
        <w:t>4.1 系统架构设计</w:t>
      </w:r>
      <w:r>
        <w:tab/>
      </w:r>
      <w:r>
        <w:rPr>
          <w:rFonts w:ascii="Times New Roman" w:hAnsi="Times New Roman" w:eastAsia="宋体"/>
          <w:sz w:val="21"/>
        </w:rPr>
        <w:t>7</w:t>
      </w:r>
    </w:p>
    <w:p w14:paraId="29E54A48">
      <w:pPr>
        <w:tabs>
          <w:tab w:pos="9000" w:val="right" w:leader="dot"/>
        </w:tabs>
        <w:spacing w:after="0" w:line="300" w:lineRule="exact" w:before="0"/>
        <w:ind w:left="547" w:firstLine="0"/>
        <w:jc w:val="left"/>
      </w:pPr>
      <w:r>
        <w:rPr>
          <w:rFonts w:ascii="Times New Roman" w:hAnsi="Times New Roman" w:eastAsia="宋体"/>
          <w:sz w:val="21"/>
        </w:rPr>
        <w:t>4.2 数据库设计</w:t>
      </w:r>
      <w:r>
        <w:tab/>
      </w:r>
      <w:r>
        <w:rPr>
          <w:rFonts w:ascii="Times New Roman" w:hAnsi="Times New Roman" w:eastAsia="宋体"/>
          <w:sz w:val="21"/>
        </w:rPr>
        <w:t>7</w:t>
      </w:r>
    </w:p>
    <w:p w14:paraId="4AC00CBC">
      <w:pPr>
        <w:tabs>
          <w:tab w:pos="9000" w:val="right" w:leader="dot"/>
        </w:tabs>
        <w:spacing w:after="0" w:line="300" w:lineRule="exact" w:before="0"/>
        <w:ind w:left="547" w:firstLine="0"/>
        <w:jc w:val="left"/>
      </w:pPr>
      <w:r>
        <w:rPr>
          <w:rFonts w:ascii="Times New Roman" w:hAnsi="Times New Roman" w:eastAsia="宋体"/>
          <w:sz w:val="21"/>
        </w:rPr>
        <w:t>4.3 后端接口设计</w:t>
      </w:r>
      <w:r>
        <w:tab/>
      </w:r>
      <w:r>
        <w:rPr>
          <w:rFonts w:ascii="Times New Roman" w:hAnsi="Times New Roman" w:eastAsia="宋体"/>
          <w:sz w:val="21"/>
        </w:rPr>
        <w:t>8</w:t>
      </w:r>
    </w:p>
    <w:p w14:paraId="2FB4BA52">
      <w:pPr>
        <w:tabs>
          <w:tab w:pos="9000" w:val="right" w:leader="dot"/>
        </w:tabs>
        <w:spacing w:after="0" w:line="300" w:lineRule="exact" w:before="0"/>
        <w:ind w:left="547" w:firstLine="0"/>
        <w:jc w:val="left"/>
      </w:pPr>
      <w:r>
        <w:rPr>
          <w:rFonts w:ascii="Times New Roman" w:hAnsi="Times New Roman" w:eastAsia="宋体"/>
          <w:sz w:val="21"/>
        </w:rPr>
        <w:t>4.4 诊断流程设计</w:t>
      </w:r>
      <w:r>
        <w:tab/>
      </w:r>
      <w:r>
        <w:rPr>
          <w:rFonts w:ascii="Times New Roman" w:hAnsi="Times New Roman" w:eastAsia="宋体"/>
          <w:sz w:val="21"/>
        </w:rPr>
        <w:t>8</w:t>
      </w:r>
    </w:p>
    <w:p w14:paraId="6BF7EC60">
      <w:pPr>
        <w:tabs>
          <w:tab w:pos="9000" w:val="right" w:leader="dot"/>
        </w:tabs>
        <w:spacing w:after="0" w:line="300" w:lineRule="exact" w:before="0"/>
        <w:ind w:left="547" w:firstLine="0"/>
        <w:jc w:val="left"/>
      </w:pPr>
      <w:r>
        <w:rPr>
          <w:rFonts w:ascii="Times New Roman" w:hAnsi="Times New Roman" w:eastAsia="宋体"/>
          <w:sz w:val="21"/>
        </w:rPr>
        <w:t>4.5 前端页面设计</w:t>
      </w:r>
      <w:r>
        <w:tab/>
      </w:r>
      <w:r>
        <w:rPr>
          <w:rFonts w:ascii="Times New Roman" w:hAnsi="Times New Roman" w:eastAsia="宋体"/>
          <w:sz w:val="21"/>
        </w:rPr>
        <w:t>9</w:t>
      </w:r>
    </w:p>
    <w:p w14:paraId="0310D34F">
      <w:pPr>
        <w:tabs>
          <w:tab w:pos="9000" w:val="right" w:leader="dot"/>
        </w:tabs>
        <w:spacing w:after="0" w:line="300" w:lineRule="exact" w:before="0"/>
        <w:ind w:left="0" w:firstLine="0"/>
        <w:jc w:val="left"/>
      </w:pPr>
      <w:r>
        <w:rPr>
          <w:rFonts w:ascii="Times New Roman" w:hAnsi="Times New Roman" w:eastAsia="宋体"/>
          <w:sz w:val="21"/>
        </w:rPr>
        <w:t>第5章 系统详细实现</w:t>
      </w:r>
      <w:r>
        <w:tab/>
      </w:r>
      <w:r>
        <w:rPr>
          <w:rFonts w:ascii="Times New Roman" w:hAnsi="Times New Roman" w:eastAsia="宋体"/>
          <w:sz w:val="21"/>
        </w:rPr>
        <w:t>10</w:t>
      </w:r>
    </w:p>
    <w:p w14:paraId="1E195261">
      <w:pPr>
        <w:tabs>
          <w:tab w:pos="9000" w:val="right" w:leader="dot"/>
        </w:tabs>
        <w:spacing w:after="0" w:line="300" w:lineRule="exact" w:before="0"/>
        <w:ind w:left="547" w:firstLine="0"/>
        <w:jc w:val="left"/>
      </w:pPr>
      <w:r>
        <w:rPr>
          <w:rFonts w:ascii="Times New Roman" w:hAnsi="Times New Roman" w:eastAsia="宋体"/>
          <w:sz w:val="21"/>
        </w:rPr>
        <w:t>5.1 数据采集与融合模块实现</w:t>
      </w:r>
      <w:r>
        <w:tab/>
      </w:r>
      <w:r>
        <w:rPr>
          <w:rFonts w:ascii="Times New Roman" w:hAnsi="Times New Roman" w:eastAsia="宋体"/>
          <w:sz w:val="21"/>
        </w:rPr>
        <w:t>10</w:t>
      </w:r>
    </w:p>
    <w:p w14:paraId="48CBAF27">
      <w:pPr>
        <w:tabs>
          <w:tab w:pos="9000" w:val="right" w:leader="dot"/>
        </w:tabs>
        <w:spacing w:after="0" w:line="300" w:lineRule="exact" w:before="0"/>
        <w:ind w:left="547" w:firstLine="0"/>
        <w:jc w:val="left"/>
      </w:pPr>
      <w:r>
        <w:rPr>
          <w:rFonts w:ascii="Times New Roman" w:hAnsi="Times New Roman" w:eastAsia="宋体"/>
          <w:sz w:val="21"/>
        </w:rPr>
        <w:t>5.2 故障诊断算法模块实现</w:t>
      </w:r>
      <w:r>
        <w:tab/>
      </w:r>
      <w:r>
        <w:rPr>
          <w:rFonts w:ascii="Times New Roman" w:hAnsi="Times New Roman" w:eastAsia="宋体"/>
          <w:sz w:val="21"/>
        </w:rPr>
        <w:t>10</w:t>
      </w:r>
    </w:p>
    <w:p w14:paraId="10EE3A97">
      <w:pPr>
        <w:tabs>
          <w:tab w:pos="9000" w:val="right" w:leader="dot"/>
        </w:tabs>
        <w:spacing w:after="0" w:line="300" w:lineRule="exact" w:before="0"/>
        <w:ind w:left="547" w:firstLine="0"/>
        <w:jc w:val="left"/>
      </w:pPr>
      <w:r>
        <w:rPr>
          <w:rFonts w:ascii="Times New Roman" w:hAnsi="Times New Roman" w:eastAsia="宋体"/>
          <w:sz w:val="21"/>
        </w:rPr>
        <w:t>5.3 风场总览与单机详情实现</w:t>
      </w:r>
      <w:r>
        <w:tab/>
      </w:r>
      <w:r>
        <w:rPr>
          <w:rFonts w:ascii="Times New Roman" w:hAnsi="Times New Roman" w:eastAsia="宋体"/>
          <w:sz w:val="21"/>
        </w:rPr>
        <w:t>11</w:t>
      </w:r>
    </w:p>
    <w:p w14:paraId="6BA42F4B">
      <w:pPr>
        <w:tabs>
          <w:tab w:pos="9000" w:val="right" w:leader="dot"/>
        </w:tabs>
        <w:spacing w:after="0" w:line="300" w:lineRule="exact" w:before="0"/>
        <w:ind w:left="547" w:firstLine="0"/>
        <w:jc w:val="left"/>
      </w:pPr>
      <w:r>
        <w:rPr>
          <w:rFonts w:ascii="Times New Roman" w:hAnsi="Times New Roman" w:eastAsia="宋体"/>
          <w:sz w:val="21"/>
        </w:rPr>
        <w:t>5.4 故障代码库与数据管理实现</w:t>
      </w:r>
      <w:r>
        <w:tab/>
      </w:r>
      <w:r>
        <w:rPr>
          <w:rFonts w:ascii="Times New Roman" w:hAnsi="Times New Roman" w:eastAsia="宋体"/>
          <w:sz w:val="21"/>
        </w:rPr>
        <w:t>11</w:t>
      </w:r>
    </w:p>
    <w:p w14:paraId="69E8C246">
      <w:pPr>
        <w:tabs>
          <w:tab w:pos="9000" w:val="right" w:leader="dot"/>
        </w:tabs>
        <w:spacing w:after="0" w:line="300" w:lineRule="exact" w:before="0"/>
        <w:ind w:left="547" w:firstLine="0"/>
        <w:jc w:val="left"/>
      </w:pPr>
      <w:r>
        <w:rPr>
          <w:rFonts w:ascii="Times New Roman" w:hAnsi="Times New Roman" w:eastAsia="宋体"/>
          <w:sz w:val="21"/>
        </w:rPr>
        <w:t>5.5 AI运维问答模块实现</w:t>
      </w:r>
      <w:r>
        <w:tab/>
      </w:r>
      <w:r>
        <w:rPr>
          <w:rFonts w:ascii="Times New Roman" w:hAnsi="Times New Roman" w:eastAsia="宋体"/>
          <w:sz w:val="21"/>
        </w:rPr>
        <w:t>12</w:t>
      </w:r>
    </w:p>
    <w:p w14:paraId="23299A49">
      <w:pPr>
        <w:tabs>
          <w:tab w:pos="9000" w:val="right" w:leader="dot"/>
        </w:tabs>
        <w:spacing w:after="0" w:line="300" w:lineRule="exact" w:before="0"/>
        <w:ind w:left="547" w:firstLine="0"/>
        <w:jc w:val="left"/>
      </w:pPr>
      <w:r>
        <w:rPr>
          <w:rFonts w:ascii="Times New Roman" w:hAnsi="Times New Roman" w:eastAsia="宋体"/>
          <w:sz w:val="21"/>
        </w:rPr>
        <w:t>5.6 健康报告与工单闭环实现</w:t>
      </w:r>
      <w:r>
        <w:tab/>
      </w:r>
      <w:r>
        <w:rPr>
          <w:rFonts w:ascii="Times New Roman" w:hAnsi="Times New Roman" w:eastAsia="宋体"/>
          <w:sz w:val="21"/>
        </w:rPr>
        <w:t>12</w:t>
      </w:r>
    </w:p>
    <w:p w14:paraId="641124DB">
      <w:pPr>
        <w:tabs>
          <w:tab w:pos="9000" w:val="right" w:leader="dot"/>
        </w:tabs>
        <w:spacing w:after="0" w:line="300" w:lineRule="exact" w:before="0"/>
        <w:ind w:left="0" w:firstLine="0"/>
        <w:jc w:val="left"/>
      </w:pPr>
      <w:r>
        <w:rPr>
          <w:rFonts w:ascii="Times New Roman" w:hAnsi="Times New Roman" w:eastAsia="宋体"/>
          <w:sz w:val="21"/>
        </w:rPr>
        <w:t>第6章 系统测试与结果分析</w:t>
      </w:r>
      <w:r>
        <w:tab/>
      </w:r>
      <w:r>
        <w:rPr>
          <w:rFonts w:ascii="Times New Roman" w:hAnsi="Times New Roman" w:eastAsia="宋体"/>
          <w:sz w:val="21"/>
        </w:rPr>
        <w:t>13</w:t>
      </w:r>
    </w:p>
    <w:p w14:paraId="0A6DD2A6">
      <w:pPr>
        <w:tabs>
          <w:tab w:pos="9000" w:val="right" w:leader="dot"/>
        </w:tabs>
        <w:spacing w:after="0" w:line="300" w:lineRule="exact" w:before="0"/>
        <w:ind w:left="547" w:firstLine="0"/>
        <w:jc w:val="left"/>
      </w:pPr>
      <w:r>
        <w:rPr>
          <w:rFonts w:ascii="Times New Roman" w:hAnsi="Times New Roman" w:eastAsia="宋体"/>
          <w:sz w:val="21"/>
        </w:rPr>
        <w:t>6.1 测试环境</w:t>
      </w:r>
      <w:r>
        <w:tab/>
      </w:r>
      <w:r>
        <w:rPr>
          <w:rFonts w:ascii="Times New Roman" w:hAnsi="Times New Roman" w:eastAsia="宋体"/>
          <w:sz w:val="21"/>
        </w:rPr>
        <w:t>13</w:t>
      </w:r>
    </w:p>
    <w:p w14:paraId="0CFC6D20">
      <w:pPr>
        <w:tabs>
          <w:tab w:pos="9000" w:val="right" w:leader="dot"/>
        </w:tabs>
        <w:spacing w:after="0" w:line="300" w:lineRule="exact" w:before="0"/>
        <w:ind w:left="547" w:firstLine="0"/>
        <w:jc w:val="left"/>
      </w:pPr>
      <w:r>
        <w:rPr>
          <w:rFonts w:ascii="Times New Roman" w:hAnsi="Times New Roman" w:eastAsia="宋体"/>
          <w:sz w:val="21"/>
        </w:rPr>
        <w:t>6.2 功能测试</w:t>
      </w:r>
      <w:r>
        <w:tab/>
      </w:r>
      <w:r>
        <w:rPr>
          <w:rFonts w:ascii="Times New Roman" w:hAnsi="Times New Roman" w:eastAsia="宋体"/>
          <w:sz w:val="21"/>
        </w:rPr>
        <w:t>13</w:t>
      </w:r>
    </w:p>
    <w:p w14:paraId="4D56227E">
      <w:pPr>
        <w:tabs>
          <w:tab w:pos="9000" w:val="right" w:leader="dot"/>
        </w:tabs>
        <w:spacing w:after="0" w:line="300" w:lineRule="exact" w:before="0"/>
        <w:ind w:left="547" w:firstLine="0"/>
        <w:jc w:val="left"/>
      </w:pPr>
      <w:r>
        <w:rPr>
          <w:rFonts w:ascii="Times New Roman" w:hAnsi="Times New Roman" w:eastAsia="宋体"/>
          <w:sz w:val="21"/>
        </w:rPr>
        <w:t>6.3 诊断场景测试分析</w:t>
      </w:r>
      <w:r>
        <w:tab/>
      </w:r>
      <w:r>
        <w:rPr>
          <w:rFonts w:ascii="Times New Roman" w:hAnsi="Times New Roman" w:eastAsia="宋体"/>
          <w:sz w:val="21"/>
        </w:rPr>
        <w:t>13</w:t>
      </w:r>
    </w:p>
    <w:p w14:paraId="356D2610">
      <w:pPr>
        <w:tabs>
          <w:tab w:pos="9000" w:val="right" w:leader="dot"/>
        </w:tabs>
        <w:spacing w:after="0" w:line="300" w:lineRule="exact" w:before="0"/>
        <w:ind w:left="547" w:firstLine="0"/>
        <w:jc w:val="left"/>
      </w:pPr>
      <w:r>
        <w:rPr>
          <w:rFonts w:ascii="Times New Roman" w:hAnsi="Times New Roman" w:eastAsia="宋体"/>
          <w:sz w:val="21"/>
        </w:rPr>
        <w:t>6.4 结果评价</w:t>
      </w:r>
      <w:r>
        <w:tab/>
      </w:r>
      <w:r>
        <w:rPr>
          <w:rFonts w:ascii="Times New Roman" w:hAnsi="Times New Roman" w:eastAsia="宋体"/>
          <w:sz w:val="21"/>
        </w:rPr>
        <w:t>14</w:t>
      </w:r>
    </w:p>
    <w:p w14:paraId="3030AE7C">
      <w:pPr>
        <w:tabs>
          <w:tab w:pos="9000" w:val="right" w:leader="dot"/>
        </w:tabs>
        <w:spacing w:after="0" w:line="300" w:lineRule="exact" w:before="0"/>
        <w:ind w:left="0" w:firstLine="0"/>
        <w:jc w:val="left"/>
      </w:pPr>
      <w:r>
        <w:rPr>
          <w:rFonts w:ascii="Times New Roman" w:hAnsi="Times New Roman" w:eastAsia="宋体"/>
          <w:sz w:val="21"/>
        </w:rPr>
        <w:t>第7章 总结与展望</w:t>
      </w:r>
      <w:r>
        <w:tab/>
      </w:r>
      <w:r>
        <w:rPr>
          <w:rFonts w:ascii="Times New Roman" w:hAnsi="Times New Roman" w:eastAsia="宋体"/>
          <w:sz w:val="21"/>
        </w:rPr>
        <w:t>15</w:t>
      </w:r>
    </w:p>
    <w:p w14:paraId="3F791311">
      <w:pPr>
        <w:tabs>
          <w:tab w:pos="9000" w:val="right" w:leader="dot"/>
        </w:tabs>
        <w:spacing w:after="0" w:line="300" w:lineRule="exact" w:before="0"/>
        <w:ind w:left="0" w:firstLine="0"/>
        <w:jc w:val="left"/>
      </w:pPr>
      <w:r>
        <w:rPr>
          <w:rFonts w:ascii="Times New Roman" w:hAnsi="Times New Roman" w:eastAsia="宋体"/>
          <w:sz w:val="21"/>
        </w:rPr>
        <w:t>参考文献</w:t>
      </w:r>
      <w:r>
        <w:tab/>
      </w:r>
      <w:r>
        <w:rPr>
          <w:rFonts w:ascii="Times New Roman" w:hAnsi="Times New Roman" w:eastAsia="宋体"/>
          <w:sz w:val="21"/>
        </w:rPr>
        <w:t>16</w:t>
      </w:r>
    </w:p>
    <w:p w14:paraId="6A78897A">
      <w:pPr>
        <w:tabs>
          <w:tab w:pos="9000" w:val="right" w:leader="dot"/>
        </w:tabs>
        <w:spacing w:after="0" w:line="300" w:lineRule="exact" w:before="0"/>
        <w:ind w:left="0" w:firstLine="0"/>
        <w:jc w:val="left"/>
      </w:pPr>
      <w:r>
        <w:rPr>
          <w:rFonts w:ascii="Times New Roman" w:hAnsi="Times New Roman" w:eastAsia="宋体"/>
          <w:sz w:val="21"/>
        </w:rPr>
        <w:t>致谢</w:t>
      </w:r>
      <w:r>
        <w:tab/>
      </w:r>
      <w:r>
        <w:rPr>
          <w:rFonts w:ascii="Times New Roman" w:hAnsi="Times New Roman" w:eastAsia="宋体"/>
          <w:sz w:val="21"/>
        </w:rPr>
        <w:t>17</w:t>
      </w:r>
    </w:p>
    <w:p w14:paraId="05FFC543">
      <w:pPr>
        <w:tabs>
          <w:tab w:pos="9000" w:val="right" w:leader="dot"/>
        </w:tabs>
        <w:spacing w:after="0" w:line="300" w:lineRule="exact" w:before="0"/>
        <w:ind w:left="0" w:firstLine="0"/>
        <w:jc w:val="left"/>
      </w:pPr>
      <w:r>
        <w:rPr>
          <w:rFonts w:ascii="Times New Roman" w:hAnsi="Times New Roman" w:eastAsia="宋体"/>
          <w:sz w:val="21"/>
        </w:rPr>
        <w:t>附录A 系统主要接口</w:t>
      </w:r>
      <w:r>
        <w:tab/>
      </w:r>
      <w:r>
        <w:rPr>
          <w:rFonts w:ascii="Times New Roman" w:hAnsi="Times New Roman" w:eastAsia="宋体"/>
          <w:sz w:val="21"/>
        </w:rPr>
        <w:t>18</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spacing w:before="120" w:after="60"/>
        <w:ind w:firstLine="0"/>
      </w:pPr>
      <w:r>
        <w:rPr>
          <w:rFonts w:ascii="Arial" w:hAnsi="Arial" w:eastAsia="黑体"/>
          <w:b/>
          <w:sz w:val="24"/>
        </w:rPr>
        <w:t>2.5 需求约束与边界分析</w:t>
      </w:r>
    </w:p>
    <w:p>
      <w:pPr>
        <w:spacing w:line="360" w:lineRule="auto" w:before="0" w:after="0"/>
        <w:ind w:firstLine="480"/>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w:pPr>
        <w:spacing w:line="360" w:lineRule="auto" w:before="0" w:after="0"/>
        <w:ind w:firstLine="480"/>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w:pPr>
        <w:spacing w:line="360" w:lineRule="auto" w:before="0" w:after="0"/>
        <w:ind w:firstLine="480"/>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w:pPr>
        <w:spacing w:line="360" w:lineRule="auto" w:before="0" w:after="0"/>
        <w:ind w:firstLine="480"/>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w:pPr>
        <w:spacing w:before="120" w:after="60"/>
        <w:jc w:val="center"/>
      </w:pPr>
      <w:r>
        <w:rPr>
          <w:rFonts w:ascii="Arial" w:hAnsi="Arial" w:eastAsia="黑体"/>
          <w:b/>
          <w:sz w:val="21"/>
        </w:rPr>
        <w:t>表2.2 系统需求约束说明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约束类型</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约束内容</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设计处理</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真实风场在线数据不完整</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采用模拟采集与风机统计文件融合，预留真实接口</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毕业设计演示环境以本地部署为主</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使用Flask、SQLite和静态前端降低部署复杂度</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算法约束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真实故障样本数量有限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采用规则库和风险评分，保留机器学习模型替换位置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可解释性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运维人员需要知道报警原因</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输出特征值、风险因子、诊断依据和建议措施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扩展性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后续可能接入SCADA/CMS/油液系统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按接口层、服务层和数据层分离设计</w:t>
            </w:r>
          </w:p>
        </w:tc>
      </w:tr>
    </w:tbl>
    <w:p>
      <w:pPr>
        <w:spacing w:after="100"/>
      </w:pPr>
    </w:p>
    <w:p>
      <w:pPr>
        <w:spacing w:before="120" w:after="60"/>
        <w:ind w:firstLine="0"/>
      </w:pPr>
      <w:r>
        <w:rPr>
          <w:rFonts w:ascii="Arial" w:hAnsi="Arial" w:eastAsia="黑体"/>
          <w:b/>
          <w:sz w:val="24"/>
        </w:rPr>
        <w:t>2.6 关键数据字段设计</w:t>
      </w:r>
    </w:p>
    <w:p>
      <w:pPr>
        <w:spacing w:line="360" w:lineRule="auto" w:before="0" w:after="0"/>
        <w:ind w:firstLine="480"/>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w:pPr>
        <w:spacing w:line="360" w:lineRule="auto" w:before="0" w:after="0"/>
        <w:ind w:firstLine="480"/>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w:pPr>
        <w:spacing w:before="120" w:after="60"/>
        <w:jc w:val="center"/>
      </w:pPr>
      <w:r>
        <w:rPr>
          <w:rFonts w:ascii="Arial" w:hAnsi="Arial" w:eastAsia="黑体"/>
          <w:b/>
          <w:sz w:val="21"/>
        </w:rPr>
        <w:t>表2.3 关键数据字段分类</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字段类别</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unit_id、timestamp、oil_temp、power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描述机组当前运行工况</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rms、kurtosis、crest_factor、envelope_peak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识别冲击、磨损和啮合异常</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oil_quality、NAS、particle_level</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反映润滑油污染和磨粒状态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fault_type、severity、health_score、rul_days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形成健康状态和剩余寿命判断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运维闭环</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record_id、status、work_order、advice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支持故障记录、工单和维护建议</w:t>
            </w:r>
          </w:p>
        </w:tc>
      </w:tr>
    </w:tbl>
    <w:p>
      <w:pPr>
        <w:spacing w:after="100"/>
      </w:pP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spacing w:before="120" w:after="60"/>
        <w:ind w:firstLine="0"/>
      </w:pPr>
      <w:r>
        <w:rPr>
          <w:rFonts w:ascii="Arial" w:hAnsi="Arial" w:eastAsia="黑体"/>
          <w:b/>
          <w:sz w:val="24"/>
        </w:rPr>
        <w:t>3.6 健康评分与RUL估计原理</w:t>
      </w:r>
    </w:p>
    <w:p>
      <w:pPr>
        <w:spacing w:line="360" w:lineRule="auto" w:before="0" w:after="0"/>
        <w:ind w:firstLine="480"/>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w:pPr>
        <w:spacing w:line="360" w:lineRule="auto" w:before="0" w:after="0"/>
        <w:ind w:firstLine="480"/>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w:pPr>
        <w:spacing w:line="360" w:lineRule="auto" w:before="0" w:after="0"/>
        <w:ind w:firstLine="480"/>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w:pPr>
        <w:spacing w:line="360" w:lineRule="auto" w:before="0" w:after="0"/>
        <w:ind w:firstLine="480"/>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w:pPr>
        <w:spacing w:before="120" w:after="60"/>
        <w:jc w:val="center"/>
      </w:pPr>
      <w:r>
        <w:rPr>
          <w:rFonts w:ascii="Arial" w:hAnsi="Arial" w:eastAsia="黑体"/>
          <w:b/>
          <w:sz w:val="21"/>
        </w:rPr>
        <w:t>表3.1 健康评估指标含义</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含义</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异常说明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振动RMS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反映整体振动能量</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升高可能表示磨损、松动或不对中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峭度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反映冲击尖峰程度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升高可能表示轴承点蚀或齿面剥落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峰值因子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峰值与有效值之比</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升高表示局部冲击增强</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包络峰值</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捕捉调制冲击特征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适合识别轴承和齿轮早期故障</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反映热状态和冷却能力</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升高可能与冷却、润滑或负荷有关</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油液NAS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反映颗粒污染程度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升高说明油液污染或磨粒增多</w:t>
            </w:r>
          </w:p>
        </w:tc>
      </w:tr>
    </w:tbl>
    <w:p>
      <w:pPr>
        <w:spacing w:after="100"/>
      </w:pPr>
    </w:p>
    <w:p>
      <w:pPr>
        <w:spacing w:before="120" w:after="60"/>
        <w:ind w:firstLine="0"/>
      </w:pPr>
      <w:r>
        <w:rPr>
          <w:rFonts w:ascii="Arial" w:hAnsi="Arial" w:eastAsia="黑体"/>
          <w:b/>
          <w:sz w:val="24"/>
        </w:rPr>
        <w:t>3.7 智能问答与知识库技术</w:t>
      </w:r>
    </w:p>
    <w:p>
      <w:pPr>
        <w:spacing w:line="360" w:lineRule="auto" w:before="0" w:after="0"/>
        <w:ind w:firstLine="480"/>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w:pPr>
        <w:spacing w:line="360" w:lineRule="auto" w:before="0" w:after="0"/>
        <w:ind w:firstLine="480"/>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w:pPr>
        <w:spacing w:line="360" w:lineRule="auto" w:before="0" w:after="0"/>
        <w:ind w:firstLine="480"/>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before="120" w:after="60"/>
        <w:ind w:firstLine="0"/>
      </w:pPr>
      <w:r>
        <w:rPr>
          <w:rFonts w:ascii="Arial" w:hAnsi="Arial" w:eastAsia="黑体"/>
          <w:b/>
          <w:sz w:val="24"/>
        </w:rPr>
        <w:t>4.2.1 数据库表关系说明</w:t>
      </w:r>
    </w:p>
    <w:p>
      <w:pPr>
        <w:spacing w:line="360" w:lineRule="auto" w:before="0" w:after="0"/>
        <w:ind w:firstLine="480"/>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w:pPr>
        <w:spacing w:line="360" w:lineRule="auto" w:before="0" w:after="0"/>
        <w:ind w:firstLine="480"/>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w:pPr>
        <w:spacing w:before="120" w:after="60"/>
        <w:jc w:val="center"/>
      </w:pPr>
      <w:r>
        <w:rPr>
          <w:rFonts w:ascii="Arial" w:hAnsi="Arial" w:eastAsia="黑体"/>
          <w:b/>
          <w:sz w:val="21"/>
        </w:rPr>
        <w:t>表4.2 数据库表关系说明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数据表</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业务作用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User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id、username、password_hash、role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保存用户和角色权限</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FaultRecord</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unit_id、fault_type、severity、status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保存诊断结果和处理状态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FaultClosure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record_id、handler、action、result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保存故障闭环处理信息</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SystemConfig</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threshold_name、value、updated_at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保存阈值和系统参数</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ReportHistory</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report_id、unit_id、summary、created_at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保存健康报告摘要</w:t>
            </w:r>
          </w:p>
        </w:tc>
      </w:tr>
    </w:tbl>
    <w:p>
      <w:pPr>
        <w:spacing w:after="100"/>
      </w:pP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before="120" w:after="60"/>
        <w:ind w:firstLine="0"/>
      </w:pPr>
      <w:r>
        <w:rPr>
          <w:rFonts w:ascii="Arial" w:hAnsi="Arial" w:eastAsia="黑体"/>
          <w:b/>
          <w:sz w:val="24"/>
        </w:rPr>
        <w:t>4.3.1 接口设计原则</w:t>
      </w:r>
    </w:p>
    <w:p>
      <w:pPr>
        <w:spacing w:line="360" w:lineRule="auto" w:before="0" w:after="0"/>
        <w:ind w:firstLine="480"/>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w:pPr>
        <w:spacing w:line="360" w:lineRule="auto" w:before="0" w:after="0"/>
        <w:ind w:firstLine="480"/>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w:pPr>
        <w:spacing w:before="120" w:after="60"/>
        <w:jc w:val="center"/>
      </w:pPr>
      <w:r>
        <w:rPr>
          <w:rFonts w:ascii="Arial" w:hAnsi="Arial" w:eastAsia="黑体"/>
          <w:b/>
          <w:sz w:val="21"/>
        </w:rPr>
        <w:t>表4.3 后端接口分组说明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接口分组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代表路径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功能说明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认证接口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/api/auth/login</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用户登录和身份验证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/api/data/status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实时状态、振动和诊断数据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/api/windfarm/overview</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风场总览和单机详情</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报告接口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/api/report/generate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生成健康报告</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问答接口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/api/qa/ask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运维知识问答</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/api/ops/workorders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工单模拟和闭环处理</w:t>
            </w:r>
          </w:p>
        </w:tc>
      </w:tr>
    </w:tbl>
    <w:p>
      <w:pPr>
        <w:spacing w:after="100"/>
      </w:pP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before="0" w:after="0"/>
        <w:ind w:firstLine="480"/>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w:pPr>
        <w:jc w:val="center"/>
      </w:pPr>
      <w:r>
        <w:drawing>
          <wp:inline xmlns:a="http://schemas.openxmlformats.org/drawingml/2006/main" xmlns:pic="http://schemas.openxmlformats.org/drawingml/2006/picture">
            <wp:extent cx="5303520" cy="3550598"/>
            <wp:docPr id="4" name="Picture 4"/>
            <wp:cNvGraphicFramePr>
              <a:graphicFrameLocks noChangeAspect="1"/>
            </wp:cNvGraphicFramePr>
            <a:graphic>
              <a:graphicData uri="http://schemas.openxmlformats.org/drawingml/2006/picture">
                <pic:pic>
                  <pic:nvPicPr>
                    <pic:cNvPr id="0" name="01_windfarm_overview.png"/>
                    <pic:cNvPicPr/>
                  </pic:nvPicPr>
                  <pic:blipFill>
                    <a:blip r:embed="rId10"/>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图5.1 风场健康总览页面</w:t>
      </w:r>
    </w:p>
    <w:p>
      <w:pPr>
        <w:spacing w:after="100"/>
      </w:pPr>
    </w:p>
    <w:p>
      <w:pPr>
        <w:spacing w:line="360" w:lineRule="auto" w:before="0" w:after="0"/>
        <w:ind w:firstLine="480"/>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w:pPr>
        <w:spacing w:line="360" w:lineRule="auto" w:before="0" w:after="0"/>
        <w:ind w:firstLine="480"/>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before="0" w:after="0"/>
        <w:ind w:firstLine="480"/>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w:pPr>
        <w:jc w:val="center"/>
      </w:pPr>
      <w:r>
        <w:drawing>
          <wp:inline xmlns:a="http://schemas.openxmlformats.org/drawingml/2006/main" xmlns:pic="http://schemas.openxmlformats.org/drawingml/2006/picture">
            <wp:extent cx="5303520" cy="3550598"/>
            <wp:docPr id="5" name="Picture 5"/>
            <wp:cNvGraphicFramePr>
              <a:graphicFrameLocks noChangeAspect="1"/>
            </wp:cNvGraphicFramePr>
            <a:graphic>
              <a:graphicData uri="http://schemas.openxmlformats.org/drawingml/2006/picture">
                <pic:pic>
                  <pic:nvPicPr>
                    <pic:cNvPr id="0" name="02_fault_diagnosis.png"/>
                    <pic:cNvPicPr/>
                  </pic:nvPicPr>
                  <pic:blipFill>
                    <a:blip r:embed="rId11"/>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图5.2 故障诊断页面</w:t>
      </w:r>
    </w:p>
    <w:p>
      <w:pPr>
        <w:spacing w:after="100"/>
      </w:pPr>
    </w:p>
    <w:p>
      <w:pPr>
        <w:spacing w:line="360" w:lineRule="auto" w:before="0" w:after="0"/>
        <w:ind w:firstLine="480"/>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w:pPr>
        <w:spacing w:line="360" w:lineRule="auto" w:before="0" w:after="0"/>
        <w:ind w:firstLine="480"/>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before="0" w:after="0"/>
        <w:ind w:firstLine="480"/>
      </w:pPr>
      <w:r>
        <w:rPr>
          <w:rFonts w:ascii="Times New Roman" w:hAnsi="Times New Roman" w:eastAsia="宋体"/>
          <w:b w:val="0"/>
          <w:sz w:val="24"/>
        </w:rPr>
        <w:t>故障数据管理页面如图5.3所示。该页面用于查看诊断记录、筛选故障状态、导出CSV并进入故障闭环处理。</w:t>
      </w:r>
    </w:p>
    <w:p>
      <w:pPr>
        <w:jc w:val="center"/>
      </w:pPr>
      <w:r>
        <w:drawing>
          <wp:inline xmlns:a="http://schemas.openxmlformats.org/drawingml/2006/main" xmlns:pic="http://schemas.openxmlformats.org/drawingml/2006/picture">
            <wp:extent cx="5303520" cy="3550598"/>
            <wp:docPr id="6" name="Picture 6"/>
            <wp:cNvGraphicFramePr>
              <a:graphicFrameLocks noChangeAspect="1"/>
            </wp:cNvGraphicFramePr>
            <a:graphic>
              <a:graphicData uri="http://schemas.openxmlformats.org/drawingml/2006/picture">
                <pic:pic>
                  <pic:nvPicPr>
                    <pic:cNvPr id="0" name="03_fault_records.png"/>
                    <pic:cNvPicPr/>
                  </pic:nvPicPr>
                  <pic:blipFill>
                    <a:blip r:embed="rId12"/>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图5.3 故障数据管理页面</w:t>
      </w:r>
    </w:p>
    <w:p>
      <w:pPr>
        <w:spacing w:after="100"/>
      </w:pPr>
    </w:p>
    <w:p>
      <w:pPr>
        <w:spacing w:line="360" w:lineRule="auto" w:before="0" w:after="0"/>
        <w:ind w:firstLine="480"/>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w:pPr>
        <w:spacing w:line="360" w:lineRule="auto" w:before="0" w:after="0"/>
        <w:ind w:firstLine="480"/>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before="0" w:after="0"/>
        <w:ind w:firstLine="480"/>
      </w:pPr>
      <w:r>
        <w:rPr>
          <w:rFonts w:ascii="Times New Roman" w:hAnsi="Times New Roman" w:eastAsia="宋体"/>
          <w:b w:val="0"/>
          <w:sz w:val="24"/>
        </w:rPr>
        <w:t>健康报告页面如图5.4所示。系统根据当前机组状态和历史故障统计生成健康评分、关键指标、诊断结论和维护建议。</w:t>
      </w:r>
    </w:p>
    <w:p>
      <w:pPr>
        <w:jc w:val="center"/>
      </w:pPr>
      <w:r>
        <w:drawing>
          <wp:inline xmlns:a="http://schemas.openxmlformats.org/drawingml/2006/main" xmlns:pic="http://schemas.openxmlformats.org/drawingml/2006/picture">
            <wp:extent cx="5303520" cy="3550598"/>
            <wp:docPr id="7" name="Picture 7"/>
            <wp:cNvGraphicFramePr>
              <a:graphicFrameLocks noChangeAspect="1"/>
            </wp:cNvGraphicFramePr>
            <a:graphic>
              <a:graphicData uri="http://schemas.openxmlformats.org/drawingml/2006/picture">
                <pic:pic>
                  <pic:nvPicPr>
                    <pic:cNvPr id="0" name="04_health_report.png"/>
                    <pic:cNvPicPr/>
                  </pic:nvPicPr>
                  <pic:blipFill>
                    <a:blip r:embed="rId13"/>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图5.4 健康报告页面</w:t>
      </w:r>
    </w:p>
    <w:p>
      <w:pPr>
        <w:spacing w:after="100"/>
      </w:pPr>
    </w:p>
    <w:p>
      <w:pPr>
        <w:spacing w:line="360" w:lineRule="auto" w:before="0" w:after="0"/>
        <w:ind w:firstLine="480"/>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w:pPr>
        <w:spacing w:line="360" w:lineRule="auto" w:before="0" w:after="0"/>
        <w:ind w:firstLine="480"/>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before="0" w:after="0"/>
        <w:ind w:firstLine="480"/>
      </w:pPr>
      <w:r>
        <w:rPr>
          <w:rFonts w:ascii="Times New Roman" w:hAnsi="Times New Roman" w:eastAsia="宋体"/>
          <w:b w:val="0"/>
          <w:sz w:val="24"/>
        </w:rPr>
        <w:t>AI运维问答页面如图5.5所示。用户可以围绕油温、振动、轴承、齿轮、润滑和检修策略提出问题，系统结合知识库和当前状态生成回答。</w:t>
      </w:r>
    </w:p>
    <w:p>
      <w:pPr>
        <w:jc w:val="center"/>
      </w:pPr>
      <w:r>
        <w:drawing>
          <wp:inline xmlns:a="http://schemas.openxmlformats.org/drawingml/2006/main" xmlns:pic="http://schemas.openxmlformats.org/drawingml/2006/picture">
            <wp:extent cx="5303520" cy="3550598"/>
            <wp:docPr id="8" name="Picture 8"/>
            <wp:cNvGraphicFramePr>
              <a:graphicFrameLocks noChangeAspect="1"/>
            </wp:cNvGraphicFramePr>
            <a:graphic>
              <a:graphicData uri="http://schemas.openxmlformats.org/drawingml/2006/picture">
                <pic:pic>
                  <pic:nvPicPr>
                    <pic:cNvPr id="0" name="05_ai_qa.png"/>
                    <pic:cNvPicPr/>
                  </pic:nvPicPr>
                  <pic:blipFill>
                    <a:blip r:embed="rId14"/>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图5.5 AI运维问答页面</w:t>
      </w:r>
    </w:p>
    <w:p>
      <w:pPr>
        <w:spacing w:after="100"/>
      </w:pPr>
    </w:p>
    <w:p>
      <w:pPr>
        <w:spacing w:line="360" w:lineRule="auto" w:before="0" w:after="0"/>
        <w:ind w:firstLine="480"/>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w:pPr>
        <w:spacing w:line="360" w:lineRule="auto" w:before="0" w:after="0"/>
        <w:ind w:firstLine="480"/>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spacing w:line="360" w:lineRule="auto" w:before="0" w:after="0"/>
        <w:ind w:firstLine="480"/>
      </w:pPr>
      <w:r>
        <w:rPr>
          <w:rFonts w:ascii="Times New Roman" w:hAnsi="Times New Roman" w:eastAsia="宋体"/>
          <w:b w:val="0"/>
          <w:sz w:val="24"/>
        </w:rPr>
        <w:t>系统参数设置页面如图5.6所示。该页面用于配置油温、振动、油液阈值和系统访问参数，阈值变化会影响实时告警和健康报告。</w:t>
      </w:r>
    </w:p>
    <w:p>
      <w:pPr>
        <w:jc w:val="center"/>
      </w:pPr>
      <w:r>
        <w:drawing>
          <wp:inline xmlns:a="http://schemas.openxmlformats.org/drawingml/2006/main" xmlns:pic="http://schemas.openxmlformats.org/drawingml/2006/picture">
            <wp:extent cx="5303520" cy="3550598"/>
            <wp:docPr id="9" name="Picture 9"/>
            <wp:cNvGraphicFramePr>
              <a:graphicFrameLocks noChangeAspect="1"/>
            </wp:cNvGraphicFramePr>
            <a:graphic>
              <a:graphicData uri="http://schemas.openxmlformats.org/drawingml/2006/picture">
                <pic:pic>
                  <pic:nvPicPr>
                    <pic:cNvPr id="0" name="06_settings.png"/>
                    <pic:cNvPicPr/>
                  </pic:nvPicPr>
                  <pic:blipFill>
                    <a:blip r:embed="rId15"/>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图5.6 系统参数设置页面</w:t>
      </w:r>
    </w:p>
    <w:p>
      <w:pPr>
        <w:spacing w:after="100"/>
      </w:pPr>
    </w:p>
    <w:p>
      <w:pPr>
        <w:spacing w:line="360" w:lineRule="auto" w:before="0" w:after="0"/>
        <w:ind w:firstLine="480"/>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w:pPr>
        <w:spacing w:line="360" w:lineRule="auto" w:before="0" w:after="0"/>
        <w:ind w:firstLine="480"/>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120" w:after="60"/>
        <w:ind w:firstLine="0"/>
      </w:pPr>
      <w:r>
        <w:rPr>
          <w:rFonts w:ascii="Arial" w:hAnsi="Arial" w:eastAsia="黑体"/>
          <w:b/>
          <w:sz w:val="24"/>
        </w:rPr>
        <w:t>6.5 测试用例设计</w:t>
      </w:r>
    </w:p>
    <w:p>
      <w:pPr>
        <w:spacing w:line="360" w:lineRule="auto" w:before="0" w:after="0"/>
        <w:ind w:firstLine="480"/>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w:pPr>
        <w:spacing w:line="360" w:lineRule="auto" w:before="0" w:after="0"/>
        <w:ind w:firstLine="480"/>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w:pPr>
        <w:spacing w:before="120" w:after="60"/>
        <w:jc w:val="center"/>
      </w:pPr>
      <w:r>
        <w:rPr>
          <w:rFonts w:ascii="Arial" w:hAnsi="Arial" w:eastAsia="黑体"/>
          <w:b/>
          <w:sz w:val="21"/>
        </w:rPr>
        <w:t>表6.2 功能测试用例</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测试编号</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测试内容</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预期结果</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测试结论</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TC-01</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输入正确账号后进入系统主页</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TC-02</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显示机组矩阵和关键统计指标</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TC-03</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故障诊断</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返回故障类型、健康评分和建议措施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TC-04</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故障记录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诊断结果写入记录并可筛选查看</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TC-05</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健康报告</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生成机组健康指标和文字结论</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TC-06</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AI问答</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根据问题返回排查建议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TC-07</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参数设置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阈值可修改并影响告警策略</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bl>
    <w:p>
      <w:pPr>
        <w:spacing w:after="100"/>
      </w:pPr>
    </w:p>
    <w:p>
      <w:pPr>
        <w:spacing w:before="120" w:after="60"/>
        <w:ind w:firstLine="0"/>
      </w:pPr>
      <w:r>
        <w:rPr>
          <w:rFonts w:ascii="Arial" w:hAnsi="Arial" w:eastAsia="黑体"/>
          <w:b/>
          <w:sz w:val="24"/>
        </w:rPr>
        <w:t>6.6 典型诊断场景结果</w:t>
      </w:r>
    </w:p>
    <w:p>
      <w:pPr>
        <w:spacing w:line="360" w:lineRule="auto" w:before="0" w:after="0"/>
        <w:ind w:firstLine="480"/>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w:pPr>
        <w:spacing w:line="360" w:lineRule="auto" w:before="0" w:after="0"/>
        <w:ind w:firstLine="480"/>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w:pPr>
        <w:spacing w:before="120" w:after="60"/>
        <w:jc w:val="center"/>
      </w:pPr>
      <w:r>
        <w:rPr>
          <w:rFonts w:ascii="Arial" w:hAnsi="Arial" w:eastAsia="黑体"/>
          <w:b/>
          <w:sz w:val="21"/>
        </w:rPr>
        <w:t>表6.3 典型诊断场景测试结果</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主要异常指标</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系统诊断</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维护建议</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指标均正常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保持日常巡检</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oil_temp升高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齿轮箱油温过高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检查冷却系统和润滑状态</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轴承冲击</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kurtosis、envelope_peak升高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轴承点蚀/剥落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复核包络谱并安排检查</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油液污染</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NAS等级升高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润滑油污染/劣化</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取样复检并检查滤芯</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RMS和峰值因子升高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检查齿面和载荷波动</w:t>
            </w:r>
          </w:p>
        </w:tc>
      </w:tr>
    </w:tbl>
    <w:p>
      <w:pPr>
        <w:spacing w:after="100"/>
      </w:pPr>
    </w:p>
    <w:p>
      <w:pPr>
        <w:spacing w:before="120" w:after="60"/>
        <w:ind w:firstLine="0"/>
      </w:pPr>
      <w:r>
        <w:rPr>
          <w:rFonts w:ascii="Arial" w:hAnsi="Arial" w:eastAsia="黑体"/>
          <w:b/>
          <w:sz w:val="24"/>
        </w:rPr>
        <w:t>6.7 系统运行效果分析</w:t>
      </w:r>
    </w:p>
    <w:p>
      <w:pPr>
        <w:spacing w:line="360" w:lineRule="auto" w:before="0" w:after="0"/>
        <w:ind w:firstLine="480"/>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w:pPr>
        <w:spacing w:line="360" w:lineRule="auto" w:before="0" w:after="0"/>
        <w:ind w:firstLine="480"/>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w:pPr>
        <w:spacing w:line="360" w:lineRule="auto" w:before="0" w:after="0"/>
        <w:ind w:firstLine="480"/>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