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나만의 주치의</w:t>
      </w:r>
      <w:r>
        <w:rPr>
          <w:rFonts w:ascii="Malgun Gothic" w:cs="Malgun Gothic" w:eastAsia="Malgun Gothic" w:hAnsi="Malgun Gothic"/>
          <w:color w:val="2E5496"/>
          <w:sz w:val="22"/>
          <w:szCs w:val="22"/>
        </w:rPr>
        <w:t xml:space="preserve">   임원 요약 (1-pager)</w:t>
      </w:r>
      <w:r>
        <w:rPr>
          <w:rFonts w:ascii="Malgun Gothic" w:cs="Malgun Gothic" w:eastAsia="Malgun Gothic" w:hAnsi="Malgun Gothic"/>
          <w:color w:val="888888"/>
          <w:sz w:val="16"/>
          <w:szCs w:val="16"/>
        </w:rPr>
        <w:t xml:space="preserve">    ·  2026-06-21</w:t>
      </w:r>
    </w:p>
    <w:tbl>
      <w:tblPr>
        <w:tblW w:type="dxa" w:w="141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12"/>
      </w:tblGrid>
      <w:tr>
        <w:tc>
          <w:tcPr>
            <w:tcW w:type="dxa" w:w="14112"/>
            <w:tcBorders>
              <w:top w:val="single" w:color="D4DDE7" w:sz="1"/>
              <w:left w:val="single" w:color="D4DDE7" w:sz="1"/>
              <w:bottom w:val="single" w:color="D4DDE7" w:sz="1"/>
              <w:right w:val="single" w:color="D4DDE7" w:sz="1"/>
            </w:tcBorders>
            <w:shd w:fill="EAF1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디바이스·검진 데이터를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의료법 위반 0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으로 활용 — 범용 AI가 못 하는 ‘내 데이터 기반 건강 안내’.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P1a(혈압) 종단 구현·556 테스트 검증 완료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. 다음은 연동 결정 2건.</w:t>
            </w:r>
          </w:p>
        </w:tc>
      </w:tr>
    </w:tbl>
    <w:p>
      <w:pPr>
        <w:spacing w:after="40" w:before="0"/>
      </w:pPr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141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  <w:gridCol w:w="5712"/>
      </w:tblGrid>
      <w:tr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무엇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건강관리 앱에 탑재되는 챗봇. 건강 질문에 공인 출처로 답하고, 연결된 측정·검진 데이터를 진단 없이 답변에 반영.</w:t>
            </w:r>
          </w:p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차별점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“내 혈압 150” → GPT는 거절/위험단정, 우리는 “관리 권장 구간 + 상담 권유”. 원시값·질환명은 외부 AI 미전송.</w:t>
            </w:r>
          </w:p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안전=가치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진단 0·민감정보 비표시·국외 미전송 → 파트너의 규제 리스크 제거 = 도입 명분.</w:t>
            </w:r>
          </w:p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기반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통합 데이터 온톨로지(PHR·디바이스·환경·OCR·대화) — 소스는 여럿이어도 해석·안전 코어는 하나(우측 그림).</w:t>
            </w:r>
          </w:p>
        </w:tc>
        <w:tc>
          <w:tcPr>
            <w:tcW w:type="dxa" w:w="57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429000" cy="2171700"/>
                  <wp:effectExtent t="0" r="0" b="0" l="0"/>
                  <wp:docPr id="1" name="o" descr="여러 소스가 하나의 안전 코어로" title="통합 온톨로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" w:before="80"/>
      </w:pPr>
      <w:r>
        <w:rPr>
          <w:rFonts w:ascii="Malgun Gothic" w:cs="Malgun Gothic" w:eastAsia="Malgun Gothic" w:hAnsi="Malgun Gothic"/>
          <w:b/>
          <w:bCs/>
          <w:color w:val="1F4E79"/>
          <w:sz w:val="19"/>
          <w:szCs w:val="19"/>
        </w:rPr>
        <w:t xml:space="preserve">서비스 — 22개 / 6층</w:t>
      </w:r>
    </w:p>
    <w:tbl>
      <w:tblPr>
        <w:tblW w:type="dxa" w:w="141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212"/>
        <w:gridCol w:w="2000"/>
      </w:tblGrid>
      <w:tr>
        <w:trPr>
          <w:tblHeader/>
        </w:trPr>
        <w:tc>
          <w:tcPr>
            <w:tcW w:type="dxa" w:w="1900"/>
            <w:tcBorders>
              <w:top w:val="single" w:color="D4DDE7" w:sz="1"/>
              <w:left w:val="single" w:color="D4DDE7" w:sz="1"/>
              <w:bottom w:val="single" w:color="D4DDE7" w:sz="1"/>
              <w:right w:val="single" w:color="D4DDE7" w:sz="1"/>
            </w:tcBorders>
            <w:shd w:fill="1F4E7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층</w:t>
            </w:r>
          </w:p>
        </w:tc>
        <w:tc>
          <w:tcPr>
            <w:tcW w:type="dxa" w:w="10212"/>
            <w:tcBorders>
              <w:top w:val="single" w:color="D4DDE7" w:sz="1"/>
              <w:left w:val="single" w:color="D4DDE7" w:sz="1"/>
              <w:bottom w:val="single" w:color="D4DDE7" w:sz="1"/>
              <w:right w:val="single" w:color="D4DDE7" w:sz="1"/>
            </w:tcBorders>
            <w:shd w:fill="1F4E7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대표 서비스 (총 22개)</w:t>
            </w:r>
          </w:p>
        </w:tc>
        <w:tc>
          <w:tcPr>
            <w:tcW w:type="dxa" w:w="2000"/>
            <w:tcBorders>
              <w:top w:val="single" w:color="D4DDE7" w:sz="1"/>
              <w:left w:val="single" w:color="D4DDE7" w:sz="1"/>
              <w:bottom w:val="single" w:color="D4DDE7" w:sz="1"/>
              <w:right w:val="single" w:color="D4DDE7" w:sz="1"/>
            </w:tcBorders>
            <w:shd w:fill="1F4E7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유형</w:t>
            </w:r>
          </w:p>
        </w:tc>
      </w:tr>
      <w:tr>
        <w:tc>
          <w:tcPr>
            <w:tcW w:type="dxa" w:w="1900"/>
            <w:tcBorders>
              <w:top w:val="single" w:color="D4DDE7" w:sz="1"/>
              <w:left w:val="single" w:color="D4DDE7" w:sz="1"/>
              <w:bottom w:val="single" w:color="D4DDE7" w:sz="1"/>
              <w:right w:val="single" w:color="D4DDE7" w:sz="1"/>
            </w:tcBorders>
            <w:shd w:fill="FFFFFF" w:val="clear"/>
            <w:tcMar>
              <w:top w:type="dxa" w:w="36"/>
              <w:left w:type="dxa" w:w="110"/>
              <w:bottom w:type="dxa" w:w="36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 측정</w:t>
            </w:r>
          </w:p>
        </w:tc>
        <w:tc>
          <w:tcPr>
            <w:tcW w:type="dxa" w:w="10212"/>
            <w:tcBorders>
              <w:top w:val="single" w:color="D4DDE7" w:sz="1"/>
              <w:left w:val="single" w:color="D4DDE7" w:sz="1"/>
              <w:bottom w:val="single" w:color="D4DDE7" w:sz="1"/>
              <w:right w:val="single" w:color="D4DDE7" w:sz="1"/>
            </w:tcBorders>
            <w:shd w:fill="FFFFFF" w:val="clear"/>
            <w:tcMar>
              <w:top w:type="dxa" w:w="36"/>
              <w:left w:type="dxa" w:w="110"/>
              <w:bottom w:type="dxa" w:w="36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혈압·체중·워치 추세·공기질 — 측정값 즉시 해석</w:t>
            </w:r>
          </w:p>
        </w:tc>
        <w:tc>
          <w:tcPr>
            <w:tcW w:type="dxa" w:w="2000"/>
            <w:tcBorders>
              <w:top w:val="single" w:color="D4DDE7" w:sz="1"/>
              <w:left w:val="single" w:color="D4DDE7" w:sz="1"/>
              <w:bottom w:val="single" w:color="D4DDE7" w:sz="1"/>
              <w:right w:val="single" w:color="D4DDE7" w:sz="1"/>
            </w:tcBorders>
            <w:shd w:fill="FFFFFF" w:val="clear"/>
            <w:tcMar>
              <w:top w:type="dxa" w:w="36"/>
              <w:left w:type="dxa" w:w="110"/>
              <w:bottom w:type="dxa" w:w="36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단일</w:t>
            </w:r>
          </w:p>
        </w:tc>
      </w:tr>
      <w:tr>
        <w:tc>
          <w:tcPr>
            <w:tcW w:type="dxa" w:w="1900"/>
            <w:tcBorders>
              <w:top w:val="single" w:color="D4DDE7" w:sz="1"/>
              <w:left w:val="single" w:color="D4DDE7" w:sz="1"/>
              <w:bottom w:val="single" w:color="D4DDE7" w:sz="1"/>
              <w:right w:val="single" w:color="D4DDE7" w:sz="1"/>
            </w:tcBorders>
            <w:shd w:fill="F4F7FA" w:val="clear"/>
            <w:tcMar>
              <w:top w:type="dxa" w:w="36"/>
              <w:left w:type="dxa" w:w="110"/>
              <w:bottom w:type="dxa" w:w="36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2 기록이해</w:t>
            </w:r>
          </w:p>
        </w:tc>
        <w:tc>
          <w:tcPr>
            <w:tcW w:type="dxa" w:w="10212"/>
            <w:tcBorders>
              <w:top w:val="single" w:color="D4DDE7" w:sz="1"/>
              <w:left w:val="single" w:color="D4DDE7" w:sz="1"/>
              <w:bottom w:val="single" w:color="D4DDE7" w:sz="1"/>
              <w:right w:val="single" w:color="D4DDE7" w:sz="1"/>
            </w:tcBorders>
            <w:shd w:fill="F4F7FA" w:val="clear"/>
            <w:tcMar>
              <w:top w:type="dxa" w:w="36"/>
              <w:left w:type="dxa" w:w="110"/>
              <w:bottom w:type="dxa" w:w="36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검진 결과 풀이★·추세·알리미·요약카드·OCR</w:t>
            </w:r>
          </w:p>
        </w:tc>
        <w:tc>
          <w:tcPr>
            <w:tcW w:type="dxa" w:w="2000"/>
            <w:tcBorders>
              <w:top w:val="single" w:color="D4DDE7" w:sz="1"/>
              <w:left w:val="single" w:color="D4DDE7" w:sz="1"/>
              <w:bottom w:val="single" w:color="D4DDE7" w:sz="1"/>
              <w:right w:val="single" w:color="D4DDE7" w:sz="1"/>
            </w:tcBorders>
            <w:shd w:fill="F4F7FA" w:val="clear"/>
            <w:tcMar>
              <w:top w:type="dxa" w:w="36"/>
              <w:left w:type="dxa" w:w="110"/>
              <w:bottom w:type="dxa" w:w="36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단일</w:t>
            </w:r>
          </w:p>
        </w:tc>
      </w:tr>
      <w:tr>
        <w:tc>
          <w:tcPr>
            <w:tcW w:type="dxa" w:w="1900"/>
            <w:tcBorders>
              <w:top w:val="single" w:color="D4DDE7" w:sz="1"/>
              <w:left w:val="single" w:color="D4DDE7" w:sz="1"/>
              <w:bottom w:val="single" w:color="D4DDE7" w:sz="1"/>
              <w:right w:val="single" w:color="D4DDE7" w:sz="1"/>
            </w:tcBorders>
            <w:shd w:fill="EAF1E6" w:val="clear"/>
            <w:tcMar>
              <w:top w:type="dxa" w:w="36"/>
              <w:left w:type="dxa" w:w="110"/>
              <w:bottom w:type="dxa" w:w="36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3 증상결합</w:t>
            </w:r>
          </w:p>
        </w:tc>
        <w:tc>
          <w:tcPr>
            <w:tcW w:type="dxa" w:w="10212"/>
            <w:tcBorders>
              <w:top w:val="single" w:color="D4DDE7" w:sz="1"/>
              <w:left w:val="single" w:color="D4DDE7" w:sz="1"/>
              <w:bottom w:val="single" w:color="D4DDE7" w:sz="1"/>
              <w:right w:val="single" w:color="D4DDE7" w:sz="1"/>
            </w:tcBorders>
            <w:shd w:fill="EAF1E6" w:val="clear"/>
            <w:tcMar>
              <w:top w:type="dxa" w:w="36"/>
              <w:left w:type="dxa" w:w="110"/>
              <w:bottom w:type="dxa" w:w="36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증상+측정/검진/복약·병원 갈 때 준비</w:t>
            </w:r>
          </w:p>
        </w:tc>
        <w:tc>
          <w:tcPr>
            <w:tcW w:type="dxa" w:w="2000"/>
            <w:tcBorders>
              <w:top w:val="single" w:color="D4DDE7" w:sz="1"/>
              <w:left w:val="single" w:color="D4DDE7" w:sz="1"/>
              <w:bottom w:val="single" w:color="D4DDE7" w:sz="1"/>
              <w:right w:val="single" w:color="D4DDE7" w:sz="1"/>
            </w:tcBorders>
            <w:shd w:fill="EAF1E6" w:val="clear"/>
            <w:tcMar>
              <w:top w:type="dxa" w:w="36"/>
              <w:left w:type="dxa" w:w="110"/>
              <w:bottom w:type="dxa" w:w="36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결합★</w:t>
            </w:r>
          </w:p>
        </w:tc>
      </w:tr>
      <w:tr>
        <w:tc>
          <w:tcPr>
            <w:tcW w:type="dxa" w:w="1900"/>
            <w:tcBorders>
              <w:top w:val="single" w:color="D4DDE7" w:sz="1"/>
              <w:left w:val="single" w:color="D4DDE7" w:sz="1"/>
              <w:bottom w:val="single" w:color="D4DDE7" w:sz="1"/>
              <w:right w:val="single" w:color="D4DDE7" w:sz="1"/>
            </w:tcBorders>
            <w:shd w:fill="EAF1E6" w:val="clear"/>
            <w:tcMar>
              <w:top w:type="dxa" w:w="36"/>
              <w:left w:type="dxa" w:w="110"/>
              <w:bottom w:type="dxa" w:w="36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4 교차신호</w:t>
            </w:r>
          </w:p>
        </w:tc>
        <w:tc>
          <w:tcPr>
            <w:tcW w:type="dxa" w:w="10212"/>
            <w:tcBorders>
              <w:top w:val="single" w:color="D4DDE7" w:sz="1"/>
              <w:left w:val="single" w:color="D4DDE7" w:sz="1"/>
              <w:bottom w:val="single" w:color="D4DDE7" w:sz="1"/>
              <w:right w:val="single" w:color="D4DDE7" w:sz="1"/>
            </w:tcBorders>
            <w:shd w:fill="EAF1E6" w:val="clear"/>
            <w:tcMar>
              <w:top w:type="dxa" w:w="36"/>
              <w:left w:type="dxa" w:w="110"/>
              <w:bottom w:type="dxa" w:w="36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컨디션 저하 조기신호·대사 관리 묶음</w:t>
            </w:r>
          </w:p>
        </w:tc>
        <w:tc>
          <w:tcPr>
            <w:tcW w:type="dxa" w:w="2000"/>
            <w:tcBorders>
              <w:top w:val="single" w:color="D4DDE7" w:sz="1"/>
              <w:left w:val="single" w:color="D4DDE7" w:sz="1"/>
              <w:bottom w:val="single" w:color="D4DDE7" w:sz="1"/>
              <w:right w:val="single" w:color="D4DDE7" w:sz="1"/>
            </w:tcBorders>
            <w:shd w:fill="EAF1E6" w:val="clear"/>
            <w:tcMar>
              <w:top w:type="dxa" w:w="36"/>
              <w:left w:type="dxa" w:w="110"/>
              <w:bottom w:type="dxa" w:w="36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결합</w:t>
            </w:r>
          </w:p>
        </w:tc>
      </w:tr>
      <w:tr>
        <w:tc>
          <w:tcPr>
            <w:tcW w:type="dxa" w:w="1900"/>
            <w:tcBorders>
              <w:top w:val="single" w:color="D4DDE7" w:sz="1"/>
              <w:left w:val="single" w:color="D4DDE7" w:sz="1"/>
              <w:bottom w:val="single" w:color="D4DDE7" w:sz="1"/>
              <w:right w:val="single" w:color="D4DDE7" w:sz="1"/>
            </w:tcBorders>
            <w:shd w:fill="EAF1E6" w:val="clear"/>
            <w:tcMar>
              <w:top w:type="dxa" w:w="36"/>
              <w:left w:type="dxa" w:w="110"/>
              <w:bottom w:type="dxa" w:w="36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5 환경×건강</w:t>
            </w:r>
          </w:p>
        </w:tc>
        <w:tc>
          <w:tcPr>
            <w:tcW w:type="dxa" w:w="10212"/>
            <w:tcBorders>
              <w:top w:val="single" w:color="D4DDE7" w:sz="1"/>
              <w:left w:val="single" w:color="D4DDE7" w:sz="1"/>
              <w:bottom w:val="single" w:color="D4DDE7" w:sz="1"/>
              <w:right w:val="single" w:color="D4DDE7" w:sz="1"/>
            </w:tcBorders>
            <w:shd w:fill="EAF1E6" w:val="clear"/>
            <w:tcMar>
              <w:top w:type="dxa" w:w="36"/>
              <w:left w:type="dxa" w:w="110"/>
              <w:bottom w:type="dxa" w:w="36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호흡기·알레르기 케어·수면/집중 환경</w:t>
            </w:r>
          </w:p>
        </w:tc>
        <w:tc>
          <w:tcPr>
            <w:tcW w:type="dxa" w:w="2000"/>
            <w:tcBorders>
              <w:top w:val="single" w:color="D4DDE7" w:sz="1"/>
              <w:left w:val="single" w:color="D4DDE7" w:sz="1"/>
              <w:bottom w:val="single" w:color="D4DDE7" w:sz="1"/>
              <w:right w:val="single" w:color="D4DDE7" w:sz="1"/>
            </w:tcBorders>
            <w:shd w:fill="EAF1E6" w:val="clear"/>
            <w:tcMar>
              <w:top w:type="dxa" w:w="36"/>
              <w:left w:type="dxa" w:w="110"/>
              <w:bottom w:type="dxa" w:w="36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결합</w:t>
            </w:r>
          </w:p>
        </w:tc>
      </w:tr>
      <w:tr>
        <w:tc>
          <w:tcPr>
            <w:tcW w:type="dxa" w:w="1900"/>
            <w:tcBorders>
              <w:top w:val="single" w:color="D4DDE7" w:sz="1"/>
              <w:left w:val="single" w:color="D4DDE7" w:sz="1"/>
              <w:bottom w:val="single" w:color="D4DDE7" w:sz="1"/>
              <w:right w:val="single" w:color="D4DDE7" w:sz="1"/>
            </w:tcBorders>
            <w:shd w:fill="EAF1E6" w:val="clear"/>
            <w:tcMar>
              <w:top w:type="dxa" w:w="36"/>
              <w:left w:type="dxa" w:w="110"/>
              <w:bottom w:type="dxa" w:w="36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6 예방</w:t>
            </w:r>
          </w:p>
        </w:tc>
        <w:tc>
          <w:tcPr>
            <w:tcW w:type="dxa" w:w="10212"/>
            <w:tcBorders>
              <w:top w:val="single" w:color="D4DDE7" w:sz="1"/>
              <w:left w:val="single" w:color="D4DDE7" w:sz="1"/>
              <w:bottom w:val="single" w:color="D4DDE7" w:sz="1"/>
              <w:right w:val="single" w:color="D4DDE7" w:sz="1"/>
            </w:tcBorders>
            <w:shd w:fill="EAF1E6" w:val="clear"/>
            <w:tcMar>
              <w:top w:type="dxa" w:w="36"/>
              <w:left w:type="dxa" w:w="110"/>
              <w:bottom w:type="dxa" w:w="36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위험요인 묶음·암검진 갭(위험군)</w:t>
            </w:r>
          </w:p>
        </w:tc>
        <w:tc>
          <w:tcPr>
            <w:tcW w:type="dxa" w:w="2000"/>
            <w:tcBorders>
              <w:top w:val="single" w:color="D4DDE7" w:sz="1"/>
              <w:left w:val="single" w:color="D4DDE7" w:sz="1"/>
              <w:bottom w:val="single" w:color="D4DDE7" w:sz="1"/>
              <w:right w:val="single" w:color="D4DDE7" w:sz="1"/>
            </w:tcBorders>
            <w:shd w:fill="EAF1E6" w:val="clear"/>
            <w:tcMar>
              <w:top w:type="dxa" w:w="36"/>
              <w:left w:type="dxa" w:w="110"/>
              <w:bottom w:type="dxa" w:w="36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결합</w:t>
            </w:r>
          </w:p>
        </w:tc>
      </w:tr>
    </w:tbl>
    <w:p>
      <w:pPr>
        <w:spacing w:after="30" w:before="80"/>
      </w:pPr>
      <w:r>
        <w:rPr>
          <w:rFonts w:ascii="Malgun Gothic" w:cs="Malgun Gothic" w:eastAsia="Malgun Gothic" w:hAnsi="Malgun Gothic"/>
          <w:b/>
          <w:bCs/>
          <w:color w:val="1F4E79"/>
          <w:sz w:val="19"/>
          <w:szCs w:val="19"/>
        </w:rPr>
        <w:t xml:space="preserve">출시 로드맵 (가치×준비도×결정 의존)</w:t>
      </w:r>
    </w:p>
    <w:tbl>
      <w:tblPr>
        <w:tblW w:type="dxa" w:w="141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  <w:tcBorders>
              <w:top w:val="single" w:color="D4DDE7" w:sz="1"/>
              <w:left w:val="single" w:color="D4DDE7" w:sz="1"/>
              <w:bottom w:val="single" w:color="D4DDE7" w:sz="1"/>
              <w:right w:val="single" w:color="D4DDE7" w:sz="1"/>
            </w:tcBorders>
            <w:shd w:fill="DCEA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Q1</w:t>
            </w:r>
          </w:p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color w:val="41505f"/>
                <w:sz w:val="15"/>
                <w:szCs w:val="15"/>
              </w:rPr>
              <w:t xml:space="preserve">혈압·검진풀이·알리미·환기 (저리스크·고가치)</w:t>
            </w:r>
          </w:p>
        </w:tc>
        <w:tc>
          <w:tcPr>
            <w:tcW w:type="dxa" w:w="3528"/>
            <w:tcBorders>
              <w:top w:val="single" w:color="D4DDE7" w:sz="1"/>
              <w:left w:val="single" w:color="D4DDE7" w:sz="1"/>
              <w:bottom w:val="single" w:color="D4DDE7" w:sz="1"/>
              <w:right w:val="single" w:color="D4DDE7" w:sz="1"/>
            </w:tcBorders>
            <w:shd w:fill="E3F0E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Q2</w:t>
            </w:r>
          </w:p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color w:val="41505f"/>
                <w:sz w:val="15"/>
                <w:szCs w:val="15"/>
              </w:rPr>
              <w:t xml:space="preserve">추세·요약 + 결합상담 시작</w:t>
            </w:r>
          </w:p>
        </w:tc>
        <w:tc>
          <w:tcPr>
            <w:tcW w:type="dxa" w:w="3528"/>
            <w:tcBorders>
              <w:top w:val="single" w:color="D4DDE7" w:sz="1"/>
              <w:left w:val="single" w:color="D4DDE7" w:sz="1"/>
              <w:bottom w:val="single" w:color="D4DDE7" w:sz="1"/>
              <w:right w:val="single" w:color="D4DDE7" w:sz="1"/>
            </w:tcBorders>
            <w:shd w:fill="FBEF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Q3</w:t>
            </w:r>
          </w:p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color w:val="41505f"/>
                <w:sz w:val="15"/>
                <w:szCs w:val="15"/>
              </w:rPr>
              <w:t xml:space="preserve">워치·대사 묶음·호흡기 환경 (개인화 심화)</w:t>
            </w:r>
          </w:p>
        </w:tc>
        <w:tc>
          <w:tcPr>
            <w:tcW w:type="dxa" w:w="3528"/>
            <w:tcBorders>
              <w:top w:val="single" w:color="D4DDE7" w:sz="1"/>
              <w:left w:val="single" w:color="D4DDE7" w:sz="1"/>
              <w:bottom w:val="single" w:color="D4DDE7" w:sz="1"/>
              <w:right w:val="single" w:color="D4DDE7" w:sz="1"/>
            </w:tcBorders>
            <w:shd w:fill="F2E5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Q4</w:t>
            </w:r>
          </w:p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color w:val="41505f"/>
                <w:sz w:val="15"/>
                <w:szCs w:val="15"/>
              </w:rPr>
              <w:t xml:space="preserve">교차신호·환경·예방·OCR</w:t>
            </w:r>
          </w:p>
        </w:tc>
      </w:tr>
    </w:tbl>
    <w:p>
      <w:pPr>
        <w:spacing w:after="30" w:before="80"/>
      </w:pPr>
      <w:r>
        <w:rPr>
          <w:rFonts w:ascii="Malgun Gothic" w:cs="Malgun Gothic" w:eastAsia="Malgun Gothic" w:hAnsi="Malgun Gothic"/>
          <w:b/>
          <w:bCs/>
          <w:color w:val="B06A00"/>
          <w:sz w:val="18"/>
          <w:szCs w:val="18"/>
        </w:rPr>
        <w:t xml:space="preserve">다음 결정 2건  </w:t>
      </w:r>
      <w:r>
        <w:rPr>
          <w:rFonts w:ascii="Malgun Gothic" w:cs="Malgun Gothic" w:eastAsia="Malgun Gothic" w:hAnsi="Malgun Gothic"/>
          <w:sz w:val="17"/>
          <w:szCs w:val="17"/>
        </w:rPr>
        <w:t xml:space="preserve">① 디바이스 연동 방식(파트너앱 push 유력)  ② PHR 출처(공단 vs 파트너) — 이 둘이 정해지면 결합형 가치가 본격 가동.</w:t>
      </w:r>
    </w:p>
    <w:sectPr>
      <w:pgSz w:w="15840" w:h="12240" w:orient="landscape"/>
      <w:pgMar w:top="864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4e6b3b625b55e005e36ad5f435945352ab2cb0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2026-06-20T18:00:30.951Z</dcterms:created>
  <dcterms:modified xsi:type="dcterms:W3CDTF">2026-06-20T18:00:30.953Z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