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before="0" w:after="0"/>
      </w:pPr>
      <w:r>
        <w:rPr>
          <w:rFonts w:ascii="Arial" w:hAnsi="Arial"/>
          <w:b/>
          <w:color w:val="000000"/>
          <w:sz w:val="48"/>
          <w:u w:val="none"/>
        </w:rPr>
        <w:t>10 Boutique Consulting Firms to Apply To</w:t>
      </w:r>
    </w:p>
    <w:p>
      <w:pPr>
        <w:spacing w:line="480" w:lineRule="auto" w:before="0" w:after="0"/>
      </w:pPr>
      <w:r>
        <w:rPr>
          <w:rFonts w:ascii="Arial" w:hAnsi="Arial"/>
          <w:b/>
          <w:color w:val="000000"/>
          <w:sz w:val="22"/>
          <w:u w:val="none"/>
        </w:rPr>
        <w:t>Meta description:</w:t>
      </w:r>
      <w:r>
        <w:rPr>
          <w:rFonts w:ascii="Arial" w:hAnsi="Arial"/>
          <w:b w:val="0"/>
          <w:color w:val="000000"/>
          <w:sz w:val="22"/>
          <w:u w:val="none"/>
        </w:rPr>
        <w:t xml:space="preserve"> WSG founder Stephen Turban ranks 10 boutique consulting firms worth applying to as an undergrad, with roles, 2026 pay data, and who each firm actually fits.</w:t>
      </w:r>
    </w:p>
    <w:p>
      <w:pPr>
        <w:spacing w:line="480" w:lineRule="auto" w:before="0" w:after="0"/>
      </w:pPr>
    </w:p>
    <w:p>
      <w:pPr>
        <w:spacing w:line="480" w:lineRule="auto" w:before="0" w:after="0"/>
      </w:pPr>
      <w:r>
        <w:rPr>
          <w:rFonts w:ascii="Arial" w:hAnsi="Arial"/>
          <w:b/>
          <w:color w:val="000000"/>
          <w:sz w:val="22"/>
          <w:u w:val="none"/>
        </w:rPr>
        <w:t>Boutique consulting firms pay within 10 to 15 percent of MBB base, run smaller and less brutal application funnels, and beat MBB outright for candidates who already know their industry.</w:t>
      </w:r>
      <w:r>
        <w:rPr>
          <w:rFonts w:ascii="Arial" w:hAnsi="Arial"/>
          <w:b w:val="0"/>
          <w:color w:val="000000"/>
          <w:sz w:val="22"/>
          <w:u w:val="none"/>
        </w:rPr>
        <w:t xml:space="preserve"> Boutique means focus, never size: ZS Associates employs 13,000 people and is still a specialist. None of the ten firms below appeared on our Top 10 Management Consulting Firms list, because that list ranked generalists. This one is for the reader who already knows they want pharma, tech, pricing, brand, or economics.</w:t>
      </w:r>
    </w:p>
    <w:p>
      <w:pPr>
        <w:spacing w:line="480" w:lineRule="auto" w:before="0" w:after="0"/>
      </w:pPr>
    </w:p>
    <w:p>
      <w:pPr>
        <w:spacing w:line="480" w:lineRule="auto" w:before="0" w:after="0"/>
      </w:pPr>
      <w:r>
        <w:rPr>
          <w:rFonts w:ascii="Arial" w:hAnsi="Arial"/>
          <w:b w:val="0"/>
          <w:color w:val="000000"/>
          <w:sz w:val="22"/>
          <w:u w:val="none"/>
        </w:rPr>
        <w:t>As a former McKinsey consultant who now runs WSG, I watch specialist-minded students force themselves into generalist applications every cycle and lose to candidates with less talent and more fit. These ten firms are where that trade reverses.</w:t>
      </w:r>
    </w:p>
    <w:p>
      <w:pPr>
        <w:spacing w:line="480" w:lineRule="auto" w:before="0" w:after="0"/>
      </w:pPr>
    </w:p>
    <w:p>
      <w:pPr>
        <w:pStyle w:val="Heading2"/>
        <w:spacing w:line="480" w:lineRule="auto" w:before="0" w:after="0"/>
      </w:pPr>
      <w:r>
        <w:rPr>
          <w:rFonts w:ascii="Arial" w:hAnsi="Arial"/>
          <w:b/>
          <w:color w:val="000000"/>
          <w:sz w:val="36"/>
          <w:u w:val="none"/>
        </w:rPr>
        <w:t>What counts as a boutique consulting firm?</w:t>
      </w:r>
    </w:p>
    <w:p>
      <w:pPr>
        <w:spacing w:line="480" w:lineRule="auto" w:before="0" w:after="0"/>
      </w:pPr>
      <w:r>
        <w:rPr>
          <w:rFonts w:ascii="Arial" w:hAnsi="Arial"/>
          <w:b w:val="0"/>
          <w:color w:val="000000"/>
          <w:sz w:val="22"/>
          <w:u w:val="none"/>
        </w:rPr>
        <w:t>A firm that specializes by industry or function and competes with MBB inside that specialty on even terms. ZS in pharma commercial strategy, Altman Solon in telecom and media, Simon-Kucher in pricing. A ten-person generalist shop is small, but it isn't a boutique in the sense that matters for your career.</w:t>
      </w:r>
    </w:p>
    <w:p>
      <w:pPr>
        <w:spacing w:line="480" w:lineRule="auto" w:before="0" w:after="0"/>
      </w:pPr>
    </w:p>
    <w:p>
      <w:pPr>
        <w:pStyle w:val="Heading2"/>
        <w:spacing w:line="480" w:lineRule="auto" w:before="0" w:after="0"/>
      </w:pPr>
      <w:r>
        <w:rPr>
          <w:rFonts w:ascii="Arial" w:hAnsi="Arial"/>
          <w:b/>
          <w:color w:val="000000"/>
          <w:sz w:val="36"/>
          <w:u w:val="none"/>
        </w:rPr>
        <w:t>Do boutique consulting firms pay as well as MBB?</w:t>
      </w:r>
    </w:p>
    <w:p>
      <w:pPr>
        <w:spacing w:line="480" w:lineRule="auto" w:before="0" w:after="0"/>
      </w:pPr>
      <w:r>
        <w:rPr>
          <w:rFonts w:ascii="Arial" w:hAnsi="Arial"/>
          <w:b w:val="0"/>
          <w:color w:val="000000"/>
          <w:sz w:val="22"/>
          <w:u w:val="none"/>
        </w:rPr>
        <w:t>Close, and sometimes effectively yes. Per the Management Consulted 2026 salary report, MBB undergrad base sits at $110,000 to $112,000, while Altman Solon pays $100,000, Cornerstone Research $97,000, and Analysis Group $96,200 with bonuses up to $24,000 [VERIFY: 2026 salary report figures]. Lifestyle at most boutiques is lighter, which changes the per-hour math further.</w:t>
      </w:r>
    </w:p>
    <w:p>
      <w:pPr>
        <w:spacing w:line="480" w:lineRule="auto" w:before="0" w:after="0"/>
      </w:pPr>
    </w:p>
    <w:p>
      <w:pPr>
        <w:pStyle w:val="Heading2"/>
        <w:spacing w:line="480" w:lineRule="auto" w:before="0" w:after="0"/>
      </w:pPr>
      <w:r>
        <w:rPr>
          <w:rFonts w:ascii="Arial" w:hAnsi="Arial"/>
          <w:b/>
          <w:color w:val="000000"/>
          <w:sz w:val="36"/>
          <w:u w:val="none"/>
        </w:rPr>
        <w:t>Healthcare and life sciences</w:t>
      </w:r>
    </w:p>
    <w:p>
      <w:pPr>
        <w:spacing w:line="480" w:lineRule="auto" w:before="0" w:after="0"/>
      </w:pPr>
      <w:r>
        <w:rPr>
          <w:rFonts w:ascii="Arial" w:hAnsi="Arial"/>
          <w:b w:val="0"/>
          <w:color w:val="000000"/>
          <w:sz w:val="22"/>
          <w:u w:val="none"/>
        </w:rPr>
        <w:t>Life sciences is the deepest boutique category, and the one where the boutique-over-MBB case is strongest. A pharma-bound candidate at a specialist learns drug pricing, launch strategy, and market access in year one; the same candidate at a generalist firm might wait two years for a healthcare staffing.</w:t>
      </w:r>
    </w:p>
    <w:p>
      <w:pPr>
        <w:spacing w:line="480" w:lineRule="auto" w:before="0" w:after="0"/>
      </w:pPr>
    </w:p>
    <w:p>
      <w:pPr>
        <w:spacing w:line="480" w:lineRule="auto" w:before="0" w:after="0"/>
      </w:pPr>
      <w:r>
        <w:rPr>
          <w:rFonts w:ascii="Arial" w:hAnsi="Arial"/>
          <w:b/>
          <w:color w:val="000000"/>
          <w:sz w:val="22"/>
          <w:u w:val="none"/>
        </w:rPr>
        <w:t xml:space="preserve">1. </w:t>
      </w:r>
      <w:hyperlink r:id="rId9">
        <w:r>
          <w:rPr>
            <w:rFonts w:ascii="Arial" w:hAnsi="Arial"/>
            <w:b/>
            <w:sz w:val="22"/>
            <w:color w:val="0563C1"/>
            <w:u w:val="single"/>
          </w:rPr>
          <w:t xml:space="preserve">ZS Associates</w:t>
        </w:r>
      </w:hyperlink>
    </w:p>
    <w:p>
      <w:pPr>
        <w:spacing w:line="480" w:lineRule="auto" w:before="0" w:after="0"/>
      </w:pPr>
    </w:p>
    <w:p>
      <w:pPr>
        <w:spacing w:line="480" w:lineRule="auto" w:before="0" w:after="0"/>
      </w:pPr>
      <w:r>
        <w:rPr>
          <w:rFonts w:ascii="Arial" w:hAnsi="Arial"/>
          <w:b/>
          <w:color w:val="000000"/>
          <w:sz w:val="22"/>
          <w:u w:val="none"/>
        </w:rPr>
        <w:t>ZS is the largest healthcare-focused consulting firm in the world, and the strongest non-MBB start for a pharma-bound candidate.</w:t>
      </w:r>
    </w:p>
    <w:p>
      <w:pPr>
        <w:spacing w:line="480" w:lineRule="auto" w:before="0" w:after="0"/>
      </w:pPr>
    </w:p>
    <w:p>
      <w:pPr>
        <w:pStyle w:val="ListBullet"/>
        <w:spacing w:line="480" w:lineRule="auto" w:before="0" w:after="0"/>
      </w:pPr>
      <w:r>
        <w:rPr>
          <w:rFonts w:ascii="Arial" w:hAnsi="Arial"/>
          <w:b w:val="0"/>
          <w:color w:val="000000"/>
          <w:sz w:val="22"/>
          <w:u w:val="none"/>
        </w:rPr>
        <w:t>Website: zs.com/careers</w:t>
      </w:r>
    </w:p>
    <w:p>
      <w:pPr>
        <w:pStyle w:val="ListBullet"/>
        <w:spacing w:line="480" w:lineRule="auto" w:before="0" w:after="0"/>
      </w:pPr>
      <w:r>
        <w:rPr>
          <w:rFonts w:ascii="Arial" w:hAnsi="Arial"/>
          <w:b w:val="0"/>
          <w:color w:val="000000"/>
          <w:sz w:val="22"/>
          <w:u w:val="none"/>
        </w:rPr>
        <w:t>Undergrad roles: Decision Analytics Associate and Business Operations tracks, internship and full-time</w:t>
      </w:r>
    </w:p>
    <w:p>
      <w:pPr>
        <w:pStyle w:val="ListBullet"/>
        <w:spacing w:line="480" w:lineRule="auto" w:before="0" w:after="0"/>
      </w:pPr>
      <w:r>
        <w:rPr>
          <w:rFonts w:ascii="Arial" w:hAnsi="Arial"/>
          <w:b w:val="0"/>
          <w:color w:val="000000"/>
          <w:sz w:val="22"/>
          <w:u w:val="none"/>
        </w:rPr>
        <w:t>Focus: pharma commercial strategy, sales force design, market access analytics</w:t>
      </w:r>
    </w:p>
    <w:p>
      <w:pPr>
        <w:pStyle w:val="ListBullet"/>
        <w:spacing w:line="480" w:lineRule="auto" w:before="0" w:after="0"/>
      </w:pPr>
      <w:r>
        <w:rPr>
          <w:rFonts w:ascii="Arial" w:hAnsi="Arial"/>
          <w:b w:val="0"/>
          <w:color w:val="000000"/>
          <w:sz w:val="22"/>
          <w:u w:val="none"/>
        </w:rPr>
        <w:t>Comp: $90,000 base plus bonus up to $9,000 [VERIFY: 2026]</w:t>
      </w:r>
    </w:p>
    <w:p>
      <w:pPr>
        <w:pStyle w:val="ListBullet"/>
        <w:spacing w:line="480" w:lineRule="auto" w:before="0" w:after="0"/>
      </w:pPr>
      <w:r>
        <w:rPr>
          <w:rFonts w:ascii="Arial" w:hAnsi="Arial"/>
          <w:b w:val="0"/>
          <w:color w:val="000000"/>
          <w:sz w:val="22"/>
          <w:u w:val="none"/>
        </w:rPr>
        <w:t>Scale: 13,000+ employees, 35+ offices</w:t>
      </w:r>
    </w:p>
    <w:p>
      <w:pPr>
        <w:spacing w:line="480" w:lineRule="auto" w:before="0" w:after="0"/>
      </w:pPr>
    </w:p>
    <w:p>
      <w:pPr>
        <w:spacing w:line="480" w:lineRule="auto" w:before="0" w:after="0"/>
      </w:pPr>
      <w:r>
        <w:rPr>
          <w:rFonts w:ascii="Arial" w:hAnsi="Arial"/>
          <w:b w:val="0"/>
          <w:color w:val="000000"/>
          <w:sz w:val="22"/>
          <w:u w:val="none"/>
        </w:rPr>
        <w:t xml:space="preserve">Founded in 1983 by two Kellogg professors, and the quantitative DNA still shows. </w:t>
      </w:r>
      <w:r>
        <w:rPr>
          <w:rFonts w:ascii="Arial" w:hAnsi="Arial"/>
          <w:b/>
          <w:color w:val="000000"/>
          <w:sz w:val="22"/>
          <w:u w:val="none"/>
        </w:rPr>
        <w:t>Pick ZS over a generalist firm if you want pharma and can prove you like working in data.</w:t>
      </w:r>
    </w:p>
    <w:p>
      <w:pPr>
        <w:spacing w:line="480" w:lineRule="auto" w:before="0" w:after="0"/>
      </w:pPr>
    </w:p>
    <w:p>
      <w:pPr>
        <w:spacing w:line="480" w:lineRule="auto" w:before="0" w:after="0"/>
      </w:pPr>
      <w:r>
        <w:rPr>
          <w:rFonts w:ascii="Arial" w:hAnsi="Arial"/>
          <w:b/>
          <w:color w:val="000000"/>
          <w:sz w:val="22"/>
          <w:u w:val="none"/>
        </w:rPr>
        <w:t xml:space="preserve">2. </w:t>
      </w:r>
      <w:hyperlink r:id="rId10">
        <w:r>
          <w:rPr>
            <w:rFonts w:ascii="Arial" w:hAnsi="Arial"/>
            <w:b/>
            <w:sz w:val="22"/>
            <w:color w:val="0563C1"/>
            <w:u w:val="single"/>
          </w:rPr>
          <w:t xml:space="preserve">Putnam</w:t>
        </w:r>
      </w:hyperlink>
    </w:p>
    <w:p>
      <w:pPr>
        <w:spacing w:line="480" w:lineRule="auto" w:before="0" w:after="0"/>
      </w:pPr>
    </w:p>
    <w:p>
      <w:pPr>
        <w:spacing w:line="480" w:lineRule="auto" w:before="0" w:after="0"/>
      </w:pPr>
      <w:r>
        <w:rPr>
          <w:rFonts w:ascii="Arial" w:hAnsi="Arial"/>
          <w:b/>
          <w:color w:val="000000"/>
          <w:sz w:val="22"/>
          <w:u w:val="none"/>
        </w:rPr>
        <w:t>Putnam gives undergrads pure biopharma strategy work, drug pricing and launch decisions, from day one.</w:t>
      </w:r>
    </w:p>
    <w:p>
      <w:pPr>
        <w:spacing w:line="480" w:lineRule="auto" w:before="0" w:after="0"/>
      </w:pPr>
    </w:p>
    <w:p>
      <w:pPr>
        <w:pStyle w:val="ListBullet"/>
        <w:spacing w:line="480" w:lineRule="auto" w:before="0" w:after="0"/>
      </w:pPr>
      <w:r>
        <w:rPr>
          <w:rFonts w:ascii="Arial" w:hAnsi="Arial"/>
          <w:b w:val="0"/>
          <w:color w:val="000000"/>
          <w:sz w:val="22"/>
          <w:u w:val="none"/>
        </w:rPr>
        <w:t>Website: inizio.com (Putnam sits in the Inizio Ignite advisory group)</w:t>
      </w:r>
    </w:p>
    <w:p>
      <w:pPr>
        <w:pStyle w:val="ListBullet"/>
        <w:spacing w:line="480" w:lineRule="auto" w:before="0" w:after="0"/>
      </w:pPr>
      <w:r>
        <w:rPr>
          <w:rFonts w:ascii="Arial" w:hAnsi="Arial"/>
          <w:b w:val="0"/>
          <w:color w:val="000000"/>
          <w:sz w:val="22"/>
          <w:u w:val="none"/>
        </w:rPr>
        <w:t>Undergrad roles: Associate Consultant full-time; 10-week Boston Summer Associate program for rising seniors</w:t>
      </w:r>
    </w:p>
    <w:p>
      <w:pPr>
        <w:pStyle w:val="ListBullet"/>
        <w:spacing w:line="480" w:lineRule="auto" w:before="0" w:after="0"/>
      </w:pPr>
      <w:r>
        <w:rPr>
          <w:rFonts w:ascii="Arial" w:hAnsi="Arial"/>
          <w:b w:val="0"/>
          <w:color w:val="000000"/>
          <w:sz w:val="22"/>
          <w:u w:val="none"/>
        </w:rPr>
        <w:t>Focus: pricing and market access, commercialization, evidence strategy</w:t>
      </w:r>
    </w:p>
    <w:p>
      <w:pPr>
        <w:pStyle w:val="ListBullet"/>
        <w:spacing w:line="480" w:lineRule="auto" w:before="0" w:after="0"/>
      </w:pPr>
      <w:r>
        <w:rPr>
          <w:rFonts w:ascii="Arial" w:hAnsi="Arial"/>
          <w:b w:val="0"/>
          <w:color w:val="000000"/>
          <w:sz w:val="22"/>
          <w:u w:val="none"/>
        </w:rPr>
        <w:t>Comp: reported base range of $75,000 to $120,000 depending on track [VERIFY]</w:t>
      </w:r>
    </w:p>
    <w:p>
      <w:pPr>
        <w:pStyle w:val="ListBullet"/>
        <w:spacing w:line="480" w:lineRule="auto" w:before="0" w:after="0"/>
      </w:pPr>
      <w:r>
        <w:rPr>
          <w:rFonts w:ascii="Arial" w:hAnsi="Arial"/>
          <w:b w:val="0"/>
          <w:color w:val="000000"/>
          <w:sz w:val="22"/>
          <w:u w:val="none"/>
        </w:rPr>
        <w:t>Note: independent brand inside Inizio since the 2019 UDG acquisition</w:t>
      </w:r>
    </w:p>
    <w:p>
      <w:pPr>
        <w:spacing w:line="480" w:lineRule="auto" w:before="0" w:after="0"/>
      </w:pPr>
    </w:p>
    <w:p>
      <w:pPr>
        <w:spacing w:line="480" w:lineRule="auto" w:before="0" w:after="0"/>
      </w:pPr>
      <w:r>
        <w:rPr>
          <w:rFonts w:ascii="Arial" w:hAnsi="Arial"/>
          <w:b w:val="0"/>
          <w:color w:val="000000"/>
          <w:sz w:val="22"/>
          <w:u w:val="none"/>
        </w:rPr>
        <w:t xml:space="preserve">The current CEO started as a Putnam associate, which tells you how the firm thinks about growing juniors. </w:t>
      </w:r>
      <w:r>
        <w:rPr>
          <w:rFonts w:ascii="Arial" w:hAnsi="Arial"/>
          <w:b/>
          <w:color w:val="000000"/>
          <w:sz w:val="22"/>
          <w:u w:val="none"/>
        </w:rPr>
        <w:t>Apply here if biopharma strategy is the goal and Boston works for you.</w:t>
      </w:r>
    </w:p>
    <w:p>
      <w:pPr>
        <w:spacing w:line="480" w:lineRule="auto" w:before="0" w:after="0"/>
      </w:pPr>
    </w:p>
    <w:p>
      <w:pPr>
        <w:spacing w:line="480" w:lineRule="auto" w:before="0" w:after="0"/>
      </w:pPr>
      <w:r>
        <w:rPr>
          <w:rFonts w:ascii="Arial" w:hAnsi="Arial"/>
          <w:b/>
          <w:color w:val="000000"/>
          <w:sz w:val="22"/>
          <w:u w:val="none"/>
        </w:rPr>
        <w:t xml:space="preserve">3. </w:t>
      </w:r>
      <w:hyperlink r:id="rId11">
        <w:r>
          <w:rPr>
            <w:rFonts w:ascii="Arial" w:hAnsi="Arial"/>
            <w:b/>
            <w:sz w:val="22"/>
            <w:color w:val="0563C1"/>
            <w:u w:val="single"/>
          </w:rPr>
          <w:t xml:space="preserve">ClearView Healthcare Partners</w:t>
        </w:r>
      </w:hyperlink>
    </w:p>
    <w:p>
      <w:pPr>
        <w:spacing w:line="480" w:lineRule="auto" w:before="0" w:after="0"/>
      </w:pPr>
    </w:p>
    <w:p>
      <w:pPr>
        <w:spacing w:line="480" w:lineRule="auto" w:before="0" w:after="0"/>
      </w:pPr>
      <w:r>
        <w:rPr>
          <w:rFonts w:ascii="Arial" w:hAnsi="Arial"/>
          <w:b/>
          <w:color w:val="000000"/>
          <w:sz w:val="22"/>
          <w:u w:val="none"/>
        </w:rPr>
        <w:t>ClearView hires undergrads directly into life-sciences corporate strategy that rivals what MBB healthcare teams see.</w:t>
      </w:r>
    </w:p>
    <w:p>
      <w:pPr>
        <w:spacing w:line="480" w:lineRule="auto" w:before="0" w:after="0"/>
      </w:pPr>
    </w:p>
    <w:p>
      <w:pPr>
        <w:pStyle w:val="ListBullet"/>
        <w:spacing w:line="480" w:lineRule="auto" w:before="0" w:after="0"/>
      </w:pPr>
      <w:r>
        <w:rPr>
          <w:rFonts w:ascii="Arial" w:hAnsi="Arial"/>
          <w:b w:val="0"/>
          <w:color w:val="000000"/>
          <w:sz w:val="22"/>
          <w:u w:val="none"/>
        </w:rPr>
        <w:t>Website: clearviewhcp.com/careers</w:t>
      </w:r>
    </w:p>
    <w:p>
      <w:pPr>
        <w:pStyle w:val="ListBullet"/>
        <w:spacing w:line="480" w:lineRule="auto" w:before="0" w:after="0"/>
      </w:pPr>
      <w:r>
        <w:rPr>
          <w:rFonts w:ascii="Arial" w:hAnsi="Arial"/>
          <w:b w:val="0"/>
          <w:color w:val="000000"/>
          <w:sz w:val="22"/>
          <w:u w:val="none"/>
        </w:rPr>
        <w:t>Undergrad roles: Analyst full-time, plus a rising-senior internship</w:t>
      </w:r>
    </w:p>
    <w:p>
      <w:pPr>
        <w:pStyle w:val="ListBullet"/>
        <w:spacing w:line="480" w:lineRule="auto" w:before="0" w:after="0"/>
      </w:pPr>
      <w:r>
        <w:rPr>
          <w:rFonts w:ascii="Arial" w:hAnsi="Arial"/>
          <w:b w:val="0"/>
          <w:color w:val="000000"/>
          <w:sz w:val="22"/>
          <w:u w:val="none"/>
        </w:rPr>
        <w:t>Focus: pharma and biotech portfolio strategy, medtech and diagnostics</w:t>
      </w:r>
    </w:p>
    <w:p>
      <w:pPr>
        <w:pStyle w:val="ListBullet"/>
        <w:spacing w:line="480" w:lineRule="auto" w:before="0" w:after="0"/>
      </w:pPr>
      <w:r>
        <w:rPr>
          <w:rFonts w:ascii="Arial" w:hAnsi="Arial"/>
          <w:b w:val="0"/>
          <w:color w:val="000000"/>
          <w:sz w:val="22"/>
          <w:u w:val="none"/>
        </w:rPr>
        <w:t>Comp: $93,000 base plus bonus up to $12,500 [VERIFY: 2026]</w:t>
      </w:r>
    </w:p>
    <w:p>
      <w:pPr>
        <w:pStyle w:val="ListBullet"/>
        <w:spacing w:line="480" w:lineRule="auto" w:before="0" w:after="0"/>
      </w:pPr>
      <w:r>
        <w:rPr>
          <w:rFonts w:ascii="Arial" w:hAnsi="Arial"/>
          <w:b w:val="0"/>
          <w:color w:val="000000"/>
          <w:sz w:val="22"/>
          <w:u w:val="none"/>
        </w:rPr>
        <w:t>Best for: science majors who want strategy work without an advanced degree</w:t>
      </w:r>
    </w:p>
    <w:p>
      <w:pPr>
        <w:spacing w:line="480" w:lineRule="auto" w:before="0" w:after="0"/>
      </w:pPr>
    </w:p>
    <w:p>
      <w:pPr>
        <w:spacing w:line="480" w:lineRule="auto" w:before="0" w:after="0"/>
      </w:pPr>
      <w:r>
        <w:rPr>
          <w:rFonts w:ascii="Arial" w:hAnsi="Arial"/>
          <w:b/>
          <w:color w:val="000000"/>
          <w:sz w:val="22"/>
          <w:u w:val="none"/>
        </w:rPr>
        <w:t>ClearView is the cleanest entry into biotech strategy for a strong bio or chem major at a non-target.</w:t>
      </w:r>
    </w:p>
    <w:p>
      <w:pPr>
        <w:spacing w:line="480" w:lineRule="auto" w:before="0" w:after="0"/>
      </w:pPr>
    </w:p>
    <w:p>
      <w:pPr>
        <w:spacing w:line="480" w:lineRule="auto" w:before="0" w:after="0"/>
      </w:pPr>
      <w:r>
        <w:rPr>
          <w:rFonts w:ascii="Arial" w:hAnsi="Arial"/>
          <w:b/>
          <w:color w:val="000000"/>
          <w:sz w:val="22"/>
          <w:u w:val="none"/>
        </w:rPr>
        <w:t xml:space="preserve">4. </w:t>
      </w:r>
      <w:hyperlink r:id="rId12">
        <w:r>
          <w:rPr>
            <w:rFonts w:ascii="Arial" w:hAnsi="Arial"/>
            <w:b/>
            <w:sz w:val="22"/>
            <w:color w:val="0563C1"/>
            <w:u w:val="single"/>
          </w:rPr>
          <w:t xml:space="preserve">Health Advances</w:t>
        </w:r>
      </w:hyperlink>
    </w:p>
    <w:p>
      <w:pPr>
        <w:spacing w:line="480" w:lineRule="auto" w:before="0" w:after="0"/>
      </w:pPr>
    </w:p>
    <w:p>
      <w:pPr>
        <w:spacing w:line="480" w:lineRule="auto" w:before="0" w:after="0"/>
      </w:pPr>
      <w:r>
        <w:rPr>
          <w:rFonts w:ascii="Arial" w:hAnsi="Arial"/>
          <w:b/>
          <w:color w:val="000000"/>
          <w:sz w:val="22"/>
          <w:u w:val="none"/>
        </w:rPr>
        <w:t>Health Advances puts analysts on investor due diligence, so the work doubles as buy-side training.</w:t>
      </w:r>
    </w:p>
    <w:p>
      <w:pPr>
        <w:spacing w:line="480" w:lineRule="auto" w:before="0" w:after="0"/>
      </w:pPr>
    </w:p>
    <w:p>
      <w:pPr>
        <w:pStyle w:val="ListBullet"/>
        <w:spacing w:line="480" w:lineRule="auto" w:before="0" w:after="0"/>
      </w:pPr>
      <w:r>
        <w:rPr>
          <w:rFonts w:ascii="Arial" w:hAnsi="Arial"/>
          <w:b w:val="0"/>
          <w:color w:val="000000"/>
          <w:sz w:val="22"/>
          <w:u w:val="none"/>
        </w:rPr>
        <w:t>Website: healthadvances.com/careers</w:t>
      </w:r>
    </w:p>
    <w:p>
      <w:pPr>
        <w:pStyle w:val="ListBullet"/>
        <w:spacing w:line="480" w:lineRule="auto" w:before="0" w:after="0"/>
      </w:pPr>
      <w:r>
        <w:rPr>
          <w:rFonts w:ascii="Arial" w:hAnsi="Arial"/>
          <w:b w:val="0"/>
          <w:color w:val="000000"/>
          <w:sz w:val="22"/>
          <w:u w:val="none"/>
        </w:rPr>
        <w:t>Undergrad roles: Analyst full-time and an intern program</w:t>
      </w:r>
    </w:p>
    <w:p>
      <w:pPr>
        <w:pStyle w:val="ListBullet"/>
        <w:spacing w:line="480" w:lineRule="auto" w:before="0" w:after="0"/>
      </w:pPr>
      <w:r>
        <w:rPr>
          <w:rFonts w:ascii="Arial" w:hAnsi="Arial"/>
          <w:b w:val="0"/>
          <w:color w:val="000000"/>
          <w:sz w:val="22"/>
          <w:u w:val="none"/>
        </w:rPr>
        <w:t>Focus: medtech, diagnostics, digital health, PE and growth equity diligence</w:t>
      </w:r>
    </w:p>
    <w:p>
      <w:pPr>
        <w:pStyle w:val="ListBullet"/>
        <w:spacing w:line="480" w:lineRule="auto" w:before="0" w:after="0"/>
      </w:pPr>
      <w:r>
        <w:rPr>
          <w:rFonts w:ascii="Arial" w:hAnsi="Arial"/>
          <w:b w:val="0"/>
          <w:color w:val="000000"/>
          <w:sz w:val="22"/>
          <w:u w:val="none"/>
        </w:rPr>
        <w:t>Ownership: operating unit of Parexel since 2016</w:t>
      </w:r>
    </w:p>
    <w:p>
      <w:pPr>
        <w:pStyle w:val="ListBullet"/>
        <w:spacing w:line="480" w:lineRule="auto" w:before="0" w:after="0"/>
      </w:pPr>
      <w:r>
        <w:rPr>
          <w:rFonts w:ascii="Arial" w:hAnsi="Arial"/>
          <w:b w:val="0"/>
          <w:color w:val="000000"/>
          <w:sz w:val="22"/>
          <w:u w:val="none"/>
        </w:rPr>
        <w:t>Best for: healthcare-curious candidates who might want investing later</w:t>
      </w:r>
    </w:p>
    <w:p>
      <w:pPr>
        <w:spacing w:line="480" w:lineRule="auto" w:before="0" w:after="0"/>
      </w:pPr>
    </w:p>
    <w:p>
      <w:pPr>
        <w:spacing w:line="480" w:lineRule="auto" w:before="0" w:after="0"/>
      </w:pPr>
      <w:r>
        <w:rPr>
          <w:rFonts w:ascii="Arial" w:hAnsi="Arial"/>
          <w:b/>
          <w:color w:val="000000"/>
          <w:sz w:val="22"/>
          <w:u w:val="none"/>
        </w:rPr>
        <w:t>Choose Health Advances if you want healthcare depth plus a real shot at healthcare PE exits.</w:t>
      </w:r>
    </w:p>
    <w:p>
      <w:pPr>
        <w:spacing w:line="480" w:lineRule="auto" w:before="0" w:after="0"/>
      </w:pPr>
    </w:p>
    <w:p>
      <w:pPr>
        <w:pStyle w:val="Heading2"/>
        <w:spacing w:line="480" w:lineRule="auto" w:before="0" w:after="0"/>
      </w:pPr>
      <w:r>
        <w:rPr>
          <w:rFonts w:ascii="Arial" w:hAnsi="Arial"/>
          <w:b/>
          <w:color w:val="000000"/>
          <w:sz w:val="36"/>
          <w:u w:val="none"/>
        </w:rPr>
        <w:t>Technology, media, and telecom</w:t>
      </w:r>
    </w:p>
    <w:p>
      <w:pPr>
        <w:spacing w:line="480" w:lineRule="auto" w:before="0" w:after="0"/>
      </w:pPr>
      <w:r>
        <w:rPr>
          <w:rFonts w:ascii="Arial" w:hAnsi="Arial"/>
          <w:b w:val="0"/>
          <w:color w:val="000000"/>
          <w:sz w:val="22"/>
          <w:u w:val="none"/>
        </w:rPr>
        <w:t>TMT boutiques are rarer than healthcare ones, which concentrates the talent and the dealflow into a short list.</w:t>
      </w:r>
    </w:p>
    <w:p>
      <w:pPr>
        <w:spacing w:line="480" w:lineRule="auto" w:before="0" w:after="0"/>
      </w:pPr>
    </w:p>
    <w:p>
      <w:pPr>
        <w:spacing w:line="480" w:lineRule="auto" w:before="0" w:after="0"/>
      </w:pPr>
      <w:r>
        <w:rPr>
          <w:rFonts w:ascii="Arial" w:hAnsi="Arial"/>
          <w:b/>
          <w:color w:val="000000"/>
          <w:sz w:val="22"/>
          <w:u w:val="none"/>
        </w:rPr>
        <w:t xml:space="preserve">5. </w:t>
      </w:r>
      <w:hyperlink r:id="rId13">
        <w:r>
          <w:rPr>
            <w:rFonts w:ascii="Arial" w:hAnsi="Arial"/>
            <w:b/>
            <w:sz w:val="22"/>
            <w:color w:val="0563C1"/>
            <w:u w:val="single"/>
          </w:rPr>
          <w:t xml:space="preserve">Altman Solon</w:t>
        </w:r>
      </w:hyperlink>
    </w:p>
    <w:p>
      <w:pPr>
        <w:spacing w:line="480" w:lineRule="auto" w:before="0" w:after="0"/>
      </w:pPr>
    </w:p>
    <w:p>
      <w:pPr>
        <w:spacing w:line="480" w:lineRule="auto" w:before="0" w:after="0"/>
      </w:pPr>
      <w:r>
        <w:rPr>
          <w:rFonts w:ascii="Arial" w:hAnsi="Arial"/>
          <w:b/>
          <w:color w:val="000000"/>
          <w:sz w:val="22"/>
          <w:u w:val="none"/>
        </w:rPr>
        <w:t>Altman Solon is the largest strategy firm in the world focused entirely on tech, media, and telecom, and it pays the highest base on this list.</w:t>
      </w:r>
    </w:p>
    <w:p>
      <w:pPr>
        <w:spacing w:line="480" w:lineRule="auto" w:before="0" w:after="0"/>
      </w:pPr>
    </w:p>
    <w:p>
      <w:pPr>
        <w:pStyle w:val="ListBullet"/>
        <w:spacing w:line="480" w:lineRule="auto" w:before="0" w:after="0"/>
      </w:pPr>
      <w:r>
        <w:rPr>
          <w:rFonts w:ascii="Arial" w:hAnsi="Arial"/>
          <w:b w:val="0"/>
          <w:color w:val="000000"/>
          <w:sz w:val="22"/>
          <w:u w:val="none"/>
        </w:rPr>
        <w:t>Website: altmansolon.com/careers</w:t>
      </w:r>
    </w:p>
    <w:p>
      <w:pPr>
        <w:pStyle w:val="ListBullet"/>
        <w:spacing w:line="480" w:lineRule="auto" w:before="0" w:after="0"/>
      </w:pPr>
      <w:r>
        <w:rPr>
          <w:rFonts w:ascii="Arial" w:hAnsi="Arial"/>
          <w:b w:val="0"/>
          <w:color w:val="000000"/>
          <w:sz w:val="22"/>
          <w:u w:val="none"/>
        </w:rPr>
        <w:t>Undergrad roles: Associate full-time, plus two-to-three-month internships</w:t>
      </w:r>
    </w:p>
    <w:p>
      <w:pPr>
        <w:pStyle w:val="ListBullet"/>
        <w:spacing w:line="480" w:lineRule="auto" w:before="0" w:after="0"/>
      </w:pPr>
      <w:r>
        <w:rPr>
          <w:rFonts w:ascii="Arial" w:hAnsi="Arial"/>
          <w:b w:val="0"/>
          <w:color w:val="000000"/>
          <w:sz w:val="22"/>
          <w:u w:val="none"/>
        </w:rPr>
        <w:t>Focus: telecom infrastructure, media, software, TMT deal diligence</w:t>
      </w:r>
    </w:p>
    <w:p>
      <w:pPr>
        <w:pStyle w:val="ListBullet"/>
        <w:spacing w:line="480" w:lineRule="auto" w:before="0" w:after="0"/>
      </w:pPr>
      <w:r>
        <w:rPr>
          <w:rFonts w:ascii="Arial" w:hAnsi="Arial"/>
          <w:b w:val="0"/>
          <w:color w:val="000000"/>
          <w:sz w:val="22"/>
          <w:u w:val="none"/>
        </w:rPr>
        <w:t>Comp: $100,000 base plus bonus up to $15,000 [VERIFY: 2026]</w:t>
      </w:r>
    </w:p>
    <w:p>
      <w:pPr>
        <w:pStyle w:val="ListBullet"/>
        <w:spacing w:line="480" w:lineRule="auto" w:before="0" w:after="0"/>
      </w:pPr>
      <w:r>
        <w:rPr>
          <w:rFonts w:ascii="Arial" w:hAnsi="Arial"/>
          <w:b w:val="0"/>
          <w:color w:val="000000"/>
          <w:sz w:val="22"/>
          <w:u w:val="none"/>
        </w:rPr>
        <w:t>Formed: 2020 merger of Altman Vilandrie and Solon</w:t>
      </w:r>
    </w:p>
    <w:p>
      <w:pPr>
        <w:spacing w:line="480" w:lineRule="auto" w:before="0" w:after="0"/>
      </w:pPr>
    </w:p>
    <w:p>
      <w:pPr>
        <w:spacing w:line="480" w:lineRule="auto" w:before="0" w:after="0"/>
      </w:pPr>
      <w:r>
        <w:rPr>
          <w:rFonts w:ascii="Arial" w:hAnsi="Arial"/>
          <w:b w:val="0"/>
          <w:color w:val="000000"/>
          <w:sz w:val="22"/>
          <w:u w:val="none"/>
        </w:rPr>
        <w:t xml:space="preserve">Heavy PE diligence flow means analysts see live deals early. </w:t>
      </w:r>
      <w:r>
        <w:rPr>
          <w:rFonts w:ascii="Arial" w:hAnsi="Arial"/>
          <w:b/>
          <w:color w:val="000000"/>
          <w:sz w:val="22"/>
          <w:u w:val="none"/>
        </w:rPr>
        <w:t>For a TMT-committed candidate, this seat beats a generalist offer at almost any tier 2 firm.</w:t>
      </w:r>
    </w:p>
    <w:p>
      <w:pPr>
        <w:spacing w:line="480" w:lineRule="auto" w:before="0" w:after="0"/>
      </w:pPr>
    </w:p>
    <w:p>
      <w:pPr>
        <w:pStyle w:val="Heading2"/>
        <w:spacing w:line="480" w:lineRule="auto" w:before="0" w:after="0"/>
      </w:pPr>
      <w:r>
        <w:rPr>
          <w:rFonts w:ascii="Arial" w:hAnsi="Arial"/>
          <w:b/>
          <w:color w:val="000000"/>
          <w:sz w:val="36"/>
          <w:u w:val="none"/>
        </w:rPr>
        <w:t>Pricing and commercial strategy</w:t>
      </w:r>
    </w:p>
    <w:p>
      <w:pPr>
        <w:spacing w:line="480" w:lineRule="auto" w:before="0" w:after="0"/>
      </w:pPr>
      <w:r>
        <w:rPr>
          <w:rFonts w:ascii="Arial" w:hAnsi="Arial"/>
          <w:b w:val="0"/>
          <w:color w:val="000000"/>
          <w:sz w:val="22"/>
          <w:u w:val="none"/>
        </w:rPr>
        <w:t>Functional boutiques specialize by problem type rather than industry, and pricing is the function clients pay for most reliably.</w:t>
      </w:r>
    </w:p>
    <w:p>
      <w:pPr>
        <w:spacing w:line="480" w:lineRule="auto" w:before="0" w:after="0"/>
      </w:pPr>
    </w:p>
    <w:p>
      <w:pPr>
        <w:spacing w:line="480" w:lineRule="auto" w:before="0" w:after="0"/>
      </w:pPr>
      <w:r>
        <w:rPr>
          <w:rFonts w:ascii="Arial" w:hAnsi="Arial"/>
          <w:b/>
          <w:color w:val="000000"/>
          <w:sz w:val="22"/>
          <w:u w:val="none"/>
        </w:rPr>
        <w:t xml:space="preserve">6. </w:t>
      </w:r>
      <w:hyperlink r:id="rId14">
        <w:r>
          <w:rPr>
            <w:rFonts w:ascii="Arial" w:hAnsi="Arial"/>
            <w:b/>
            <w:sz w:val="22"/>
            <w:color w:val="0563C1"/>
            <w:u w:val="single"/>
          </w:rPr>
          <w:t xml:space="preserve">Simon-Kucher</w:t>
        </w:r>
      </w:hyperlink>
    </w:p>
    <w:p>
      <w:pPr>
        <w:spacing w:line="480" w:lineRule="auto" w:before="0" w:after="0"/>
      </w:pPr>
    </w:p>
    <w:p>
      <w:pPr>
        <w:spacing w:line="480" w:lineRule="auto" w:before="0" w:after="0"/>
      </w:pPr>
      <w:r>
        <w:rPr>
          <w:rFonts w:ascii="Arial" w:hAnsi="Arial"/>
          <w:b/>
          <w:color w:val="000000"/>
          <w:sz w:val="22"/>
          <w:u w:val="none"/>
        </w:rPr>
        <w:t>Simon-Kucher owns the pricing niche the way ZS owns pharma commercial.</w:t>
      </w:r>
    </w:p>
    <w:p>
      <w:pPr>
        <w:spacing w:line="480" w:lineRule="auto" w:before="0" w:after="0"/>
      </w:pPr>
    </w:p>
    <w:p>
      <w:pPr>
        <w:pStyle w:val="ListBullet"/>
        <w:spacing w:line="480" w:lineRule="auto" w:before="0" w:after="0"/>
      </w:pPr>
      <w:r>
        <w:rPr>
          <w:rFonts w:ascii="Arial" w:hAnsi="Arial"/>
          <w:b w:val="0"/>
          <w:color w:val="000000"/>
          <w:sz w:val="22"/>
          <w:u w:val="none"/>
        </w:rPr>
        <w:t>Website: simon-kucher.com/careers</w:t>
      </w:r>
    </w:p>
    <w:p>
      <w:pPr>
        <w:pStyle w:val="ListBullet"/>
        <w:spacing w:line="480" w:lineRule="auto" w:before="0" w:after="0"/>
      </w:pPr>
      <w:r>
        <w:rPr>
          <w:rFonts w:ascii="Arial" w:hAnsi="Arial"/>
          <w:b w:val="0"/>
          <w:color w:val="000000"/>
          <w:sz w:val="22"/>
          <w:u w:val="none"/>
        </w:rPr>
        <w:t>Undergrad roles: Consultant entry for bachelor's grads, plus internships</w:t>
      </w:r>
    </w:p>
    <w:p>
      <w:pPr>
        <w:pStyle w:val="ListBullet"/>
        <w:spacing w:line="480" w:lineRule="auto" w:before="0" w:after="0"/>
      </w:pPr>
      <w:r>
        <w:rPr>
          <w:rFonts w:ascii="Arial" w:hAnsi="Arial"/>
          <w:b w:val="0"/>
          <w:color w:val="000000"/>
          <w:sz w:val="22"/>
          <w:u w:val="none"/>
        </w:rPr>
        <w:t>Focus: pricing, monetization, commercial growth across software, healthcare, and financial services</w:t>
      </w:r>
    </w:p>
    <w:p>
      <w:pPr>
        <w:pStyle w:val="ListBullet"/>
        <w:spacing w:line="480" w:lineRule="auto" w:before="0" w:after="0"/>
      </w:pPr>
      <w:r>
        <w:rPr>
          <w:rFonts w:ascii="Arial" w:hAnsi="Arial"/>
          <w:b w:val="0"/>
          <w:color w:val="000000"/>
          <w:sz w:val="22"/>
          <w:u w:val="none"/>
        </w:rPr>
        <w:t>Comp: $90,000 base plus bonus up to $8,100 [VERIFY: 2026]</w:t>
      </w:r>
    </w:p>
    <w:p>
      <w:pPr>
        <w:pStyle w:val="ListBullet"/>
        <w:spacing w:line="480" w:lineRule="auto" w:before="0" w:after="0"/>
      </w:pPr>
      <w:r>
        <w:rPr>
          <w:rFonts w:ascii="Arial" w:hAnsi="Arial"/>
          <w:b w:val="0"/>
          <w:color w:val="000000"/>
          <w:sz w:val="22"/>
          <w:u w:val="none"/>
        </w:rPr>
        <w:t>Scale: 2,200 staff across 30+ countries</w:t>
      </w:r>
    </w:p>
    <w:p>
      <w:pPr>
        <w:spacing w:line="480" w:lineRule="auto" w:before="0" w:after="0"/>
      </w:pPr>
    </w:p>
    <w:p>
      <w:pPr>
        <w:spacing w:line="480" w:lineRule="auto" w:before="0" w:after="0"/>
      </w:pPr>
      <w:r>
        <w:rPr>
          <w:rFonts w:ascii="Arial" w:hAnsi="Arial"/>
          <w:b w:val="0"/>
          <w:color w:val="000000"/>
          <w:sz w:val="22"/>
          <w:u w:val="none"/>
        </w:rPr>
        <w:t xml:space="preserve">Pricing is the highest-lever variable in most P&amp;Ls, and clients pay specialists accordingly. </w:t>
      </w:r>
      <w:r>
        <w:rPr>
          <w:rFonts w:ascii="Arial" w:hAnsi="Arial"/>
          <w:b/>
          <w:color w:val="000000"/>
          <w:sz w:val="22"/>
          <w:u w:val="none"/>
        </w:rPr>
        <w:t>Target Simon-Kucher if you want a portable, named specialty by age 24.</w:t>
      </w:r>
    </w:p>
    <w:p>
      <w:pPr>
        <w:spacing w:line="480" w:lineRule="auto" w:before="0" w:after="0"/>
      </w:pPr>
    </w:p>
    <w:p>
      <w:pPr>
        <w:pStyle w:val="Heading2"/>
        <w:spacing w:line="480" w:lineRule="auto" w:before="0" w:after="0"/>
      </w:pPr>
      <w:r>
        <w:rPr>
          <w:rFonts w:ascii="Arial" w:hAnsi="Arial"/>
          <w:b/>
          <w:color w:val="000000"/>
          <w:sz w:val="36"/>
          <w:u w:val="none"/>
        </w:rPr>
        <w:t>Brand and growth</w:t>
      </w:r>
    </w:p>
    <w:p>
      <w:pPr>
        <w:spacing w:line="480" w:lineRule="auto" w:before="0" w:after="0"/>
      </w:pPr>
      <w:r>
        <w:rPr>
          <w:rFonts w:ascii="Arial" w:hAnsi="Arial"/>
          <w:b w:val="0"/>
          <w:color w:val="000000"/>
          <w:sz w:val="22"/>
          <w:u w:val="none"/>
        </w:rPr>
        <w:t>One firm defines this lane for undergrads.</w:t>
      </w:r>
    </w:p>
    <w:p>
      <w:pPr>
        <w:spacing w:line="480" w:lineRule="auto" w:before="0" w:after="0"/>
      </w:pPr>
    </w:p>
    <w:p>
      <w:pPr>
        <w:spacing w:line="480" w:lineRule="auto" w:before="0" w:after="0"/>
      </w:pPr>
      <w:r>
        <w:rPr>
          <w:rFonts w:ascii="Arial" w:hAnsi="Arial"/>
          <w:b/>
          <w:color w:val="000000"/>
          <w:sz w:val="22"/>
          <w:u w:val="none"/>
        </w:rPr>
        <w:t xml:space="preserve">7. </w:t>
      </w:r>
      <w:hyperlink r:id="rId15">
        <w:r>
          <w:rPr>
            <w:rFonts w:ascii="Arial" w:hAnsi="Arial"/>
            <w:b/>
            <w:sz w:val="22"/>
            <w:color w:val="0563C1"/>
            <w:u w:val="single"/>
          </w:rPr>
          <w:t xml:space="preserve">Prophet</w:t>
        </w:r>
      </w:hyperlink>
    </w:p>
    <w:p>
      <w:pPr>
        <w:spacing w:line="480" w:lineRule="auto" w:before="0" w:after="0"/>
      </w:pPr>
    </w:p>
    <w:p>
      <w:pPr>
        <w:spacing w:line="480" w:lineRule="auto" w:before="0" w:after="0"/>
      </w:pPr>
      <w:r>
        <w:rPr>
          <w:rFonts w:ascii="Arial" w:hAnsi="Arial"/>
          <w:b/>
          <w:color w:val="000000"/>
          <w:sz w:val="22"/>
          <w:u w:val="none"/>
        </w:rPr>
        <w:t>Prophet is the strongest brand-strategy boutique for undergrads who want marketing with real analytical weight.</w:t>
      </w:r>
    </w:p>
    <w:p>
      <w:pPr>
        <w:spacing w:line="480" w:lineRule="auto" w:before="0" w:after="0"/>
      </w:pPr>
    </w:p>
    <w:p>
      <w:pPr>
        <w:pStyle w:val="ListBullet"/>
        <w:spacing w:line="480" w:lineRule="auto" w:before="0" w:after="0"/>
      </w:pPr>
      <w:r>
        <w:rPr>
          <w:rFonts w:ascii="Arial" w:hAnsi="Arial"/>
          <w:b w:val="0"/>
          <w:color w:val="000000"/>
          <w:sz w:val="22"/>
          <w:u w:val="none"/>
        </w:rPr>
        <w:t>Website: prophet.com/careers</w:t>
      </w:r>
    </w:p>
    <w:p>
      <w:pPr>
        <w:pStyle w:val="ListBullet"/>
        <w:spacing w:line="480" w:lineRule="auto" w:before="0" w:after="0"/>
      </w:pPr>
      <w:r>
        <w:rPr>
          <w:rFonts w:ascii="Arial" w:hAnsi="Arial"/>
          <w:b w:val="0"/>
          <w:color w:val="000000"/>
          <w:sz w:val="22"/>
          <w:u w:val="none"/>
        </w:rPr>
        <w:t>Undergrad roles: Associate entry, with associate internships posted seasonally</w:t>
      </w:r>
    </w:p>
    <w:p>
      <w:pPr>
        <w:pStyle w:val="ListBullet"/>
        <w:spacing w:line="480" w:lineRule="auto" w:before="0" w:after="0"/>
      </w:pPr>
      <w:r>
        <w:rPr>
          <w:rFonts w:ascii="Arial" w:hAnsi="Arial"/>
          <w:b w:val="0"/>
          <w:color w:val="000000"/>
          <w:sz w:val="22"/>
          <w:u w:val="none"/>
        </w:rPr>
        <w:t>Focus: brand strategy, customer experience, growth transformation</w:t>
      </w:r>
    </w:p>
    <w:p>
      <w:pPr>
        <w:pStyle w:val="ListBullet"/>
        <w:spacing w:line="480" w:lineRule="auto" w:before="0" w:after="0"/>
      </w:pPr>
      <w:r>
        <w:rPr>
          <w:rFonts w:ascii="Arial" w:hAnsi="Arial"/>
          <w:b w:val="0"/>
          <w:color w:val="000000"/>
          <w:sz w:val="22"/>
          <w:u w:val="none"/>
        </w:rPr>
        <w:t>Scale: roughly 500 to 1,000 people across 15 offices</w:t>
      </w:r>
    </w:p>
    <w:p>
      <w:pPr>
        <w:pStyle w:val="ListBullet"/>
        <w:spacing w:line="480" w:lineRule="auto" w:before="0" w:after="0"/>
      </w:pPr>
      <w:r>
        <w:rPr>
          <w:rFonts w:ascii="Arial" w:hAnsi="Arial"/>
          <w:b w:val="0"/>
          <w:color w:val="000000"/>
          <w:sz w:val="22"/>
          <w:u w:val="none"/>
        </w:rPr>
        <w:t>Best for: candidates torn between consulting and marketing</w:t>
      </w:r>
    </w:p>
    <w:p>
      <w:pPr>
        <w:spacing w:line="480" w:lineRule="auto" w:before="0" w:after="0"/>
      </w:pPr>
    </w:p>
    <w:p>
      <w:pPr>
        <w:spacing w:line="480" w:lineRule="auto" w:before="0" w:after="0"/>
      </w:pPr>
      <w:r>
        <w:rPr>
          <w:rFonts w:ascii="Arial" w:hAnsi="Arial"/>
          <w:b w:val="0"/>
          <w:color w:val="000000"/>
          <w:sz w:val="22"/>
          <w:u w:val="none"/>
        </w:rPr>
        <w:t xml:space="preserve">Co-founded in 1992 by Scott Galloway, and the firm now runs an AI practice alongside classic brand work. </w:t>
      </w:r>
      <w:r>
        <w:rPr>
          <w:rFonts w:ascii="Arial" w:hAnsi="Arial"/>
          <w:b/>
          <w:color w:val="000000"/>
          <w:sz w:val="22"/>
          <w:u w:val="none"/>
        </w:rPr>
        <w:t>Prophet fits the storyteller who can also read a regression output.</w:t>
      </w:r>
    </w:p>
    <w:p>
      <w:pPr>
        <w:spacing w:line="480" w:lineRule="auto" w:before="0" w:after="0"/>
      </w:pPr>
    </w:p>
    <w:p>
      <w:pPr>
        <w:pStyle w:val="Heading2"/>
        <w:spacing w:line="480" w:lineRule="auto" w:before="0" w:after="0"/>
      </w:pPr>
      <w:r>
        <w:rPr>
          <w:rFonts w:ascii="Arial" w:hAnsi="Arial"/>
          <w:b/>
          <w:color w:val="000000"/>
          <w:sz w:val="36"/>
          <w:u w:val="none"/>
        </w:rPr>
        <w:t>Innovation strategy</w:t>
      </w:r>
    </w:p>
    <w:p>
      <w:pPr>
        <w:spacing w:line="480" w:lineRule="auto" w:before="0" w:after="0"/>
      </w:pPr>
      <w:r>
        <w:rPr>
          <w:rFonts w:ascii="Arial" w:hAnsi="Arial"/>
          <w:b/>
          <w:color w:val="000000"/>
          <w:sz w:val="22"/>
          <w:u w:val="none"/>
        </w:rPr>
        <w:t xml:space="preserve">8. </w:t>
      </w:r>
      <w:hyperlink r:id="rId16">
        <w:r>
          <w:rPr>
            <w:rFonts w:ascii="Arial" w:hAnsi="Arial"/>
            <w:b/>
            <w:sz w:val="22"/>
            <w:color w:val="0563C1"/>
            <w:u w:val="single"/>
          </w:rPr>
          <w:t xml:space="preserve">Innosight (Huron)</w:t>
        </w:r>
      </w:hyperlink>
    </w:p>
    <w:p>
      <w:pPr>
        <w:spacing w:line="480" w:lineRule="auto" w:before="0" w:after="0"/>
      </w:pPr>
    </w:p>
    <w:p>
      <w:pPr>
        <w:spacing w:line="480" w:lineRule="auto" w:before="0" w:after="0"/>
      </w:pPr>
      <w:r>
        <w:rPr>
          <w:rFonts w:ascii="Arial" w:hAnsi="Arial"/>
          <w:b/>
          <w:color w:val="000000"/>
          <w:sz w:val="22"/>
          <w:u w:val="none"/>
        </w:rPr>
        <w:t>Innosight sells the disruptive-innovation playbook its founder Clayton Christensen wrote, and hires undergrads to run it.</w:t>
      </w:r>
    </w:p>
    <w:p>
      <w:pPr>
        <w:spacing w:line="480" w:lineRule="auto" w:before="0" w:after="0"/>
      </w:pPr>
    </w:p>
    <w:p>
      <w:pPr>
        <w:pStyle w:val="ListBullet"/>
        <w:spacing w:line="480" w:lineRule="auto" w:before="0" w:after="0"/>
      </w:pPr>
      <w:r>
        <w:rPr>
          <w:rFonts w:ascii="Arial" w:hAnsi="Arial"/>
          <w:b w:val="0"/>
          <w:color w:val="000000"/>
          <w:sz w:val="22"/>
          <w:u w:val="none"/>
        </w:rPr>
        <w:t>Website: huronconsultinggroup.com/innosight</w:t>
      </w:r>
    </w:p>
    <w:p>
      <w:pPr>
        <w:pStyle w:val="ListBullet"/>
        <w:spacing w:line="480" w:lineRule="auto" w:before="0" w:after="0"/>
      </w:pPr>
      <w:r>
        <w:rPr>
          <w:rFonts w:ascii="Arial" w:hAnsi="Arial"/>
          <w:b w:val="0"/>
          <w:color w:val="000000"/>
          <w:sz w:val="22"/>
          <w:u w:val="none"/>
        </w:rPr>
        <w:t>Undergrad roles: Analyst full-time and a rising-senior Summer Analyst program, hired through Huron</w:t>
      </w:r>
    </w:p>
    <w:p>
      <w:pPr>
        <w:pStyle w:val="ListBullet"/>
        <w:spacing w:line="480" w:lineRule="auto" w:before="0" w:after="0"/>
      </w:pPr>
      <w:r>
        <w:rPr>
          <w:rFonts w:ascii="Arial" w:hAnsi="Arial"/>
          <w:b w:val="0"/>
          <w:color w:val="000000"/>
          <w:sz w:val="22"/>
          <w:u w:val="none"/>
        </w:rPr>
        <w:t>Focus: growth strategy, corporate innovation, disruption response</w:t>
      </w:r>
    </w:p>
    <w:p>
      <w:pPr>
        <w:pStyle w:val="ListBullet"/>
        <w:spacing w:line="480" w:lineRule="auto" w:before="0" w:after="0"/>
      </w:pPr>
      <w:r>
        <w:rPr>
          <w:rFonts w:ascii="Arial" w:hAnsi="Arial"/>
          <w:b w:val="0"/>
          <w:color w:val="000000"/>
          <w:sz w:val="22"/>
          <w:u w:val="none"/>
        </w:rPr>
        <w:t>Ownership: part of Huron since 2017; absorbed Wilson Perumal in 2025</w:t>
      </w:r>
    </w:p>
    <w:p>
      <w:pPr>
        <w:pStyle w:val="ListBullet"/>
        <w:spacing w:line="480" w:lineRule="auto" w:before="0" w:after="0"/>
      </w:pPr>
      <w:r>
        <w:rPr>
          <w:rFonts w:ascii="Arial" w:hAnsi="Arial"/>
          <w:b w:val="0"/>
          <w:color w:val="000000"/>
          <w:sz w:val="22"/>
          <w:u w:val="none"/>
        </w:rPr>
        <w:t>Timing: summer analyst postings appear up to nine months ahead [VERIFY]</w:t>
      </w:r>
    </w:p>
    <w:p>
      <w:pPr>
        <w:spacing w:line="480" w:lineRule="auto" w:before="0" w:after="0"/>
      </w:pPr>
    </w:p>
    <w:p>
      <w:pPr>
        <w:spacing w:line="480" w:lineRule="auto" w:before="0" w:after="0"/>
      </w:pPr>
      <w:r>
        <w:rPr>
          <w:rFonts w:ascii="Arial" w:hAnsi="Arial"/>
          <w:b w:val="0"/>
          <w:color w:val="000000"/>
          <w:sz w:val="22"/>
          <w:u w:val="none"/>
        </w:rPr>
        <w:t xml:space="preserve">Small classes and famous intellectual property. </w:t>
      </w:r>
      <w:r>
        <w:rPr>
          <w:rFonts w:ascii="Arial" w:hAnsi="Arial"/>
          <w:b/>
          <w:color w:val="000000"/>
          <w:sz w:val="22"/>
          <w:u w:val="none"/>
        </w:rPr>
        <w:t>Apply if you want strategy work anchored in one coherent school of thought.</w:t>
      </w:r>
    </w:p>
    <w:p>
      <w:pPr>
        <w:spacing w:line="480" w:lineRule="auto" w:before="0" w:after="0"/>
      </w:pPr>
    </w:p>
    <w:p>
      <w:pPr>
        <w:pStyle w:val="Heading2"/>
        <w:spacing w:line="480" w:lineRule="auto" w:before="0" w:after="0"/>
      </w:pPr>
      <w:r>
        <w:rPr>
          <w:rFonts w:ascii="Arial" w:hAnsi="Arial"/>
          <w:b/>
          <w:color w:val="000000"/>
          <w:sz w:val="36"/>
          <w:u w:val="none"/>
        </w:rPr>
        <w:t>Economic consulting</w:t>
      </w:r>
    </w:p>
    <w:p>
      <w:pPr>
        <w:spacing w:line="480" w:lineRule="auto" w:before="0" w:after="0"/>
      </w:pPr>
      <w:r>
        <w:rPr>
          <w:rFonts w:ascii="Arial" w:hAnsi="Arial"/>
          <w:b w:val="0"/>
          <w:color w:val="000000"/>
          <w:sz w:val="22"/>
          <w:u w:val="none"/>
        </w:rPr>
        <w:t>Economic consulting is its own discipline: applied econometrics for courtrooms and regulators rather than casework for CEOs. The interviews swap case frameworks for questions on elasticity, regression interpretation, and market definition, so prep differently.</w:t>
      </w:r>
    </w:p>
    <w:p>
      <w:pPr>
        <w:spacing w:line="480" w:lineRule="auto" w:before="0" w:after="0"/>
      </w:pPr>
    </w:p>
    <w:p>
      <w:pPr>
        <w:spacing w:line="480" w:lineRule="auto" w:before="0" w:after="0"/>
      </w:pPr>
      <w:r>
        <w:rPr>
          <w:rFonts w:ascii="Arial" w:hAnsi="Arial"/>
          <w:b/>
          <w:color w:val="000000"/>
          <w:sz w:val="22"/>
          <w:u w:val="none"/>
        </w:rPr>
        <w:t xml:space="preserve">9. </w:t>
      </w:r>
      <w:hyperlink r:id="rId17">
        <w:r>
          <w:rPr>
            <w:rFonts w:ascii="Arial" w:hAnsi="Arial"/>
            <w:b/>
            <w:sz w:val="22"/>
            <w:color w:val="0563C1"/>
            <w:u w:val="single"/>
          </w:rPr>
          <w:t xml:space="preserve">Analysis Group</w:t>
        </w:r>
      </w:hyperlink>
    </w:p>
    <w:p>
      <w:pPr>
        <w:spacing w:line="480" w:lineRule="auto" w:before="0" w:after="0"/>
      </w:pPr>
    </w:p>
    <w:p>
      <w:pPr>
        <w:spacing w:line="480" w:lineRule="auto" w:before="0" w:after="0"/>
      </w:pPr>
      <w:r>
        <w:rPr>
          <w:rFonts w:ascii="Arial" w:hAnsi="Arial"/>
          <w:b/>
          <w:color w:val="000000"/>
          <w:sz w:val="22"/>
          <w:u w:val="none"/>
        </w:rPr>
        <w:t>Analysis Group is the premier alternative to MBB for economics majors, and its bonus structure closes most of the pay gap.</w:t>
      </w:r>
    </w:p>
    <w:p>
      <w:pPr>
        <w:spacing w:line="480" w:lineRule="auto" w:before="0" w:after="0"/>
      </w:pPr>
    </w:p>
    <w:p>
      <w:pPr>
        <w:pStyle w:val="ListBullet"/>
        <w:spacing w:line="480" w:lineRule="auto" w:before="0" w:after="0"/>
      </w:pPr>
      <w:r>
        <w:rPr>
          <w:rFonts w:ascii="Arial" w:hAnsi="Arial"/>
          <w:b w:val="0"/>
          <w:color w:val="000000"/>
          <w:sz w:val="22"/>
          <w:u w:val="none"/>
        </w:rPr>
        <w:t>Website: analysisgroup.com/careers</w:t>
      </w:r>
    </w:p>
    <w:p>
      <w:pPr>
        <w:pStyle w:val="ListBullet"/>
        <w:spacing w:line="480" w:lineRule="auto" w:before="0" w:after="0"/>
      </w:pPr>
      <w:r>
        <w:rPr>
          <w:rFonts w:ascii="Arial" w:hAnsi="Arial"/>
          <w:b w:val="0"/>
          <w:color w:val="000000"/>
          <w:sz w:val="22"/>
          <w:u w:val="none"/>
        </w:rPr>
        <w:t>Undergrad roles: Analyst full-time plus a summer analyst internship</w:t>
      </w:r>
    </w:p>
    <w:p>
      <w:pPr>
        <w:pStyle w:val="ListBullet"/>
        <w:spacing w:line="480" w:lineRule="auto" w:before="0" w:after="0"/>
      </w:pPr>
      <w:r>
        <w:rPr>
          <w:rFonts w:ascii="Arial" w:hAnsi="Arial"/>
          <w:b w:val="0"/>
          <w:color w:val="000000"/>
          <w:sz w:val="22"/>
          <w:u w:val="none"/>
        </w:rPr>
        <w:t>Focus: antitrust, healthcare, and securities litigation economics</w:t>
      </w:r>
    </w:p>
    <w:p>
      <w:pPr>
        <w:pStyle w:val="ListBullet"/>
        <w:spacing w:line="480" w:lineRule="auto" w:before="0" w:after="0"/>
      </w:pPr>
      <w:r>
        <w:rPr>
          <w:rFonts w:ascii="Arial" w:hAnsi="Arial"/>
          <w:b w:val="0"/>
          <w:color w:val="000000"/>
          <w:sz w:val="22"/>
          <w:u w:val="none"/>
        </w:rPr>
        <w:t>Comp: $96,200 base plus bonus up to $24,050 [VERIFY: 2026]</w:t>
      </w:r>
    </w:p>
    <w:p>
      <w:pPr>
        <w:pStyle w:val="ListBullet"/>
        <w:spacing w:line="480" w:lineRule="auto" w:before="0" w:after="0"/>
      </w:pPr>
      <w:r>
        <w:rPr>
          <w:rFonts w:ascii="Arial" w:hAnsi="Arial"/>
          <w:b w:val="0"/>
          <w:color w:val="000000"/>
          <w:sz w:val="22"/>
          <w:u w:val="none"/>
        </w:rPr>
        <w:t>Momentum: jumped from #8 to #3 in Vault's Consulting 50 for 2026</w:t>
      </w:r>
    </w:p>
    <w:p>
      <w:pPr>
        <w:spacing w:line="480" w:lineRule="auto" w:before="0" w:after="0"/>
      </w:pPr>
    </w:p>
    <w:p>
      <w:pPr>
        <w:spacing w:line="480" w:lineRule="auto" w:before="0" w:after="0"/>
      </w:pPr>
      <w:r>
        <w:rPr>
          <w:rFonts w:ascii="Arial" w:hAnsi="Arial"/>
          <w:b w:val="0"/>
          <w:color w:val="000000"/>
          <w:sz w:val="22"/>
          <w:u w:val="none"/>
        </w:rPr>
        <w:t xml:space="preserve">Analysts run regressions supporting expert testimony, then exit to top econ PhD programs and law schools at rates MBB can't match. </w:t>
      </w:r>
      <w:r>
        <w:rPr>
          <w:rFonts w:ascii="Arial" w:hAnsi="Arial"/>
          <w:b/>
          <w:color w:val="000000"/>
          <w:sz w:val="22"/>
          <w:u w:val="none"/>
        </w:rPr>
        <w:t>Analysis Group is the right seat for the PhD-curious econ major.</w:t>
      </w:r>
    </w:p>
    <w:p>
      <w:pPr>
        <w:spacing w:line="480" w:lineRule="auto" w:before="0" w:after="0"/>
      </w:pPr>
    </w:p>
    <w:p>
      <w:pPr>
        <w:spacing w:line="480" w:lineRule="auto" w:before="0" w:after="0"/>
      </w:pPr>
      <w:r>
        <w:rPr>
          <w:rFonts w:ascii="Arial" w:hAnsi="Arial"/>
          <w:b/>
          <w:color w:val="000000"/>
          <w:sz w:val="22"/>
          <w:u w:val="none"/>
        </w:rPr>
        <w:t xml:space="preserve">10. </w:t>
      </w:r>
      <w:hyperlink r:id="rId18">
        <w:r>
          <w:rPr>
            <w:rFonts w:ascii="Arial" w:hAnsi="Arial"/>
            <w:b/>
            <w:sz w:val="22"/>
            <w:color w:val="0563C1"/>
            <w:u w:val="single"/>
          </w:rPr>
          <w:t xml:space="preserve">Cornerstone Research</w:t>
        </w:r>
      </w:hyperlink>
    </w:p>
    <w:p>
      <w:pPr>
        <w:spacing w:line="480" w:lineRule="auto" w:before="0" w:after="0"/>
      </w:pPr>
    </w:p>
    <w:p>
      <w:pPr>
        <w:spacing w:line="480" w:lineRule="auto" w:before="0" w:after="0"/>
      </w:pPr>
      <w:r>
        <w:rPr>
          <w:rFonts w:ascii="Arial" w:hAnsi="Arial"/>
          <w:b/>
          <w:color w:val="000000"/>
          <w:sz w:val="22"/>
          <w:u w:val="none"/>
        </w:rPr>
        <w:t>Cornerstone Research offers the same econ-PhD-feeder profile as Analysis Group with deeper securities litigation flow.</w:t>
      </w:r>
    </w:p>
    <w:p>
      <w:pPr>
        <w:spacing w:line="480" w:lineRule="auto" w:before="0" w:after="0"/>
      </w:pPr>
    </w:p>
    <w:p>
      <w:pPr>
        <w:pStyle w:val="ListBullet"/>
        <w:spacing w:line="480" w:lineRule="auto" w:before="0" w:after="0"/>
      </w:pPr>
      <w:r>
        <w:rPr>
          <w:rFonts w:ascii="Arial" w:hAnsi="Arial"/>
          <w:b w:val="0"/>
          <w:color w:val="000000"/>
          <w:sz w:val="22"/>
          <w:u w:val="none"/>
        </w:rPr>
        <w:t>Website: cornerstone.com/careers</w:t>
      </w:r>
    </w:p>
    <w:p>
      <w:pPr>
        <w:pStyle w:val="ListBullet"/>
        <w:spacing w:line="480" w:lineRule="auto" w:before="0" w:after="0"/>
      </w:pPr>
      <w:r>
        <w:rPr>
          <w:rFonts w:ascii="Arial" w:hAnsi="Arial"/>
          <w:b w:val="0"/>
          <w:color w:val="000000"/>
          <w:sz w:val="22"/>
          <w:u w:val="none"/>
        </w:rPr>
        <w:t>Undergrad roles: Analyst and Summer Analyst; applications follow each campus's recruiting calendar, and off-campus applicants are accepted</w:t>
      </w:r>
    </w:p>
    <w:p>
      <w:pPr>
        <w:pStyle w:val="ListBullet"/>
        <w:spacing w:line="480" w:lineRule="auto" w:before="0" w:after="0"/>
      </w:pPr>
      <w:r>
        <w:rPr>
          <w:rFonts w:ascii="Arial" w:hAnsi="Arial"/>
          <w:b w:val="0"/>
          <w:color w:val="000000"/>
          <w:sz w:val="22"/>
          <w:u w:val="none"/>
        </w:rPr>
        <w:t>Focus: securities, antitrust, valuation disputes</w:t>
      </w:r>
    </w:p>
    <w:p>
      <w:pPr>
        <w:pStyle w:val="ListBullet"/>
        <w:spacing w:line="480" w:lineRule="auto" w:before="0" w:after="0"/>
      </w:pPr>
      <w:r>
        <w:rPr>
          <w:rFonts w:ascii="Arial" w:hAnsi="Arial"/>
          <w:b w:val="0"/>
          <w:color w:val="000000"/>
          <w:sz w:val="22"/>
          <w:u w:val="none"/>
        </w:rPr>
        <w:t>Comp: $97,000 base plus bonus up to $10,000 [VERIFY: 2026]</w:t>
      </w:r>
    </w:p>
    <w:p>
      <w:pPr>
        <w:pStyle w:val="ListBullet"/>
        <w:spacing w:line="480" w:lineRule="auto" w:before="0" w:after="0"/>
      </w:pPr>
      <w:r>
        <w:rPr>
          <w:rFonts w:ascii="Arial" w:hAnsi="Arial"/>
          <w:b w:val="0"/>
          <w:color w:val="000000"/>
          <w:sz w:val="22"/>
          <w:u w:val="none"/>
        </w:rPr>
        <w:t>Scale: about 1,000 staff across nine offices</w:t>
      </w:r>
    </w:p>
    <w:p>
      <w:pPr>
        <w:spacing w:line="480" w:lineRule="auto" w:before="0" w:after="0"/>
      </w:pPr>
    </w:p>
    <w:p>
      <w:pPr>
        <w:spacing w:line="480" w:lineRule="auto" w:before="0" w:after="0"/>
      </w:pPr>
      <w:r>
        <w:rPr>
          <w:rFonts w:ascii="Arial" w:hAnsi="Arial"/>
          <w:b w:val="0"/>
          <w:color w:val="000000"/>
          <w:sz w:val="22"/>
          <w:u w:val="none"/>
        </w:rPr>
        <w:t xml:space="preserve">Close academic ties to faculty experts at Stanford, Harvard, and Chicago shape the work. </w:t>
      </w:r>
      <w:r>
        <w:rPr>
          <w:rFonts w:ascii="Arial" w:hAnsi="Arial"/>
          <w:b/>
          <w:color w:val="000000"/>
          <w:sz w:val="22"/>
          <w:u w:val="none"/>
        </w:rPr>
        <w:t>Pick Cornerstone over Analysis Group if finance-flavored litigation sounds better than healthcare.</w:t>
      </w:r>
    </w:p>
    <w:p>
      <w:pPr>
        <w:spacing w:line="480" w:lineRule="auto" w:before="0" w:after="0"/>
      </w:pPr>
    </w:p>
    <w:p>
      <w:pPr>
        <w:pStyle w:val="Heading2"/>
        <w:spacing w:line="480" w:lineRule="auto" w:before="0" w:after="0"/>
      </w:pPr>
      <w:r>
        <w:rPr>
          <w:rFonts w:ascii="Arial" w:hAnsi="Arial"/>
          <w:b/>
          <w:color w:val="000000"/>
          <w:sz w:val="36"/>
          <w:u w:val="none"/>
        </w:rPr>
        <w:t>What the boutique trade actually costs you</w:t>
      </w:r>
    </w:p>
    <w:p>
      <w:pPr>
        <w:spacing w:line="480" w:lineRule="auto" w:before="0" w:after="0"/>
      </w:pPr>
      <w:r>
        <w:rPr>
          <w:rFonts w:ascii="Arial" w:hAnsi="Arial"/>
          <w:b w:val="0"/>
          <w:color w:val="000000"/>
          <w:sz w:val="22"/>
          <w:u w:val="none"/>
        </w:rPr>
        <w:t>Fairness requires the other side of the ledger. Boutique exits run industry-specific: ZS alumni land in pharma corporate development, Altman Solon alumni in telecom strategy and TMT private equity, and econ consulting alumni in PhD programs and law schools. The MBB name still opens more doors outside its holder's specialty, and megafund PE recruiting in particular still starts from MBB and banking resumes.</w:t>
      </w:r>
    </w:p>
    <w:p>
      <w:pPr>
        <w:spacing w:line="480" w:lineRule="auto" w:before="0" w:after="0"/>
      </w:pPr>
    </w:p>
    <w:p>
      <w:pPr>
        <w:spacing w:line="480" w:lineRule="auto" w:before="0" w:after="0"/>
      </w:pPr>
      <w:r>
        <w:rPr>
          <w:rFonts w:ascii="Arial" w:hAnsi="Arial"/>
          <w:b w:val="0"/>
          <w:color w:val="000000"/>
          <w:sz w:val="22"/>
          <w:u w:val="none"/>
        </w:rPr>
        <w:t>Class sizes cut the other way. A boutique hiring 15 to 40 analysts nationally can read every application like a person, so a focused story travels further than it ever will in a 10,000-application MBB pile. Interviews are shorter funnels too, often two rounds instead of three plus an online assessment.</w:t>
      </w:r>
    </w:p>
    <w:p>
      <w:pPr>
        <w:spacing w:line="480" w:lineRule="auto" w:before="0" w:after="0"/>
      </w:pPr>
    </w:p>
    <w:p>
      <w:pPr>
        <w:spacing w:line="480" w:lineRule="auto" w:before="0" w:after="0"/>
      </w:pPr>
      <w:r>
        <w:rPr>
          <w:rFonts w:ascii="Arial" w:hAnsi="Arial"/>
          <w:b/>
          <w:color w:val="000000"/>
          <w:sz w:val="22"/>
          <w:u w:val="none"/>
        </w:rPr>
        <w:t>Take the boutique when your career target lives inside its specialty, and take the generalist when you honestly don't know yet.</w:t>
      </w:r>
      <w:r>
        <w:rPr>
          <w:rFonts w:ascii="Arial" w:hAnsi="Arial"/>
          <w:b w:val="0"/>
          <w:color w:val="000000"/>
          <w:sz w:val="22"/>
          <w:u w:val="none"/>
        </w:rPr>
        <w:t xml:space="preserve"> That single sentence resolves most of the agonizing I see every fall.</w:t>
      </w:r>
    </w:p>
    <w:p>
      <w:pPr>
        <w:spacing w:line="480" w:lineRule="auto" w:before="0" w:after="0"/>
      </w:pPr>
    </w:p>
    <w:p>
      <w:pPr>
        <w:pStyle w:val="Heading2"/>
        <w:spacing w:line="480" w:lineRule="auto" w:before="0" w:after="0"/>
      </w:pPr>
      <w:r>
        <w:rPr>
          <w:rFonts w:ascii="Arial" w:hAnsi="Arial"/>
          <w:b/>
          <w:color w:val="000000"/>
          <w:sz w:val="36"/>
          <w:u w:val="none"/>
        </w:rPr>
        <w:t>The strong firms not on this list</w:t>
      </w:r>
    </w:p>
    <w:p>
      <w:pPr>
        <w:spacing w:line="480" w:lineRule="auto" w:before="0" w:after="0"/>
      </w:pPr>
      <w:r>
        <w:rPr>
          <w:rFonts w:ascii="Arial" w:hAnsi="Arial"/>
          <w:b w:val="0"/>
          <w:color w:val="000000"/>
          <w:sz w:val="22"/>
          <w:u w:val="none"/>
        </w:rPr>
        <w:t>Trinity Life Sciences does real life-sciences commercialization work and took a minority investment from Bain &amp; Company in 2022, but its entry pipeline skews full-time and less structured for undergrads. Brattle Group and Bates White are legitimate economic consulting peers one notch behind the two above in undergrad class size. DeciBio is an excellent precision-medicine microboutique in Los Angeles with a tiny annual intake. And the specialist practices inside bigger firms, Oliver Wyman Financial Services and L.E.K. Life Sciences, deliver boutique-style depth with tier-2 infrastructure; they belong on your list if their parent firms already do.</w:t>
      </w:r>
    </w:p>
    <w:p>
      <w:pPr>
        <w:spacing w:line="480" w:lineRule="auto" w:before="0" w:after="0"/>
      </w:pPr>
    </w:p>
    <w:p>
      <w:pPr>
        <w:spacing w:line="480" w:lineRule="auto" w:before="0" w:after="0"/>
      </w:pPr>
      <w:r>
        <w:rPr>
          <w:rFonts w:ascii="Arial" w:hAnsi="Arial"/>
          <w:b w:val="0"/>
          <w:color w:val="000000"/>
          <w:sz w:val="22"/>
          <w:u w:val="none"/>
        </w:rPr>
        <w:t>One deliberate exclusion: Keystone, the tech-economics firm, does interesting antitrust work for big tech but shows no verifiable undergrad analyst intake as of August 2026.</w:t>
      </w:r>
    </w:p>
    <w:p>
      <w:pPr>
        <w:spacing w:line="480" w:lineRule="auto" w:before="0" w:after="0"/>
      </w:pPr>
    </w:p>
    <w:p>
      <w:pPr>
        <w:pStyle w:val="Heading2"/>
        <w:spacing w:line="480" w:lineRule="auto" w:before="0" w:after="0"/>
      </w:pPr>
      <w:r>
        <w:rPr>
          <w:rFonts w:ascii="Arial" w:hAnsi="Arial"/>
          <w:b/>
          <w:color w:val="000000"/>
          <w:sz w:val="36"/>
          <w:u w:val="none"/>
        </w:rPr>
        <w:t>How to actually use this list</w:t>
      </w:r>
    </w:p>
    <w:p>
      <w:pPr>
        <w:spacing w:line="480" w:lineRule="auto" w:before="0" w:after="0"/>
      </w:pPr>
      <w:r>
        <w:rPr>
          <w:rFonts w:ascii="Arial" w:hAnsi="Arial"/>
          <w:b w:val="0"/>
          <w:color w:val="000000"/>
          <w:sz w:val="22"/>
          <w:u w:val="none"/>
        </w:rPr>
        <w:t>Pick the one vertical that matches evidence you already have, then apply to the two or three firms in that lane plus one generalist backstop. A pharma-lab sophomore applying to ZS, ClearView, and Putnam with a real story will out-hit the same student spraying all ten.</w:t>
      </w:r>
    </w:p>
    <w:p>
      <w:pPr>
        <w:spacing w:line="480" w:lineRule="auto" w:before="0" w:after="0"/>
      </w:pPr>
    </w:p>
    <w:p>
      <w:pPr>
        <w:spacing w:line="480" w:lineRule="auto" w:before="0" w:after="0"/>
      </w:pPr>
      <w:r>
        <w:rPr>
          <w:rFonts w:ascii="Arial" w:hAnsi="Arial"/>
          <w:b w:val="0"/>
          <w:color w:val="000000"/>
          <w:sz w:val="22"/>
          <w:u w:val="none"/>
        </w:rPr>
        <w:t xml:space="preserve">Timing is friendlier than MBB but not loose: full-time analyst applications open in late summer and early fall of senior year on campus calendars, and internship postings land between September and January [VERIFY: per-firm timing]. If you want structured help building the specialist story, the </w:t>
      </w:r>
      <w:hyperlink r:id="rId19">
        <w:r>
          <w:rPr>
            <w:rFonts w:ascii="Arial" w:hAnsi="Arial"/>
            <w:sz w:val="22"/>
            <w:color w:val="0563C1"/>
            <w:u w:val="single"/>
          </w:rPr>
          <w:t xml:space="preserve">WSG fellowship scholarship</w:t>
        </w:r>
      </w:hyperlink>
      <w:r>
        <w:rPr>
          <w:rFonts w:ascii="Arial" w:hAnsi="Arial"/>
          <w:b w:val="0"/>
          <w:color w:val="000000"/>
          <w:sz w:val="22"/>
          <w:u w:val="none"/>
        </w:rPr>
        <w:t xml:space="preserve"> covers the full program cost for top applicants. The firms on this list read fit fast. Give them one page of proof that you've already chosen their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zs.com/careers" TargetMode="External"/><Relationship Id="rId10" Type="http://schemas.openxmlformats.org/officeDocument/2006/relationships/hyperlink" Target="https://inizio.com/our-businesses/ignite/join-inizio-ignite/putnam/" TargetMode="External"/><Relationship Id="rId11" Type="http://schemas.openxmlformats.org/officeDocument/2006/relationships/hyperlink" Target="https://www.clearviewhcp.com/careers" TargetMode="External"/><Relationship Id="rId12" Type="http://schemas.openxmlformats.org/officeDocument/2006/relationships/hyperlink" Target="https://healthadvances.com/careers/" TargetMode="External"/><Relationship Id="rId13" Type="http://schemas.openxmlformats.org/officeDocument/2006/relationships/hyperlink" Target="https://www.altmansolon.com/careers" TargetMode="External"/><Relationship Id="rId14" Type="http://schemas.openxmlformats.org/officeDocument/2006/relationships/hyperlink" Target="https://www.simon-kucher.com/en/careers" TargetMode="External"/><Relationship Id="rId15" Type="http://schemas.openxmlformats.org/officeDocument/2006/relationships/hyperlink" Target="https://prophet.com/careers/" TargetMode="External"/><Relationship Id="rId16" Type="http://schemas.openxmlformats.org/officeDocument/2006/relationships/hyperlink" Target="https://www.huronconsultinggroup.com/en/innosight" TargetMode="External"/><Relationship Id="rId17" Type="http://schemas.openxmlformats.org/officeDocument/2006/relationships/hyperlink" Target="https://www.analysisgroup.com/careers/" TargetMode="External"/><Relationship Id="rId18" Type="http://schemas.openxmlformats.org/officeDocument/2006/relationships/hyperlink" Target="https://www.cornerstone.com/careers/" TargetMode="External"/><Relationship Id="rId19" Type="http://schemas.openxmlformats.org/officeDocument/2006/relationships/hyperlink" Target="https://www.wallstreetguide.net/scholars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