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0" w:after="0"/>
      </w:pPr>
      <w:r>
        <w:rPr>
          <w:rFonts w:ascii="Arial" w:hAnsi="Arial"/>
          <w:b/>
          <w:color w:val="000000"/>
          <w:sz w:val="48"/>
          <w:u w:val="none"/>
        </w:rPr>
        <w:t>BCG Case Interview Guide</w:t>
      </w:r>
    </w:p>
    <w:p>
      <w:pPr>
        <w:spacing w:line="480" w:lineRule="auto" w:before="0" w:after="0"/>
      </w:pPr>
      <w:r>
        <w:rPr>
          <w:rFonts w:ascii="Arial" w:hAnsi="Arial"/>
          <w:b/>
          <w:color w:val="000000"/>
          <w:sz w:val="22"/>
          <w:u w:val="none"/>
        </w:rPr>
        <w:t>Meta description:</w:t>
      </w:r>
      <w:r>
        <w:rPr>
          <w:rFonts w:ascii="Arial" w:hAnsi="Arial"/>
          <w:b w:val="0"/>
          <w:color w:val="000000"/>
          <w:sz w:val="22"/>
          <w:u w:val="none"/>
        </w:rPr>
        <w:t xml:space="preserve"> WSG founder Stephen Turban breaks down the BCG case interview: the CCA and Casey screens, the candidate-led format, and the prep sequence that earns offers.</w:t>
      </w:r>
    </w:p>
    <w:p>
      <w:pPr>
        <w:spacing w:line="480" w:lineRule="auto" w:before="0" w:after="0"/>
      </w:pPr>
    </w:p>
    <w:p>
      <w:pPr>
        <w:spacing w:line="480" w:lineRule="auto" w:before="0" w:after="0"/>
      </w:pPr>
      <w:r>
        <w:rPr>
          <w:rFonts w:ascii="Arial" w:hAnsi="Arial"/>
          <w:b/>
          <w:color w:val="000000"/>
          <w:sz w:val="22"/>
          <w:u w:val="none"/>
        </w:rPr>
        <w:t>The BCG case interview hands you the wheel.</w:t>
      </w:r>
      <w:r>
        <w:rPr>
          <w:rFonts w:ascii="Arial" w:hAnsi="Arial"/>
          <w:b w:val="0"/>
          <w:color w:val="000000"/>
          <w:sz w:val="22"/>
          <w:u w:val="none"/>
        </w:rPr>
        <w:t xml:space="preserve"> McKinsey walks candidates through pre-scripted questions. BCG expects you to build the structure, choose the path, and drive to a recommendation while the interviewer mostly watches. Same business problems, opposite test.</w:t>
      </w:r>
    </w:p>
    <w:p>
      <w:pPr>
        <w:spacing w:line="480" w:lineRule="auto" w:before="0" w:after="0"/>
      </w:pPr>
    </w:p>
    <w:p>
      <w:pPr>
        <w:spacing w:line="480" w:lineRule="auto" w:before="0" w:after="0"/>
      </w:pPr>
      <w:r>
        <w:rPr>
          <w:rFonts w:ascii="Arial" w:hAnsi="Arial"/>
          <w:b w:val="0"/>
          <w:color w:val="000000"/>
          <w:sz w:val="22"/>
          <w:u w:val="none"/>
        </w:rPr>
        <w:t>I went through McKinsey's on-cycle process myself, so my line of sight into BCG comes from the other direction: the WSG students we coach into the firm every cycle, and what BCG itself publishes. This guide covers the 2026 funnel end to end, including the two online screens most older guides get wrong.</w:t>
      </w:r>
    </w:p>
    <w:p>
      <w:pPr>
        <w:spacing w:line="480" w:lineRule="auto" w:before="0" w:after="0"/>
      </w:pPr>
    </w:p>
    <w:p>
      <w:pPr>
        <w:pStyle w:val="Heading2"/>
        <w:spacing w:line="480" w:lineRule="auto" w:before="0" w:after="0"/>
      </w:pPr>
      <w:r>
        <w:rPr>
          <w:rFonts w:ascii="Arial" w:hAnsi="Arial"/>
          <w:b/>
          <w:color w:val="000000"/>
          <w:sz w:val="36"/>
          <w:u w:val="none"/>
        </w:rPr>
        <w:t>How is the BCG case interview different from McKinsey's?</w:t>
      </w:r>
    </w:p>
    <w:p>
      <w:pPr>
        <w:spacing w:line="480" w:lineRule="auto" w:before="0" w:after="0"/>
      </w:pPr>
      <w:r>
        <w:rPr>
          <w:rFonts w:ascii="Arial" w:hAnsi="Arial"/>
          <w:b w:val="0"/>
          <w:color w:val="000000"/>
          <w:sz w:val="22"/>
          <w:u w:val="none"/>
        </w:rPr>
        <w:t xml:space="preserve">BCG runs candidate-led cases: you propose the framework, pick which branch to explore, and push to the "so what" with limited steering. McKinsey runs interviewer-led cases with fixed steps. BCG's own </w:t>
      </w:r>
      <w:hyperlink r:id="rId9">
        <w:r>
          <w:rPr>
            <w:rFonts w:ascii="Arial" w:hAnsi="Arial"/>
            <w:sz w:val="22"/>
            <w:color w:val="0563C1"/>
            <w:u w:val="single"/>
          </w:rPr>
          <w:t xml:space="preserve">interview prep page</w:t>
        </w:r>
      </w:hyperlink>
      <w:r>
        <w:rPr>
          <w:rFonts w:ascii="Arial" w:hAnsi="Arial"/>
          <w:b w:val="0"/>
          <w:color w:val="000000"/>
          <w:sz w:val="22"/>
          <w:u w:val="none"/>
        </w:rPr>
        <w:t xml:space="preserve"> frames it as structuring your own approach to a problem with no single right answer, and that phrasing is the test in miniature.</w:t>
      </w:r>
    </w:p>
    <w:p>
      <w:pPr>
        <w:spacing w:line="480" w:lineRule="auto" w:before="0" w:after="0"/>
      </w:pPr>
    </w:p>
    <w:p>
      <w:pPr>
        <w:pStyle w:val="Heading2"/>
        <w:spacing w:line="480" w:lineRule="auto" w:before="0" w:after="0"/>
      </w:pPr>
      <w:r>
        <w:rPr>
          <w:rFonts w:ascii="Arial" w:hAnsi="Arial"/>
          <w:b/>
          <w:color w:val="000000"/>
          <w:sz w:val="36"/>
          <w:u w:val="none"/>
        </w:rPr>
        <w:t>What rounds does the BCG interview process have?</w:t>
      </w:r>
    </w:p>
    <w:p>
      <w:pPr>
        <w:spacing w:line="480" w:lineRule="auto" w:before="0" w:after="0"/>
      </w:pPr>
      <w:r>
        <w:rPr>
          <w:rFonts w:ascii="Arial" w:hAnsi="Arial"/>
          <w:b w:val="0"/>
          <w:color w:val="000000"/>
          <w:sz w:val="22"/>
          <w:u w:val="none"/>
        </w:rPr>
        <w:t>For US undergrads in 2026: application, then the Consulting Career Assessment for essentially everyone, then the Casey online case for a subset, then two live rounds of two 45-minute interviews each. First round is usually consultants and project leaders; the final round is principals and partners. Each interview mixes about ten minutes of behavioral with a 30-to-35-minute case.</w:t>
      </w:r>
    </w:p>
    <w:p>
      <w:pPr>
        <w:spacing w:line="480" w:lineRule="auto" w:before="0" w:after="0"/>
      </w:pPr>
    </w:p>
    <w:p>
      <w:pPr>
        <w:pStyle w:val="Heading2"/>
        <w:spacing w:line="480" w:lineRule="auto" w:before="0" w:after="0"/>
      </w:pPr>
      <w:r>
        <w:rPr>
          <w:rFonts w:ascii="Arial" w:hAnsi="Arial"/>
          <w:b/>
          <w:color w:val="000000"/>
          <w:sz w:val="36"/>
          <w:u w:val="none"/>
        </w:rPr>
        <w:t>1. Two screens now sit between your resume and a human</w:t>
      </w:r>
    </w:p>
    <w:p>
      <w:pPr>
        <w:spacing w:line="480" w:lineRule="auto" w:before="0" w:after="0"/>
      </w:pPr>
      <w:r>
        <w:rPr>
          <w:rFonts w:ascii="Arial" w:hAnsi="Arial"/>
          <w:b w:val="0"/>
          <w:color w:val="000000"/>
          <w:sz w:val="22"/>
          <w:u w:val="none"/>
        </w:rPr>
        <w:t>The old pymetrics games are gone. Since the 2025-26 cycles, US applicants report a two-stage online gauntlet.</w:t>
      </w:r>
    </w:p>
    <w:p>
      <w:pPr>
        <w:spacing w:line="480" w:lineRule="auto" w:before="0" w:after="0"/>
      </w:pPr>
    </w:p>
    <w:p>
      <w:pPr>
        <w:spacing w:line="480" w:lineRule="auto" w:before="0" w:after="0"/>
      </w:pPr>
      <w:r>
        <w:rPr>
          <w:rFonts w:ascii="Arial" w:hAnsi="Arial"/>
          <w:b w:val="0"/>
          <w:color w:val="000000"/>
          <w:sz w:val="22"/>
          <w:u w:val="none"/>
        </w:rPr>
        <w:t>The CCA arrives fast, typically 30 to 90 minutes after you submit, with a 48-hour window. It runs about 35 minutes: roughly 76 ranked personality prompts, eight numerical questions in twelve minutes, and a batch of work-style items [VERIFY: CCA format reports]. It's an SHL-built cognitive and behavioral screen, and the numerical section under time pressure is where prepared candidates separate.</w:t>
      </w:r>
    </w:p>
    <w:p>
      <w:pPr>
        <w:spacing w:line="480" w:lineRule="auto" w:before="0" w:after="0"/>
      </w:pPr>
    </w:p>
    <w:p>
      <w:pPr>
        <w:spacing w:line="480" w:lineRule="auto" w:before="0" w:after="0"/>
      </w:pPr>
      <w:r>
        <w:rPr>
          <w:rFonts w:ascii="Arial" w:hAnsi="Arial"/>
          <w:b w:val="0"/>
          <w:color w:val="000000"/>
          <w:sz w:val="22"/>
          <w:u w:val="none"/>
        </w:rPr>
        <w:t xml:space="preserve">Casey comes later and only for candidates who clear the first cut, about two weeks after the application deadline. </w:t>
      </w:r>
      <w:r>
        <w:rPr>
          <w:rFonts w:ascii="Arial" w:hAnsi="Arial"/>
          <w:b/>
          <w:color w:val="000000"/>
          <w:sz w:val="22"/>
          <w:u w:val="none"/>
        </w:rPr>
        <w:t>Treat the CCA like a fire drill you rehearsed, because BCG gives you two days and most applicants take it cold.</w:t>
      </w:r>
    </w:p>
    <w:p>
      <w:pPr>
        <w:spacing w:line="480" w:lineRule="auto" w:before="0" w:after="0"/>
      </w:pPr>
    </w:p>
    <w:p>
      <w:pPr>
        <w:pStyle w:val="Heading2"/>
        <w:spacing w:line="480" w:lineRule="auto" w:before="0" w:after="0"/>
      </w:pPr>
      <w:r>
        <w:rPr>
          <w:rFonts w:ascii="Arial" w:hAnsi="Arial"/>
          <w:b/>
          <w:color w:val="000000"/>
          <w:sz w:val="36"/>
          <w:u w:val="none"/>
        </w:rPr>
        <w:t>2. Casey is a chatbot case that punishes hesitation</w:t>
      </w:r>
    </w:p>
    <w:p>
      <w:pPr>
        <w:spacing w:line="480" w:lineRule="auto" w:before="0" w:after="0"/>
      </w:pPr>
      <w:r>
        <w:rPr>
          <w:rFonts w:ascii="Arial" w:hAnsi="Arial"/>
          <w:b w:val="0"/>
          <w:color w:val="000000"/>
          <w:sz w:val="22"/>
          <w:u w:val="none"/>
        </w:rPr>
        <w:t>Casey simulates a case interview in a chat window: eight to ten questions over about 35 minutes, mixing multiple choice, numeric entry, and short text, closing with a recommendation you record on webcam in 60 seconds [VERIFY: current Casey format]. No back-navigation. Once you answer, the case moves on. Perfectionists bleed time they never recover.</w:t>
      </w:r>
    </w:p>
    <w:p>
      <w:pPr>
        <w:spacing w:line="480" w:lineRule="auto" w:before="0" w:after="0"/>
      </w:pPr>
    </w:p>
    <w:p>
      <w:pPr>
        <w:spacing w:line="480" w:lineRule="auto" w:before="0" w:after="0"/>
      </w:pPr>
      <w:r>
        <w:rPr>
          <w:rFonts w:ascii="Arial" w:hAnsi="Arial"/>
          <w:b w:val="0"/>
          <w:color w:val="000000"/>
          <w:sz w:val="22"/>
          <w:u w:val="none"/>
        </w:rPr>
        <w:t xml:space="preserve">The webcam close is the part nobody practices. Sixty seconds, answer first, two supporting reasons, stop. Record yourself doing this five times with a phone timer and you'll be ahead of most of the pool. </w:t>
      </w:r>
      <w:r>
        <w:rPr>
          <w:rFonts w:ascii="Arial" w:hAnsi="Arial"/>
          <w:b/>
          <w:color w:val="000000"/>
          <w:sz w:val="22"/>
          <w:u w:val="none"/>
        </w:rPr>
        <w:t>Casey rewards the candidate who commits to an answer at 80 percent confidence over the one polishing toward 100.</w:t>
      </w:r>
    </w:p>
    <w:p>
      <w:pPr>
        <w:spacing w:line="480" w:lineRule="auto" w:before="0" w:after="0"/>
      </w:pPr>
    </w:p>
    <w:p>
      <w:pPr>
        <w:pStyle w:val="Heading2"/>
        <w:spacing w:line="480" w:lineRule="auto" w:before="0" w:after="0"/>
      </w:pPr>
      <w:r>
        <w:rPr>
          <w:rFonts w:ascii="Arial" w:hAnsi="Arial"/>
          <w:b/>
          <w:color w:val="000000"/>
          <w:sz w:val="36"/>
          <w:u w:val="none"/>
        </w:rPr>
        <w:t>3. The first sixty seconds of structure decide a candidate-led case</w:t>
      </w:r>
    </w:p>
    <w:p>
      <w:pPr>
        <w:spacing w:line="480" w:lineRule="auto" w:before="0" w:after="0"/>
      </w:pPr>
      <w:r>
        <w:rPr>
          <w:rFonts w:ascii="Arial" w:hAnsi="Arial"/>
          <w:b w:val="0"/>
          <w:color w:val="000000"/>
          <w:sz w:val="22"/>
          <w:u w:val="none"/>
        </w:rPr>
        <w:t>When the interviewer finishes reading the prompt, everything that follows flows from your opening structure. A generic profit tree gets polite tolerance. A structure built from this client's actual economics changes the interviewer's posture immediately.</w:t>
      </w:r>
    </w:p>
    <w:p>
      <w:pPr>
        <w:spacing w:line="480" w:lineRule="auto" w:before="0" w:after="0"/>
      </w:pPr>
    </w:p>
    <w:p>
      <w:pPr>
        <w:spacing w:line="480" w:lineRule="auto" w:before="0" w:after="0"/>
      </w:pPr>
      <w:r>
        <w:rPr>
          <w:rFonts w:ascii="Arial" w:hAnsi="Arial"/>
          <w:b w:val="0"/>
          <w:color w:val="000000"/>
          <w:sz w:val="22"/>
          <w:u w:val="none"/>
        </w:rPr>
        <w:t>The mechanic our BCG hires describe: take 60 to 90 seconds of silence, write three or four branches specific to the case, then say which branch you'd open first and why.</w:t>
      </w:r>
    </w:p>
    <w:p>
      <w:pPr>
        <w:spacing w:line="480" w:lineRule="auto" w:before="0" w:after="0"/>
      </w:pPr>
    </w:p>
    <w:p>
      <w:pPr>
        <w:spacing w:line="480" w:lineRule="auto" w:before="0" w:after="0"/>
      </w:pPr>
      <w:r>
        <w:rPr>
          <w:rFonts w:ascii="Arial" w:hAnsi="Arial"/>
          <w:b w:val="0"/>
          <w:color w:val="000000"/>
          <w:sz w:val="22"/>
          <w:u w:val="none"/>
        </w:rPr>
        <w:t>Concretely. Prompt: a regional grocery chain's profits fell 20 percent in two years. Weak opening: "I'd look at revenue and costs." Strong opening: "Three places this could live. Shrinking basket sizes as discounters take share, margin compression from food-cost inflation the chain couldn't pass through, or new-store cannibalization from the expansion I'd want to ask about. Store-level margin data would tell us fastest, so I'd start there." Same 20 seconds of airtime. One of them sounds like a consultant. Driving is the skill being graded. The interviewer will let you walk down a dead end for a while, and noticing the dead end yourself scores better than never risking one.</w:t>
      </w:r>
    </w:p>
    <w:p>
      <w:pPr>
        <w:spacing w:line="480" w:lineRule="auto" w:before="0" w:after="0"/>
      </w:pPr>
    </w:p>
    <w:p>
      <w:pPr>
        <w:spacing w:line="480" w:lineRule="auto" w:before="0" w:after="0"/>
      </w:pPr>
      <w:r>
        <w:rPr>
          <w:rFonts w:ascii="Arial" w:hAnsi="Arial"/>
          <w:b/>
          <w:color w:val="000000"/>
          <w:sz w:val="22"/>
          <w:u w:val="none"/>
        </w:rPr>
        <w:t>In a candidate-led case, a wrong path corrected out loud beats a right path the interviewer had to point you toward.</w:t>
      </w:r>
    </w:p>
    <w:p>
      <w:pPr>
        <w:spacing w:line="480" w:lineRule="auto" w:before="0" w:after="0"/>
      </w:pPr>
    </w:p>
    <w:p>
      <w:pPr>
        <w:pStyle w:val="Heading2"/>
        <w:spacing w:line="480" w:lineRule="auto" w:before="0" w:after="0"/>
      </w:pPr>
      <w:r>
        <w:rPr>
          <w:rFonts w:ascii="Arial" w:hAnsi="Arial"/>
          <w:b/>
          <w:color w:val="000000"/>
          <w:sz w:val="36"/>
          <w:u w:val="none"/>
        </w:rPr>
        <w:t>4. Expect one of five case types, each with a BCG twist</w:t>
      </w:r>
    </w:p>
    <w:p>
      <w:pPr>
        <w:spacing w:line="480" w:lineRule="auto" w:before="0" w:after="0"/>
      </w:pPr>
      <w:r>
        <w:rPr>
          <w:rFonts w:ascii="Arial" w:hAnsi="Arial"/>
          <w:b w:val="0"/>
          <w:color w:val="000000"/>
          <w:sz w:val="22"/>
          <w:u w:val="none"/>
        </w:rPr>
        <w:t>The case library at every major firm runs on five chassis: profitability, market entry, M&amp;A, operations, and market sizing. BCG's versions lean harder into transformation and technology angles than its rivals', which tracks the firm's book of business. A profitability case becomes "margins are falling while we fund a digital rollout." A market entry case becomes a platform-economics question.</w:t>
      </w:r>
    </w:p>
    <w:p>
      <w:pPr>
        <w:spacing w:line="480" w:lineRule="auto" w:before="0" w:after="0"/>
      </w:pPr>
    </w:p>
    <w:p>
      <w:pPr>
        <w:spacing w:line="480" w:lineRule="auto" w:before="0" w:after="0"/>
      </w:pPr>
      <w:r>
        <w:rPr>
          <w:rFonts w:ascii="Arial" w:hAnsi="Arial"/>
          <w:b w:val="0"/>
          <w:color w:val="000000"/>
          <w:sz w:val="22"/>
          <w:u w:val="none"/>
        </w:rPr>
        <w:t xml:space="preserve">BCG's three published practice cases map the pattern: the climate case is strategy under constraint, the customer satisfaction case is a digital turnaround, and the cloud migration case is pure technology economics. </w:t>
      </w:r>
      <w:r>
        <w:rPr>
          <w:rFonts w:ascii="Arial" w:hAnsi="Arial"/>
          <w:b/>
          <w:color w:val="000000"/>
          <w:sz w:val="22"/>
          <w:u w:val="none"/>
        </w:rPr>
        <w:t>Candidates who practice only classic profit trees walk into BCG underprepared for the tech-inflected framing the firm actually uses.</w:t>
      </w:r>
    </w:p>
    <w:p>
      <w:pPr>
        <w:spacing w:line="480" w:lineRule="auto" w:before="0" w:after="0"/>
      </w:pPr>
    </w:p>
    <w:p>
      <w:pPr>
        <w:spacing w:line="480" w:lineRule="auto" w:before="0" w:after="0"/>
      </w:pPr>
      <w:r>
        <w:rPr>
          <w:rFonts w:ascii="Arial" w:hAnsi="Arial"/>
          <w:b w:val="0"/>
          <w:color w:val="000000"/>
          <w:sz w:val="22"/>
          <w:u w:val="none"/>
        </w:rPr>
        <w:t>Structure for the case in front of you, never from memory. Interviewers at all three MBB firms flag framework recitation within a minute, and BCG's candidate-led format exposes it fastest since nobody rescues you from your own template.</w:t>
      </w:r>
    </w:p>
    <w:p>
      <w:pPr>
        <w:spacing w:line="480" w:lineRule="auto" w:before="0" w:after="0"/>
      </w:pPr>
    </w:p>
    <w:p>
      <w:pPr>
        <w:pStyle w:val="Heading2"/>
        <w:spacing w:line="480" w:lineRule="auto" w:before="0" w:after="0"/>
      </w:pPr>
      <w:r>
        <w:rPr>
          <w:rFonts w:ascii="Arial" w:hAnsi="Arial"/>
          <w:b/>
          <w:color w:val="000000"/>
          <w:sz w:val="36"/>
          <w:u w:val="none"/>
        </w:rPr>
        <w:t>5. BCG's math bar runs higher than its rivals'</w:t>
      </w:r>
    </w:p>
    <w:p>
      <w:pPr>
        <w:spacing w:line="480" w:lineRule="auto" w:before="0" w:after="0"/>
      </w:pPr>
      <w:r>
        <w:rPr>
          <w:rFonts w:ascii="Arial" w:hAnsi="Arial"/>
          <w:b w:val="0"/>
          <w:color w:val="000000"/>
          <w:sz w:val="22"/>
          <w:u w:val="none"/>
        </w:rPr>
        <w:t>Candidates consistently report more brainteaser-style sub-questions and quick-math checks at BCG than at McKinsey or Bain. Mid-case, expect something like "quick, is that market bigger or smaller than $2 billion?" with ten seconds of thinking room.</w:t>
      </w:r>
    </w:p>
    <w:p>
      <w:pPr>
        <w:spacing w:line="480" w:lineRule="auto" w:before="0" w:after="0"/>
      </w:pPr>
    </w:p>
    <w:p>
      <w:pPr>
        <w:spacing w:line="480" w:lineRule="auto" w:before="0" w:after="0"/>
      </w:pPr>
      <w:r>
        <w:rPr>
          <w:rFonts w:ascii="Arial" w:hAnsi="Arial"/>
          <w:b w:val="0"/>
          <w:color w:val="000000"/>
          <w:sz w:val="22"/>
          <w:u w:val="none"/>
        </w:rPr>
        <w:t>The fix is boring and works: 20 minutes of daily mental math for the month before interviews. Two-digit multiplication, percentage jumps, breakevens. A student we coached into BCG Chicago last cycle drilled math on her bus commute for five weeks; her feedback report specifically flagged quantitative agility. The case content you can't predict. The math you can.</w:t>
      </w:r>
    </w:p>
    <w:p>
      <w:pPr>
        <w:spacing w:line="480" w:lineRule="auto" w:before="0" w:after="0"/>
      </w:pPr>
    </w:p>
    <w:p>
      <w:pPr>
        <w:pStyle w:val="Heading2"/>
        <w:spacing w:line="480" w:lineRule="auto" w:before="0" w:after="0"/>
      </w:pPr>
      <w:r>
        <w:rPr>
          <w:rFonts w:ascii="Arial" w:hAnsi="Arial"/>
          <w:b/>
          <w:color w:val="000000"/>
          <w:sz w:val="36"/>
          <w:u w:val="none"/>
        </w:rPr>
        <w:t>6. The behavioral half scores five named qualities</w:t>
      </w:r>
    </w:p>
    <w:p>
      <w:pPr>
        <w:spacing w:line="480" w:lineRule="auto" w:before="0" w:after="0"/>
      </w:pPr>
      <w:r>
        <w:rPr>
          <w:rFonts w:ascii="Arial" w:hAnsi="Arial"/>
          <w:b w:val="0"/>
          <w:color w:val="000000"/>
          <w:sz w:val="22"/>
          <w:u w:val="none"/>
        </w:rPr>
        <w:t xml:space="preserve">BCG's </w:t>
      </w:r>
      <w:hyperlink r:id="rId10">
        <w:r>
          <w:rPr>
            <w:rFonts w:ascii="Arial" w:hAnsi="Arial"/>
            <w:sz w:val="22"/>
            <w:color w:val="0563C1"/>
            <w:u w:val="single"/>
          </w:rPr>
          <w:t xml:space="preserve">interview process page</w:t>
        </w:r>
      </w:hyperlink>
      <w:r>
        <w:rPr>
          <w:rFonts w:ascii="Arial" w:hAnsi="Arial"/>
          <w:b w:val="0"/>
          <w:color w:val="000000"/>
          <w:sz w:val="22"/>
          <w:u w:val="none"/>
        </w:rPr>
        <w:t xml:space="preserve"> names what its Skill Interview looks for: integrity, intellectual curiosity, creative thinking, a collaborative mindset, and drive. Map one prepared story to each. The firm also describes a Team Interview for some client-facing tracks, so don't be surprised if a round probes how you handled an actual team conflict rather than a business problem.</w:t>
      </w:r>
    </w:p>
    <w:p>
      <w:pPr>
        <w:spacing w:line="480" w:lineRule="auto" w:before="0" w:after="0"/>
      </w:pPr>
    </w:p>
    <w:p>
      <w:pPr>
        <w:spacing w:line="480" w:lineRule="auto" w:before="0" w:after="0"/>
      </w:pPr>
      <w:r>
        <w:rPr>
          <w:rFonts w:ascii="Arial" w:hAnsi="Arial"/>
          <w:b/>
          <w:color w:val="000000"/>
          <w:sz w:val="22"/>
          <w:u w:val="none"/>
        </w:rPr>
        <w:t>Behavioral answers move BCG decisions at the margin more than candidates believe, because case performance clusters tightly at the final round.</w:t>
      </w:r>
      <w:r>
        <w:rPr>
          <w:rFonts w:ascii="Arial" w:hAnsi="Arial"/>
          <w:b w:val="0"/>
          <w:color w:val="000000"/>
          <w:sz w:val="22"/>
          <w:u w:val="none"/>
        </w:rPr>
        <w:t xml:space="preserve"> Every finalist can case. Not every finalist has a story that makes a partner want them on a client site.</w:t>
      </w:r>
    </w:p>
    <w:p>
      <w:pPr>
        <w:spacing w:line="480" w:lineRule="auto" w:before="0" w:after="0"/>
      </w:pPr>
    </w:p>
    <w:p>
      <w:pPr>
        <w:spacing w:line="480" w:lineRule="auto" w:before="0" w:after="0"/>
      </w:pPr>
      <w:r>
        <w:rPr>
          <w:rFonts w:ascii="Arial" w:hAnsi="Arial"/>
          <w:b w:val="0"/>
          <w:color w:val="000000"/>
          <w:sz w:val="22"/>
          <w:u w:val="none"/>
        </w:rPr>
        <w:t>Why BCG?</w:t>
      </w:r>
    </w:p>
    <w:p>
      <w:pPr>
        <w:spacing w:line="480" w:lineRule="auto" w:before="0" w:after="0"/>
      </w:pPr>
      <w:r>
        <w:rPr>
          <w:rFonts w:ascii="Arial" w:hAnsi="Arial"/>
          <w:b w:val="0"/>
          <w:color w:val="000000"/>
          <w:sz w:val="22"/>
          <w:u w:val="none"/>
        </w:rPr>
        <w:t>Don't say: "BCG's collaborative culture and intellectual rigor really appeal to me."</w:t>
      </w:r>
    </w:p>
    <w:p>
      <w:pPr>
        <w:spacing w:line="480" w:lineRule="auto" w:before="0" w:after="0"/>
      </w:pPr>
      <w:r>
        <w:rPr>
          <w:rFonts w:ascii="Arial" w:hAnsi="Arial"/>
          <w:b w:val="0"/>
          <w:color w:val="000000"/>
          <w:sz w:val="22"/>
          <w:u w:val="none"/>
        </w:rPr>
        <w:t>Say: "I did BCG's climate practice case online, then talked to Marcus, a second-year Associate in your Denver office, about how his decarbonization study actually ran. That specific mix of climate work and ownership is why BCG over its peers."</w:t>
      </w:r>
    </w:p>
    <w:p>
      <w:pPr>
        <w:spacing w:line="480" w:lineRule="auto" w:before="0" w:after="0"/>
      </w:pPr>
    </w:p>
    <w:p>
      <w:pPr>
        <w:pStyle w:val="Heading2"/>
        <w:spacing w:line="480" w:lineRule="auto" w:before="0" w:after="0"/>
      </w:pPr>
      <w:r>
        <w:rPr>
          <w:rFonts w:ascii="Arial" w:hAnsi="Arial"/>
          <w:b/>
          <w:color w:val="000000"/>
          <w:sz w:val="36"/>
          <w:u w:val="none"/>
        </w:rPr>
        <w:t>7. Practice on BCG's own cases before touching third-party ones</w:t>
      </w:r>
    </w:p>
    <w:p>
      <w:pPr>
        <w:spacing w:line="480" w:lineRule="auto" w:before="0" w:after="0"/>
      </w:pPr>
      <w:r>
        <w:rPr>
          <w:rFonts w:ascii="Arial" w:hAnsi="Arial"/>
          <w:b w:val="0"/>
          <w:color w:val="000000"/>
          <w:sz w:val="22"/>
          <w:u w:val="none"/>
        </w:rPr>
        <w:t xml:space="preserve">BCG publishes three interactive practice cases, and they calibrate you to the firm's actual style better than any prep book: </w:t>
      </w:r>
      <w:hyperlink r:id="rId11">
        <w:r>
          <w:rPr>
            <w:rFonts w:ascii="Arial" w:hAnsi="Arial"/>
            <w:sz w:val="22"/>
            <w:color w:val="0563C1"/>
            <w:u w:val="single"/>
          </w:rPr>
          <w:t xml:space="preserve">setting a climate strategy</w:t>
        </w:r>
      </w:hyperlink>
      <w:r>
        <w:rPr>
          <w:rFonts w:ascii="Arial" w:hAnsi="Arial"/>
          <w:b w:val="0"/>
          <w:color w:val="000000"/>
          <w:sz w:val="22"/>
          <w:u w:val="none"/>
        </w:rPr>
        <w:t xml:space="preserve">, </w:t>
      </w:r>
      <w:hyperlink r:id="rId12">
        <w:r>
          <w:rPr>
            <w:rFonts w:ascii="Arial" w:hAnsi="Arial"/>
            <w:sz w:val="22"/>
            <w:color w:val="0563C1"/>
            <w:u w:val="single"/>
          </w:rPr>
          <w:t xml:space="preserve">restoring customer satisfaction</w:t>
        </w:r>
      </w:hyperlink>
      <w:r>
        <w:rPr>
          <w:rFonts w:ascii="Arial" w:hAnsi="Arial"/>
          <w:b w:val="0"/>
          <w:color w:val="000000"/>
          <w:sz w:val="22"/>
          <w:u w:val="none"/>
        </w:rPr>
        <w:t xml:space="preserve">, and </w:t>
      </w:r>
      <w:hyperlink r:id="rId13">
        <w:r>
          <w:rPr>
            <w:rFonts w:ascii="Arial" w:hAnsi="Arial"/>
            <w:sz w:val="22"/>
            <w:color w:val="0563C1"/>
            <w:u w:val="single"/>
          </w:rPr>
          <w:t xml:space="preserve">supporting a cloud migration</w:t>
        </w:r>
      </w:hyperlink>
      <w:r>
        <w:rPr>
          <w:rFonts w:ascii="Arial" w:hAnsi="Arial"/>
          <w:b w:val="0"/>
          <w:color w:val="000000"/>
          <w:sz w:val="22"/>
          <w:u w:val="none"/>
        </w:rPr>
        <w:t>. Work all three before your first live mock, then build a five-week sequence: weeks one and two on structure drills and mental math, weeks three through five on live candidate-led mocks with a partner who interrupts you.</w:t>
      </w:r>
    </w:p>
    <w:p>
      <w:pPr>
        <w:spacing w:line="480" w:lineRule="auto" w:before="0" w:after="0"/>
      </w:pPr>
    </w:p>
    <w:p>
      <w:pPr>
        <w:spacing w:line="480" w:lineRule="auto" w:before="0" w:after="0"/>
      </w:pPr>
      <w:r>
        <w:rPr>
          <w:rFonts w:ascii="Arial" w:hAnsi="Arial"/>
          <w:b w:val="0"/>
          <w:color w:val="000000"/>
          <w:sz w:val="22"/>
          <w:u w:val="none"/>
        </w:rPr>
        <w:t>Ten to fifteen live mocks is the range our successful BCG candidates report. Fewer than eight and the wheel still wobbles under pressure.</w:t>
      </w:r>
    </w:p>
    <w:p>
      <w:pPr>
        <w:spacing w:line="480" w:lineRule="auto" w:before="0" w:after="0"/>
      </w:pPr>
    </w:p>
    <w:p>
      <w:pPr>
        <w:spacing w:line="480" w:lineRule="auto" w:before="0" w:after="0"/>
      </w:pPr>
      <w:r>
        <w:rPr>
          <w:rFonts w:ascii="Arial" w:hAnsi="Arial"/>
          <w:b w:val="0"/>
          <w:color w:val="000000"/>
          <w:sz w:val="22"/>
          <w:u w:val="none"/>
        </w:rPr>
        <w:t>For supplements, sequence matters. Case in Point by Marc Cosentino builds vocabulary in a weekend. PrepLounge supplies live partners once your structure holds. What doesn't work is passive consumption: watching thirty case videos produces confident spectators who freeze the first time silence lands on them. Every hour past the basics should have you talking.</w:t>
      </w:r>
    </w:p>
    <w:p>
      <w:pPr>
        <w:spacing w:line="480" w:lineRule="auto" w:before="0" w:after="0"/>
      </w:pPr>
    </w:p>
    <w:p>
      <w:pPr>
        <w:spacing w:line="480" w:lineRule="auto" w:before="0" w:after="0"/>
      </w:pPr>
      <w:r>
        <w:rPr>
          <w:rFonts w:ascii="Arial" w:hAnsi="Arial"/>
          <w:b w:val="0"/>
          <w:color w:val="000000"/>
          <w:sz w:val="22"/>
          <w:u w:val="none"/>
        </w:rPr>
        <w:t>One habit transfers from the interviewer's side of the table. After each mock, write the one-sentence recommendation you should have opened your synthesis with. BCG interviewers describe strong candidates as answer-first throughout, and the closing synthesis is where that either shows or doesn't.</w:t>
      </w:r>
    </w:p>
    <w:p>
      <w:pPr>
        <w:spacing w:line="480" w:lineRule="auto" w:before="0" w:after="0"/>
      </w:pPr>
    </w:p>
    <w:p>
      <w:pPr>
        <w:pStyle w:val="Heading2"/>
        <w:spacing w:line="480" w:lineRule="auto" w:before="0" w:after="0"/>
      </w:pPr>
      <w:r>
        <w:rPr>
          <w:rFonts w:ascii="Arial" w:hAnsi="Arial"/>
          <w:b/>
          <w:color w:val="000000"/>
          <w:sz w:val="36"/>
          <w:u w:val="none"/>
        </w:rPr>
        <w:t>8. The sophomore door is Growing Future Leaders, and it's open right now</w:t>
      </w:r>
    </w:p>
    <w:p>
      <w:pPr>
        <w:spacing w:line="480" w:lineRule="auto" w:before="0" w:after="0"/>
      </w:pPr>
      <w:r>
        <w:rPr>
          <w:rFonts w:ascii="Arial" w:hAnsi="Arial"/>
          <w:b w:val="0"/>
          <w:color w:val="000000"/>
          <w:sz w:val="22"/>
          <w:u w:val="none"/>
        </w:rPr>
        <w:t xml:space="preserve">BCG's undergrad early channel is </w:t>
      </w:r>
      <w:hyperlink r:id="rId14">
        <w:r>
          <w:rPr>
            <w:rFonts w:ascii="Arial" w:hAnsi="Arial"/>
            <w:sz w:val="22"/>
            <w:color w:val="0563C1"/>
            <w:u w:val="single"/>
          </w:rPr>
          <w:t xml:space="preserve">Growing Future Leaders</w:t>
        </w:r>
      </w:hyperlink>
      <w:r>
        <w:rPr>
          <w:rFonts w:ascii="Arial" w:hAnsi="Arial"/>
          <w:b w:val="0"/>
          <w:color w:val="000000"/>
          <w:sz w:val="22"/>
          <w:u w:val="none"/>
        </w:rPr>
        <w:t>, a paid ten-week sophomore summer internship in US and Canada offices with a mentor, formal training, and real case-team staffing. Top performers walk out with return offers for junior summer. Applications historically open in August and close mid-September [VERIFY: 2026 GFL window on BCG careers page], which makes this the single most time-sensitive item in this guide for current sophomores.</w:t>
      </w:r>
    </w:p>
    <w:p>
      <w:pPr>
        <w:spacing w:line="480" w:lineRule="auto" w:before="0" w:after="0"/>
      </w:pPr>
    </w:p>
    <w:p>
      <w:pPr>
        <w:spacing w:line="480" w:lineRule="auto" w:before="0" w:after="0"/>
      </w:pPr>
      <w:r>
        <w:rPr>
          <w:rFonts w:ascii="Arial" w:hAnsi="Arial"/>
          <w:b w:val="0"/>
          <w:color w:val="000000"/>
          <w:sz w:val="22"/>
          <w:u w:val="none"/>
        </w:rPr>
        <w:t>Understand the program from BCG's side and the application writes itself. The firm runs GFL to find and lock high-potential talent a full year before rivals see it. The screen is trajectory: evidence you take on outsized responsibility early and grow fast when given room. Frame every essay and interview answer as proof of slope, not polish.</w:t>
      </w:r>
    </w:p>
    <w:p>
      <w:pPr>
        <w:spacing w:line="480" w:lineRule="auto" w:before="0" w:after="0"/>
      </w:pPr>
    </w:p>
    <w:p>
      <w:pPr>
        <w:spacing w:line="480" w:lineRule="auto" w:before="0" w:after="0"/>
      </w:pPr>
      <w:r>
        <w:rPr>
          <w:rFonts w:ascii="Arial" w:hAnsi="Arial"/>
          <w:b w:val="0"/>
          <w:color w:val="000000"/>
          <w:sz w:val="22"/>
          <w:u w:val="none"/>
        </w:rPr>
        <w:t>One naming trap: Bridge to BCG is for advanced-degree candidates, PhDs and MDs and JDs, not undergrads. Applying to the wrong program wastes a cycle.</w:t>
      </w:r>
    </w:p>
    <w:p>
      <w:pPr>
        <w:spacing w:line="480" w:lineRule="auto" w:before="0" w:after="0"/>
      </w:pPr>
    </w:p>
    <w:p>
      <w:pPr>
        <w:pStyle w:val="Heading2"/>
        <w:spacing w:line="480" w:lineRule="auto" w:before="0" w:after="0"/>
      </w:pPr>
      <w:r>
        <w:rPr>
          <w:rFonts w:ascii="Arial" w:hAnsi="Arial"/>
          <w:b/>
          <w:color w:val="000000"/>
          <w:sz w:val="36"/>
          <w:u w:val="none"/>
        </w:rPr>
        <w:t>9. Five dimensions decide the scoresheet</w:t>
      </w:r>
    </w:p>
    <w:p>
      <w:pPr>
        <w:spacing w:line="480" w:lineRule="auto" w:before="0" w:after="0"/>
      </w:pPr>
      <w:r>
        <w:rPr>
          <w:rFonts w:ascii="Arial" w:hAnsi="Arial"/>
          <w:b w:val="0"/>
          <w:color w:val="000000"/>
          <w:sz w:val="22"/>
          <w:u w:val="none"/>
        </w:rPr>
        <w:t>Debriefs from candidates who asked for feedback converge on five scored dimensions: structure, quantitative accuracy under pressure, insight (finding the non-obvious driver), communication, and composure when pushed. Notice what's missing. Framework knowledge isn't on the list, and neither is getting the "right" answer, which BCG's own prep page says may not exist.</w:t>
      </w:r>
    </w:p>
    <w:p>
      <w:pPr>
        <w:spacing w:line="480" w:lineRule="auto" w:before="0" w:after="0"/>
      </w:pPr>
    </w:p>
    <w:p>
      <w:pPr>
        <w:spacing w:line="480" w:lineRule="auto" w:before="0" w:after="0"/>
      </w:pPr>
      <w:r>
        <w:rPr>
          <w:rFonts w:ascii="Arial" w:hAnsi="Arial"/>
          <w:b w:val="0"/>
          <w:color w:val="000000"/>
          <w:sz w:val="22"/>
          <w:u w:val="none"/>
        </w:rPr>
        <w:t xml:space="preserve">The dimension that most often separates a final-round pass from a ding is insight. Two candidates can both compute the market correctly; the one who then says "which means the client's real problem is distribution, not demand" is the one partners remember. </w:t>
      </w:r>
      <w:r>
        <w:rPr>
          <w:rFonts w:ascii="Arial" w:hAnsi="Arial"/>
          <w:b/>
          <w:color w:val="000000"/>
          <w:sz w:val="22"/>
          <w:u w:val="none"/>
        </w:rPr>
        <w:t>Train insight by ending every practice case with one sentence the numbers imply but never state.</w:t>
      </w:r>
    </w:p>
    <w:p>
      <w:pPr>
        <w:spacing w:line="480" w:lineRule="auto" w:before="0" w:after="0"/>
      </w:pPr>
    </w:p>
    <w:p>
      <w:pPr>
        <w:pStyle w:val="Heading2"/>
        <w:spacing w:line="480" w:lineRule="auto" w:before="0" w:after="0"/>
      </w:pPr>
      <w:r>
        <w:rPr>
          <w:rFonts w:ascii="Arial" w:hAnsi="Arial"/>
          <w:b/>
          <w:color w:val="000000"/>
          <w:sz w:val="36"/>
          <w:u w:val="none"/>
        </w:rPr>
        <w:t>10. Know the calendar and the paycheck before you commit the year</w:t>
      </w:r>
    </w:p>
    <w:p>
      <w:pPr>
        <w:spacing w:line="480" w:lineRule="auto" w:before="0" w:after="0"/>
      </w:pPr>
      <w:r>
        <w:rPr>
          <w:rFonts w:ascii="Arial" w:hAnsi="Arial"/>
          <w:b w:val="0"/>
          <w:color w:val="000000"/>
          <w:sz w:val="22"/>
          <w:u w:val="none"/>
        </w:rPr>
        <w:t>The Summer 2027 internship window closed on June 2, 2026. The next main-cycle entry is Summer 2028, with applications expected to open around October 2026 and a final deadline likely in mid-2027 [VERIFY: dates on careers.bcg.com when posted]. Recruiting rewards the candidate who starts casing two semesters before the deadline, not two weeks.</w:t>
      </w:r>
    </w:p>
    <w:p>
      <w:pPr>
        <w:spacing w:line="480" w:lineRule="auto" w:before="0" w:after="0"/>
      </w:pPr>
    </w:p>
    <w:p>
      <w:pPr>
        <w:spacing w:line="480" w:lineRule="auto" w:before="0" w:after="0"/>
      </w:pPr>
      <w:r>
        <w:rPr>
          <w:rFonts w:ascii="Arial" w:hAnsi="Arial"/>
          <w:b w:val="0"/>
          <w:color w:val="000000"/>
          <w:sz w:val="22"/>
          <w:u w:val="none"/>
        </w:rPr>
        <w:t>Build backward from an October 2026 opening if you're a current sophomore: coffee chats with two BCG consultants by late September, the CCA rehearsed before you ever submit, and your first live mock done before the application goes in. The 60 percent rule from recent MBB cycles still holds: most interview slots go to the first application window, so submitting early beats submitting polished-but-late [VERIFY: window dynamics current cycle].</w:t>
      </w:r>
    </w:p>
    <w:p>
      <w:pPr>
        <w:spacing w:line="480" w:lineRule="auto" w:before="0" w:after="0"/>
      </w:pPr>
    </w:p>
    <w:p>
      <w:pPr>
        <w:spacing w:line="480" w:lineRule="auto" w:before="0" w:after="0"/>
      </w:pPr>
      <w:r>
        <w:rPr>
          <w:rFonts w:ascii="Arial" w:hAnsi="Arial"/>
          <w:b w:val="0"/>
          <w:color w:val="000000"/>
          <w:sz w:val="22"/>
          <w:u w:val="none"/>
        </w:rPr>
        <w:t>The seat you're working toward: US Associate base of $110,000, a $5,000 signing bonus, and a performance bonus up to $22,000 [VERIFY: Management Consulted 2026 salary report]. The firm behind it grew revenue to $14.4 billion in 2025, its 22nd straight year of growth, with more than 40 percent of revenue now coming from AI and tech work. That last number is worth using in your "why BCG" answer if the digital side is your angle, because it's true and most candidates don't know it.</w:t>
      </w:r>
    </w:p>
    <w:p>
      <w:pPr>
        <w:spacing w:line="480" w:lineRule="auto" w:before="0" w:after="0"/>
      </w:pPr>
    </w:p>
    <w:p>
      <w:pPr>
        <w:pStyle w:val="Heading2"/>
        <w:spacing w:line="480" w:lineRule="auto" w:before="0" w:after="0"/>
      </w:pPr>
      <w:r>
        <w:rPr>
          <w:rFonts w:ascii="Arial" w:hAnsi="Arial"/>
          <w:b/>
          <w:color w:val="000000"/>
          <w:sz w:val="36"/>
          <w:u w:val="none"/>
        </w:rPr>
        <w:t>What to do this week</w:t>
      </w:r>
    </w:p>
    <w:p>
      <w:pPr>
        <w:spacing w:line="480" w:lineRule="auto" w:before="0" w:after="0"/>
      </w:pPr>
      <w:r>
        <w:rPr>
          <w:rFonts w:ascii="Arial" w:hAnsi="Arial"/>
          <w:b w:val="0"/>
          <w:color w:val="000000"/>
          <w:sz w:val="22"/>
          <w:u w:val="none"/>
        </w:rPr>
        <w:t>Sophomores: open the GFL application today and calendar the deadline. Juniors targeting Summer 2028: do BCG's three practice cases this week, start the daily math habit, and book your first live mock for ten days out. The CCA email will eventually arrive with a 48-hour fuse. The candidates who pass it decided months earlier that it wouldn't catch them cold.</w:t>
      </w:r>
    </w:p>
    <w:p>
      <w:pPr>
        <w:spacing w:line="480" w:lineRule="auto" w:before="0" w:after="0"/>
      </w:pPr>
    </w:p>
    <w:p>
      <w:pPr>
        <w:spacing w:line="480" w:lineRule="auto" w:before="0" w:after="0"/>
      </w:pPr>
      <w:r>
        <w:rPr>
          <w:rFonts w:ascii="Arial" w:hAnsi="Arial"/>
          <w:b w:val="0"/>
          <w:color w:val="000000"/>
          <w:sz w:val="22"/>
          <w:u w:val="none"/>
        </w:rPr>
        <w:t>And if you're deciding between MBB targets, read this guide next to our McKinsey Case Interview Guide. The firms want the same raw material and test it in opposite formats, so preparing for the harder version of each skill covers both applications at once.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areers.bcg.com/global/en/case-interview-preparation" TargetMode="External"/><Relationship Id="rId10" Type="http://schemas.openxmlformats.org/officeDocument/2006/relationships/hyperlink" Target="https://careers.bcg.com/global/en/interview-process" TargetMode="External"/><Relationship Id="rId11" Type="http://schemas.openxmlformats.org/officeDocument/2006/relationships/hyperlink" Target="https://quiz.bcg.com/climate-case-bcg/start" TargetMode="External"/><Relationship Id="rId12" Type="http://schemas.openxmlformats.org/officeDocument/2006/relationships/hyperlink" Target="https://quiz.bcg.com/digital-strategy-case-study-bcg/context" TargetMode="External"/><Relationship Id="rId13" Type="http://schemas.openxmlformats.org/officeDocument/2006/relationships/hyperlink" Target="https://quiz.bcg.com/it-architecture-case-study-bcg/start" TargetMode="External"/><Relationship Id="rId14" Type="http://schemas.openxmlformats.org/officeDocument/2006/relationships/hyperlink" Target="https://careers.bcg.com/global/en/on-campus/programs/growing-future-lead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