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before="0" w:after="0"/>
      </w:pPr>
      <w:r>
        <w:rPr>
          <w:rFonts w:ascii="Arial" w:hAnsi="Arial"/>
          <w:b/>
          <w:color w:val="000000"/>
          <w:sz w:val="48"/>
          <w:u w:val="none"/>
        </w:rPr>
        <w:t>Bain Case Interview Guide</w:t>
      </w:r>
    </w:p>
    <w:p>
      <w:pPr>
        <w:spacing w:line="480" w:lineRule="auto" w:before="0" w:after="0"/>
      </w:pPr>
      <w:r>
        <w:rPr>
          <w:rFonts w:ascii="Arial" w:hAnsi="Arial"/>
          <w:b/>
          <w:color w:val="000000"/>
          <w:sz w:val="22"/>
          <w:u w:val="none"/>
        </w:rPr>
        <w:t>Meta description:</w:t>
      </w:r>
      <w:r>
        <w:rPr>
          <w:rFonts w:ascii="Arial" w:hAnsi="Arial"/>
          <w:b w:val="0"/>
          <w:color w:val="000000"/>
          <w:sz w:val="22"/>
          <w:u w:val="none"/>
        </w:rPr>
        <w:t xml:space="preserve"> WSG founder Stephen Turban breaks down the Bain case interview: rounds, the written case, the synthesis skill Bain scores hardest, and a prep plan that works.</w:t>
      </w:r>
    </w:p>
    <w:p>
      <w:pPr>
        <w:spacing w:line="480" w:lineRule="auto" w:before="0" w:after="0"/>
      </w:pPr>
    </w:p>
    <w:p>
      <w:pPr>
        <w:spacing w:line="480" w:lineRule="auto" w:before="0" w:after="0"/>
      </w:pPr>
      <w:r>
        <w:rPr>
          <w:rFonts w:ascii="Arial" w:hAnsi="Arial"/>
          <w:b/>
          <w:color w:val="000000"/>
          <w:sz w:val="22"/>
          <w:u w:val="none"/>
        </w:rPr>
        <w:t>Bain grades the ending of a case harder than any of its rivals.</w:t>
      </w:r>
      <w:r>
        <w:rPr>
          <w:rFonts w:ascii="Arial" w:hAnsi="Arial"/>
          <w:b w:val="0"/>
          <w:color w:val="000000"/>
          <w:sz w:val="22"/>
          <w:u w:val="none"/>
        </w:rPr>
        <w:t xml:space="preserve"> Every MBB firm tests structure and math, but Bain candidates consistently report that the make-or-break moment is the synthesis: turning twenty minutes of analysis into a one-breath recommendation with consequences attached. Candidates who case beautifully and close weakly get dinged here more than anywhere else.</w:t>
      </w:r>
    </w:p>
    <w:p>
      <w:pPr>
        <w:spacing w:line="480" w:lineRule="auto" w:before="0" w:after="0"/>
      </w:pPr>
    </w:p>
    <w:p>
      <w:pPr>
        <w:spacing w:line="480" w:lineRule="auto" w:before="0" w:after="0"/>
      </w:pPr>
      <w:r>
        <w:rPr>
          <w:rFonts w:ascii="Arial" w:hAnsi="Arial"/>
          <w:b w:val="0"/>
          <w:color w:val="000000"/>
          <w:sz w:val="22"/>
          <w:u w:val="none"/>
        </w:rPr>
        <w:t>I went through McKinsey's on-cycle recruiting myself, so my Bain picture comes from the students WSG coaches into the firm each cycle and from what Bain publishes, which is more than its rivals. One timing fact before anything else: Bain's second application window for Summer 2027 Associate Consultant Intern roles is open until August 31, 2026 [VERIFY: bain.com deadline page]. If that's you, this guide is this week's reading, not this semester's.</w:t>
      </w:r>
    </w:p>
    <w:p>
      <w:pPr>
        <w:spacing w:line="480" w:lineRule="auto" w:before="0" w:after="0"/>
      </w:pPr>
    </w:p>
    <w:p>
      <w:pPr>
        <w:pStyle w:val="Heading2"/>
        <w:spacing w:line="480" w:lineRule="auto" w:before="0" w:after="0"/>
      </w:pPr>
      <w:r>
        <w:rPr>
          <w:rFonts w:ascii="Arial" w:hAnsi="Arial"/>
          <w:b/>
          <w:color w:val="000000"/>
          <w:sz w:val="36"/>
          <w:u w:val="none"/>
        </w:rPr>
        <w:t>How many rounds is the Bain case interview?</w:t>
      </w:r>
    </w:p>
    <w:p>
      <w:pPr>
        <w:spacing w:line="480" w:lineRule="auto" w:before="0" w:after="0"/>
      </w:pPr>
      <w:r>
        <w:rPr>
          <w:rFonts w:ascii="Arial" w:hAnsi="Arial"/>
          <w:b w:val="0"/>
          <w:color w:val="000000"/>
          <w:sz w:val="22"/>
          <w:u w:val="none"/>
        </w:rPr>
        <w:t>Two, after an online assessment. Round one is two back-to-back case interviews of 30 to 40 minutes with consultants or managers, each opening with about ten minutes of fit. The final round is two to three interviews of 40 to 60 minutes with senior managers and partners, where fit carries more weight and some offices add a written case.</w:t>
      </w:r>
    </w:p>
    <w:p>
      <w:pPr>
        <w:spacing w:line="480" w:lineRule="auto" w:before="0" w:after="0"/>
      </w:pPr>
    </w:p>
    <w:p>
      <w:pPr>
        <w:pStyle w:val="Heading2"/>
        <w:spacing w:line="480" w:lineRule="auto" w:before="0" w:after="0"/>
      </w:pPr>
      <w:r>
        <w:rPr>
          <w:rFonts w:ascii="Arial" w:hAnsi="Arial"/>
          <w:b/>
          <w:color w:val="000000"/>
          <w:sz w:val="36"/>
          <w:u w:val="none"/>
        </w:rPr>
        <w:t>Is the Bain case interview candidate-led?</w:t>
      </w:r>
    </w:p>
    <w:p>
      <w:pPr>
        <w:spacing w:line="480" w:lineRule="auto" w:before="0" w:after="0"/>
      </w:pPr>
      <w:r>
        <w:rPr>
          <w:rFonts w:ascii="Arial" w:hAnsi="Arial"/>
          <w:b w:val="0"/>
          <w:color w:val="000000"/>
          <w:sz w:val="22"/>
          <w:u w:val="none"/>
        </w:rPr>
        <w:t>Yes, with an asterisk that matters. You drive the structure and the path, closer to BCG's format than McKinsey's scripted steps. But Bain standardized its first-round cases in recent cycles to reduce interviewer bias, so expect some steering through preset exhibits in round one and a more open, real-engagement feel with partners in the finals [VERIFY: current round-one format reports].</w:t>
      </w:r>
    </w:p>
    <w:p>
      <w:pPr>
        <w:spacing w:line="480" w:lineRule="auto" w:before="0" w:after="0"/>
      </w:pPr>
    </w:p>
    <w:p>
      <w:pPr>
        <w:pStyle w:val="Heading2"/>
        <w:spacing w:line="480" w:lineRule="auto" w:before="0" w:after="0"/>
      </w:pPr>
      <w:r>
        <w:rPr>
          <w:rFonts w:ascii="Arial" w:hAnsi="Arial"/>
          <w:b/>
          <w:color w:val="000000"/>
          <w:sz w:val="36"/>
          <w:u w:val="none"/>
        </w:rPr>
        <w:t>1. Clear the test, then forget it</w:t>
      </w:r>
    </w:p>
    <w:p>
      <w:pPr>
        <w:spacing w:line="480" w:lineRule="auto" w:before="0" w:after="0"/>
      </w:pPr>
      <w:r>
        <w:rPr>
          <w:rFonts w:ascii="Arial" w:hAnsi="Arial"/>
          <w:b w:val="0"/>
          <w:color w:val="000000"/>
          <w:sz w:val="22"/>
          <w:u w:val="none"/>
        </w:rPr>
        <w:t>Before any human interview, Bain runs an online screen, a SOVA psychometric test in many offices and a TestGorilla format in others, covered fully in our Bain SOVA guide. It's pass or fail, it filters the interview pool, and no interviewer sees or mentions it afterward. Prep it for a week, pass it, and move your hours to live casing. The one planning mistake to avoid: candidates who assume the test is a formality and take it cold, then spend the interview season explaining a rejection that happened before anyone met them.</w:t>
      </w:r>
    </w:p>
    <w:p>
      <w:pPr>
        <w:spacing w:line="480" w:lineRule="auto" w:before="0" w:after="0"/>
      </w:pPr>
    </w:p>
    <w:p>
      <w:pPr>
        <w:pStyle w:val="Heading2"/>
        <w:spacing w:line="480" w:lineRule="auto" w:before="0" w:after="0"/>
      </w:pPr>
      <w:r>
        <w:rPr>
          <w:rFonts w:ascii="Arial" w:hAnsi="Arial"/>
          <w:b/>
          <w:color w:val="000000"/>
          <w:sz w:val="36"/>
          <w:u w:val="none"/>
        </w:rPr>
        <w:t>2. Round one is a script; treat it like one</w:t>
      </w:r>
    </w:p>
    <w:p>
      <w:pPr>
        <w:spacing w:line="480" w:lineRule="auto" w:before="0" w:after="0"/>
      </w:pPr>
      <w:r>
        <w:rPr>
          <w:rFonts w:ascii="Arial" w:hAnsi="Arial"/>
          <w:b w:val="0"/>
          <w:color w:val="000000"/>
          <w:sz w:val="22"/>
          <w:u w:val="none"/>
        </w:rPr>
        <w:t>Standardized cases mean every candidate faces the same exhibits and the same beats, which changes your strategy. Interviewers can compare you directly against the last thirty people who saw the identical chart. Speed to the insight on each exhibit matters more than creative structure, because the destination is fixed and the differentiator is how cleanly you get there.</w:t>
      </w:r>
    </w:p>
    <w:p>
      <w:pPr>
        <w:spacing w:line="480" w:lineRule="auto" w:before="0" w:after="0"/>
      </w:pPr>
    </w:p>
    <w:p>
      <w:pPr>
        <w:spacing w:line="480" w:lineRule="auto" w:before="0" w:after="0"/>
      </w:pPr>
      <w:r>
        <w:rPr>
          <w:rFonts w:ascii="Arial" w:hAnsi="Arial"/>
          <w:b/>
          <w:color w:val="000000"/>
          <w:sz w:val="22"/>
          <w:u w:val="none"/>
        </w:rPr>
        <w:t>In a standardized case, the winning move is extracting the "so what" from each exhibit faster and more precisely than the field, not inventing a novel framework.</w:t>
      </w:r>
      <w:r>
        <w:rPr>
          <w:rFonts w:ascii="Arial" w:hAnsi="Arial"/>
          <w:b w:val="0"/>
          <w:color w:val="000000"/>
          <w:sz w:val="22"/>
          <w:u w:val="none"/>
        </w:rPr>
        <w:t xml:space="preserve"> Save the creativity for the partner round, where cases go off-script and interviewers pull from live engagements.</w:t>
      </w:r>
    </w:p>
    <w:p>
      <w:pPr>
        <w:spacing w:line="480" w:lineRule="auto" w:before="0" w:after="0"/>
      </w:pPr>
    </w:p>
    <w:p>
      <w:pPr>
        <w:pStyle w:val="Heading2"/>
        <w:spacing w:line="480" w:lineRule="auto" w:before="0" w:after="0"/>
      </w:pPr>
      <w:r>
        <w:rPr>
          <w:rFonts w:ascii="Arial" w:hAnsi="Arial"/>
          <w:b/>
          <w:color w:val="000000"/>
          <w:sz w:val="36"/>
          <w:u w:val="none"/>
        </w:rPr>
        <w:t>3. Expect the five standard case types, tuned toward diligence</w:t>
      </w:r>
    </w:p>
    <w:p>
      <w:pPr>
        <w:spacing w:line="480" w:lineRule="auto" w:before="0" w:after="0"/>
      </w:pPr>
      <w:r>
        <w:rPr>
          <w:rFonts w:ascii="Arial" w:hAnsi="Arial"/>
          <w:b w:val="0"/>
          <w:color w:val="000000"/>
          <w:sz w:val="22"/>
          <w:u w:val="none"/>
        </w:rPr>
        <w:t>Bain cases run on the same five chassis as every strategy firm: profitability, market entry, M&amp;A, operations, and market sizing. The Bain tilt is commercial due diligence. A market entry case becomes "our PE client wants to buy into this market, should they?" and an M&amp;A case reads like a live deal memo, because for Bain's Private Equity Group it usually was one.</w:t>
      </w:r>
    </w:p>
    <w:p>
      <w:pPr>
        <w:spacing w:line="480" w:lineRule="auto" w:before="0" w:after="0"/>
      </w:pPr>
    </w:p>
    <w:p>
      <w:pPr>
        <w:spacing w:line="480" w:lineRule="auto" w:before="0" w:after="0"/>
      </w:pPr>
      <w:r>
        <w:rPr>
          <w:rFonts w:ascii="Arial" w:hAnsi="Arial"/>
          <w:b w:val="0"/>
          <w:color w:val="000000"/>
          <w:sz w:val="22"/>
          <w:u w:val="none"/>
        </w:rPr>
        <w:t xml:space="preserve">That tilt rewards a specific habit: always price the decision. </w:t>
      </w:r>
      <w:r>
        <w:rPr>
          <w:rFonts w:ascii="Arial" w:hAnsi="Arial"/>
          <w:b/>
          <w:color w:val="000000"/>
          <w:sz w:val="22"/>
          <w:u w:val="none"/>
        </w:rPr>
        <w:t>Bain interviewers respond to candidates who attach a dollar figure and a confidence level to every recommendation, because that's what a diligence deliverable does.</w:t>
      </w:r>
      <w:r>
        <w:rPr>
          <w:rFonts w:ascii="Arial" w:hAnsi="Arial"/>
          <w:b w:val="0"/>
          <w:color w:val="000000"/>
          <w:sz w:val="22"/>
          <w:u w:val="none"/>
        </w:rPr>
        <w:t xml:space="preserve"> "Enter the market" is a case answer. "Enter, expect $40 million of revenue by year three, and the assumption to pressure-test is adoption rate" is a Bain case answer.</w:t>
      </w:r>
    </w:p>
    <w:p>
      <w:pPr>
        <w:spacing w:line="480" w:lineRule="auto" w:before="0" w:after="0"/>
      </w:pPr>
    </w:p>
    <w:p>
      <w:pPr>
        <w:pStyle w:val="Heading2"/>
        <w:spacing w:line="480" w:lineRule="auto" w:before="0" w:after="0"/>
      </w:pPr>
      <w:r>
        <w:rPr>
          <w:rFonts w:ascii="Arial" w:hAnsi="Arial"/>
          <w:b/>
          <w:color w:val="000000"/>
          <w:sz w:val="36"/>
          <w:u w:val="none"/>
        </w:rPr>
        <w:t>4. Bain's official practice cases show you the grading ladder</w:t>
      </w:r>
    </w:p>
    <w:p>
      <w:pPr>
        <w:spacing w:line="480" w:lineRule="auto" w:before="0" w:after="0"/>
      </w:pPr>
      <w:r>
        <w:rPr>
          <w:rFonts w:ascii="Arial" w:hAnsi="Arial"/>
          <w:b w:val="0"/>
          <w:color w:val="000000"/>
          <w:sz w:val="22"/>
          <w:u w:val="none"/>
        </w:rPr>
        <w:t xml:space="preserve">Bain publishes two full practice cases with model answers on its </w:t>
      </w:r>
      <w:hyperlink r:id="rId9">
        <w:r>
          <w:rPr>
            <w:rFonts w:ascii="Arial" w:hAnsi="Arial"/>
            <w:sz w:val="22"/>
            <w:color w:val="0563C1"/>
            <w:u w:val="single"/>
          </w:rPr>
          <w:t xml:space="preserve">case interview page</w:t>
        </w:r>
      </w:hyperlink>
      <w:r>
        <w:rPr>
          <w:rFonts w:ascii="Arial" w:hAnsi="Arial"/>
          <w:b w:val="0"/>
          <w:color w:val="000000"/>
          <w:sz w:val="22"/>
          <w:u w:val="none"/>
        </w:rPr>
        <w:t>: Coffee Shop Co., about whether a friend should open a coffee shop in Cambridge, England, and FashionCo, a five-year revenue decline diagnosis. Both are written with "good answer" and "better answer" versions side by side, and the deltas are the entire lesson. The better answers quantify, name risks unprompted, and end with a next step.</w:t>
      </w:r>
    </w:p>
    <w:p>
      <w:pPr>
        <w:spacing w:line="480" w:lineRule="auto" w:before="0" w:after="0"/>
      </w:pPr>
    </w:p>
    <w:p>
      <w:pPr>
        <w:spacing w:line="480" w:lineRule="auto" w:before="0" w:after="0"/>
      </w:pPr>
      <w:r>
        <w:rPr>
          <w:rFonts w:ascii="Arial" w:hAnsi="Arial"/>
          <w:b w:val="0"/>
          <w:color w:val="000000"/>
          <w:sz w:val="22"/>
          <w:u w:val="none"/>
        </w:rPr>
        <w:t xml:space="preserve">There's also an official </w:t>
      </w:r>
      <w:hyperlink r:id="rId10">
        <w:r>
          <w:rPr>
            <w:rFonts w:ascii="Arial" w:hAnsi="Arial"/>
            <w:sz w:val="22"/>
            <w:color w:val="0563C1"/>
            <w:u w:val="single"/>
          </w:rPr>
          <w:t xml:space="preserve">Associate Consultant mock interview video</w:t>
        </w:r>
      </w:hyperlink>
      <w:r>
        <w:rPr>
          <w:rFonts w:ascii="Arial" w:hAnsi="Arial"/>
          <w:b w:val="0"/>
          <w:color w:val="000000"/>
          <w:sz w:val="22"/>
          <w:u w:val="none"/>
        </w:rPr>
        <w:t xml:space="preserve"> on the hiring page. Watch it once before your first mock, because hearing Bain's pacing recalibrates candidates who learned casing from YouTube theatrics.</w:t>
      </w:r>
    </w:p>
    <w:p>
      <w:pPr>
        <w:spacing w:line="480" w:lineRule="auto" w:before="0" w:after="0"/>
      </w:pPr>
    </w:p>
    <w:p>
      <w:pPr>
        <w:spacing w:line="480" w:lineRule="auto" w:before="0" w:after="0"/>
      </w:pPr>
      <w:r>
        <w:rPr>
          <w:rFonts w:ascii="Arial" w:hAnsi="Arial"/>
          <w:b/>
          <w:color w:val="000000"/>
          <w:sz w:val="22"/>
          <w:u w:val="none"/>
        </w:rPr>
        <w:t>Work Bain's own two cases until you can articulate why every "better answer" beats its "good answer" twin.</w:t>
      </w:r>
      <w:r>
        <w:rPr>
          <w:rFonts w:ascii="Arial" w:hAnsi="Arial"/>
          <w:b w:val="0"/>
          <w:color w:val="000000"/>
          <w:sz w:val="22"/>
          <w:u w:val="none"/>
        </w:rPr>
        <w:t xml:space="preserve"> That's the scoring rubric, published for free, and most applicants never read it.</w:t>
      </w:r>
    </w:p>
    <w:p>
      <w:pPr>
        <w:spacing w:line="480" w:lineRule="auto" w:before="0" w:after="0"/>
      </w:pPr>
    </w:p>
    <w:p>
      <w:pPr>
        <w:pStyle w:val="Heading2"/>
        <w:spacing w:line="480" w:lineRule="auto" w:before="0" w:after="0"/>
      </w:pPr>
      <w:r>
        <w:rPr>
          <w:rFonts w:ascii="Arial" w:hAnsi="Arial"/>
          <w:b/>
          <w:color w:val="000000"/>
          <w:sz w:val="36"/>
          <w:u w:val="none"/>
        </w:rPr>
        <w:t>5. Train the synthesis like a separate skill</w:t>
      </w:r>
    </w:p>
    <w:p>
      <w:pPr>
        <w:spacing w:line="480" w:lineRule="auto" w:before="0" w:after="0"/>
      </w:pPr>
      <w:r>
        <w:rPr>
          <w:rFonts w:ascii="Arial" w:hAnsi="Arial"/>
          <w:b w:val="0"/>
          <w:color w:val="000000"/>
          <w:sz w:val="22"/>
          <w:u w:val="none"/>
        </w:rPr>
        <w:t>The Bain close has a shape: answer first, two reasons with numbers, one risk, one next step, under 45 seconds. Practice it as its own drill, separate from full cases. Take any case you've already done, set a timer, and deliver only the ending, ten times in a row until the compression feels natural.</w:t>
      </w:r>
    </w:p>
    <w:p>
      <w:pPr>
        <w:spacing w:line="480" w:lineRule="auto" w:before="0" w:after="0"/>
      </w:pPr>
    </w:p>
    <w:p>
      <w:pPr>
        <w:spacing w:line="480" w:lineRule="auto" w:before="0" w:after="0"/>
      </w:pPr>
      <w:r>
        <w:rPr>
          <w:rFonts w:ascii="Arial" w:hAnsi="Arial"/>
          <w:b w:val="0"/>
          <w:color w:val="000000"/>
          <w:sz w:val="22"/>
          <w:u w:val="none"/>
        </w:rPr>
        <w:t>A student we coached into Bain's Chicago office last year kept a running note of one-sentence recommendations from every practice case she did, 40 in total by interview day. Her final-round partner cut the case short at the 25-minute mark and asked her to wrap. She had rehearsed exactly that moment 40 times.</w:t>
      </w:r>
    </w:p>
    <w:p>
      <w:pPr>
        <w:spacing w:line="480" w:lineRule="auto" w:before="0" w:after="0"/>
      </w:pPr>
    </w:p>
    <w:p>
      <w:pPr>
        <w:spacing w:line="480" w:lineRule="auto" w:before="0" w:after="0"/>
      </w:pPr>
      <w:r>
        <w:rPr>
          <w:rFonts w:ascii="Arial" w:hAnsi="Arial"/>
          <w:b/>
          <w:color w:val="000000"/>
          <w:sz w:val="22"/>
          <w:u w:val="none"/>
        </w:rPr>
        <w:t>Synthesis reps predict Bain outcomes better than total case count, because the close is the only part of the interview every Bain interviewer scores.</w:t>
      </w:r>
      <w:r>
        <w:rPr>
          <w:rFonts w:ascii="Arial" w:hAnsi="Arial"/>
          <w:b w:val="0"/>
          <w:color w:val="000000"/>
          <w:sz w:val="22"/>
          <w:u w:val="none"/>
        </w:rPr>
        <w:t xml:space="preserve"> Ten cases with drilled endings beat twenty cases that trail off into "so, yeah, those are my thoughts." If your mock partner never interrupts you mid-case and demands the answer now, find a mock partner who will.</w:t>
      </w:r>
    </w:p>
    <w:p>
      <w:pPr>
        <w:spacing w:line="480" w:lineRule="auto" w:before="0" w:after="0"/>
      </w:pPr>
    </w:p>
    <w:p>
      <w:pPr>
        <w:pStyle w:val="Heading2"/>
        <w:spacing w:line="480" w:lineRule="auto" w:before="0" w:after="0"/>
      </w:pPr>
      <w:r>
        <w:rPr>
          <w:rFonts w:ascii="Arial" w:hAnsi="Arial"/>
          <w:b/>
          <w:color w:val="000000"/>
          <w:sz w:val="36"/>
          <w:u w:val="none"/>
        </w:rPr>
        <w:t>6. The written case shows up at some offices, and only in finals</w:t>
      </w:r>
    </w:p>
    <w:p>
      <w:pPr>
        <w:spacing w:line="480" w:lineRule="auto" w:before="0" w:after="0"/>
      </w:pPr>
      <w:r>
        <w:rPr>
          <w:rFonts w:ascii="Arial" w:hAnsi="Arial"/>
          <w:b w:val="0"/>
          <w:color w:val="000000"/>
          <w:sz w:val="22"/>
          <w:u w:val="none"/>
        </w:rPr>
        <w:t>Some Bain offices add a written case to the final round: candidate reports describe 20 to 30 slide packets with roughly 55 minutes of prep and 40 minutes of presentation, or a shorter version where you complete five pre-structured slides in 90 minutes [VERIFY: formats vary by office and cycle]. It isn't universal, and formats shift, so ask your recruiter directly whether your office uses one. They tell you.</w:t>
      </w:r>
    </w:p>
    <w:p>
      <w:pPr>
        <w:spacing w:line="480" w:lineRule="auto" w:before="0" w:after="0"/>
      </w:pPr>
    </w:p>
    <w:p>
      <w:pPr>
        <w:spacing w:line="480" w:lineRule="auto" w:before="0" w:after="0"/>
      </w:pPr>
      <w:r>
        <w:rPr>
          <w:rFonts w:ascii="Arial" w:hAnsi="Arial"/>
          <w:b w:val="0"/>
          <w:color w:val="000000"/>
          <w:sz w:val="22"/>
          <w:u w:val="none"/>
        </w:rPr>
        <w:t>If yes: the written case rewards ruthless triage. You can't read 25 slides deeply in under an hour. Skim for the three exhibits that move the answer, build your recommendation from those, and reference the rest only as support. In a typical retail-margin packet, that means the price-volume exhibit, the cost benchmark against competitors, and the customer-churn chart. The store-count history and the org chart are scenery.</w:t>
      </w:r>
    </w:p>
    <w:p>
      <w:pPr>
        <w:spacing w:line="480" w:lineRule="auto" w:before="0" w:after="0"/>
      </w:pPr>
    </w:p>
    <w:p>
      <w:pPr>
        <w:pStyle w:val="Heading2"/>
        <w:spacing w:line="480" w:lineRule="auto" w:before="0" w:after="0"/>
      </w:pPr>
      <w:r>
        <w:rPr>
          <w:rFonts w:ascii="Arial" w:hAnsi="Arial"/>
          <w:b/>
          <w:color w:val="000000"/>
          <w:sz w:val="36"/>
          <w:u w:val="none"/>
        </w:rPr>
        <w:t>7. Math errors cost more in a standardized case</w:t>
      </w:r>
    </w:p>
    <w:p>
      <w:pPr>
        <w:spacing w:line="480" w:lineRule="auto" w:before="0" w:after="0"/>
      </w:pPr>
      <w:r>
        <w:rPr>
          <w:rFonts w:ascii="Arial" w:hAnsi="Arial"/>
          <w:b w:val="0"/>
          <w:color w:val="000000"/>
          <w:sz w:val="22"/>
          <w:u w:val="none"/>
        </w:rPr>
        <w:t>Bain's quantitative bar sits with BCG's: quick percentage moves, breakevens, and market math mid-case with the interviewer watching the clock. The standardization of round one raises the stakes on accuracy, since your arithmetic gets compared against every other candidate who worked the identical exhibit. A dropped zero that an interviewer might wave off in a freeform case becomes a clean data point against you in a scripted one.</w:t>
      </w:r>
    </w:p>
    <w:p>
      <w:pPr>
        <w:spacing w:line="480" w:lineRule="auto" w:before="0" w:after="0"/>
      </w:pPr>
    </w:p>
    <w:p>
      <w:pPr>
        <w:spacing w:line="480" w:lineRule="auto" w:before="0" w:after="0"/>
      </w:pPr>
      <w:r>
        <w:rPr>
          <w:rFonts w:ascii="Arial" w:hAnsi="Arial"/>
          <w:b w:val="0"/>
          <w:color w:val="000000"/>
          <w:sz w:val="22"/>
          <w:u w:val="none"/>
        </w:rPr>
        <w:t>Build the same daily habit our BCG-bound students use: 20 minutes of mental math for the month before interviews, plus one rule that saves more candidates than any trick. Say your setup out loud before computing. "Fifteen percent of 80 million, so 12 million" gives the interviewer a chance to nod before an error compounds for five minutes.</w:t>
      </w:r>
    </w:p>
    <w:p>
      <w:pPr>
        <w:spacing w:line="480" w:lineRule="auto" w:before="0" w:after="0"/>
      </w:pPr>
    </w:p>
    <w:p>
      <w:pPr>
        <w:pStyle w:val="Heading2"/>
        <w:spacing w:line="480" w:lineRule="auto" w:before="0" w:after="0"/>
      </w:pPr>
      <w:r>
        <w:rPr>
          <w:rFonts w:ascii="Arial" w:hAnsi="Arial"/>
          <w:b/>
          <w:color w:val="000000"/>
          <w:sz w:val="36"/>
          <w:u w:val="none"/>
        </w:rPr>
        <w:t>8. Fit decides Bain finals more than at any rival</w:t>
      </w:r>
    </w:p>
    <w:p>
      <w:pPr>
        <w:spacing w:line="480" w:lineRule="auto" w:before="0" w:after="0"/>
      </w:pPr>
      <w:r>
        <w:rPr>
          <w:rFonts w:ascii="Arial" w:hAnsi="Arial"/>
          <w:b w:val="0"/>
          <w:color w:val="000000"/>
          <w:sz w:val="22"/>
          <w:u w:val="none"/>
        </w:rPr>
        <w:t xml:space="preserve">Bain's culture runs on an operating principle the firm publishes without irony: </w:t>
      </w:r>
      <w:hyperlink r:id="rId11">
        <w:r>
          <w:rPr>
            <w:rFonts w:ascii="Arial" w:hAnsi="Arial"/>
            <w:sz w:val="22"/>
            <w:color w:val="0563C1"/>
            <w:u w:val="single"/>
          </w:rPr>
          <w:t xml:space="preserve">"a Bainie never lets another Bainie fail."</w:t>
        </w:r>
      </w:hyperlink>
      <w:r>
        <w:rPr>
          <w:rFonts w:ascii="Arial" w:hAnsi="Arial"/>
          <w:b w:val="0"/>
          <w:color w:val="000000"/>
          <w:sz w:val="22"/>
          <w:u w:val="none"/>
        </w:rPr>
        <w:t xml:space="preserve"> Final-round interviewers are answering a concrete question, whether they'd staff you on their team with a client watching. Candidates from recent cycles report finals weighted noticeably toward fit, with cases almost secondary.</w:t>
      </w:r>
    </w:p>
    <w:p>
      <w:pPr>
        <w:spacing w:line="480" w:lineRule="auto" w:before="0" w:after="0"/>
      </w:pPr>
    </w:p>
    <w:p>
      <w:pPr>
        <w:spacing w:line="480" w:lineRule="auto" w:before="0" w:after="0"/>
      </w:pPr>
      <w:r>
        <w:rPr>
          <w:rFonts w:ascii="Arial" w:hAnsi="Arial"/>
          <w:b/>
          <w:color w:val="000000"/>
          <w:sz w:val="22"/>
          <w:u w:val="none"/>
        </w:rPr>
        <w:t>Partners at Bain hire for staffability, so every fit story should end with the effect you had on the team around you.</w:t>
      </w:r>
      <w:r>
        <w:rPr>
          <w:rFonts w:ascii="Arial" w:hAnsi="Arial"/>
          <w:b w:val="0"/>
          <w:color w:val="000000"/>
          <w:sz w:val="22"/>
          <w:u w:val="none"/>
        </w:rPr>
        <w:t xml:space="preserve"> Solo-hero stories, even impressive ones, play worse here than at McKinsey.</w:t>
      </w:r>
    </w:p>
    <w:p>
      <w:pPr>
        <w:spacing w:line="480" w:lineRule="auto" w:before="0" w:after="0"/>
      </w:pPr>
    </w:p>
    <w:p>
      <w:pPr>
        <w:spacing w:line="480" w:lineRule="auto" w:before="0" w:after="0"/>
      </w:pPr>
      <w:r>
        <w:rPr>
          <w:rFonts w:ascii="Arial" w:hAnsi="Arial"/>
          <w:b w:val="0"/>
          <w:color w:val="000000"/>
          <w:sz w:val="22"/>
          <w:u w:val="none"/>
        </w:rPr>
        <w:t>Why Bain?</w:t>
      </w:r>
    </w:p>
    <w:p>
      <w:pPr>
        <w:spacing w:line="480" w:lineRule="auto" w:before="0" w:after="0"/>
      </w:pPr>
      <w:r>
        <w:rPr>
          <w:rFonts w:ascii="Arial" w:hAnsi="Arial"/>
          <w:b w:val="0"/>
          <w:color w:val="000000"/>
          <w:sz w:val="22"/>
          <w:u w:val="none"/>
        </w:rPr>
        <w:t>Don't say: "Bain's people and culture are what set it apart for me."</w:t>
      </w:r>
    </w:p>
    <w:p>
      <w:pPr>
        <w:spacing w:line="480" w:lineRule="auto" w:before="0" w:after="0"/>
      </w:pPr>
      <w:r>
        <w:rPr>
          <w:rFonts w:ascii="Arial" w:hAnsi="Arial"/>
          <w:b w:val="0"/>
          <w:color w:val="000000"/>
          <w:sz w:val="22"/>
          <w:u w:val="none"/>
        </w:rPr>
        <w:t>Say: "I worked Bain's FashionCo case, then asked Dana, an AC in your consumer practice, how her actual retail diligence compared. She walked me through a private equity due diligence sprint, and that PE-adjacent work is the specific reason Bain sits first for me."</w:t>
      </w:r>
    </w:p>
    <w:p>
      <w:pPr>
        <w:spacing w:line="480" w:lineRule="auto" w:before="0" w:after="0"/>
      </w:pPr>
    </w:p>
    <w:p>
      <w:pPr>
        <w:pStyle w:val="Heading2"/>
        <w:spacing w:line="480" w:lineRule="auto" w:before="0" w:after="0"/>
      </w:pPr>
      <w:r>
        <w:rPr>
          <w:rFonts w:ascii="Arial" w:hAnsi="Arial"/>
          <w:b/>
          <w:color w:val="000000"/>
          <w:sz w:val="36"/>
          <w:u w:val="none"/>
        </w:rPr>
        <w:t>9. The private equity pipeline is the quiet reason to pick Bain</w:t>
      </w:r>
    </w:p>
    <w:p>
      <w:pPr>
        <w:spacing w:line="480" w:lineRule="auto" w:before="0" w:after="0"/>
      </w:pPr>
      <w:r>
        <w:rPr>
          <w:rFonts w:ascii="Arial" w:hAnsi="Arial"/>
          <w:b w:val="0"/>
          <w:color w:val="000000"/>
          <w:sz w:val="22"/>
          <w:u w:val="none"/>
        </w:rPr>
        <w:t>Bain's Private Equity Group serves most of the world's largest buyout funds, and the firm reports having advised on more than half of all buyouts over $500 million since 2000, with tens of thousands of due diligence projects behind it. For ACs, that translates into commercial due diligence staffings that mirror what PE associates do all day, which is why the AC-to-Bain-Capital pipeline and the broader consulting-to-PE exit run strongest from Bain among the three MBB firms.</w:t>
      </w:r>
    </w:p>
    <w:p>
      <w:pPr>
        <w:spacing w:line="480" w:lineRule="auto" w:before="0" w:after="0"/>
      </w:pPr>
    </w:p>
    <w:p>
      <w:pPr>
        <w:spacing w:line="480" w:lineRule="auto" w:before="0" w:after="0"/>
      </w:pPr>
      <w:r>
        <w:rPr>
          <w:rFonts w:ascii="Arial" w:hAnsi="Arial"/>
          <w:b w:val="0"/>
          <w:color w:val="000000"/>
          <w:sz w:val="22"/>
          <w:u w:val="none"/>
        </w:rPr>
        <w:t>If your five-year picture includes investing, weight this heavily. The case interview at Bain is the same test as everywhere else. The staffing mix afterward isn't.</w:t>
      </w:r>
    </w:p>
    <w:p>
      <w:pPr>
        <w:spacing w:line="480" w:lineRule="auto" w:before="0" w:after="0"/>
      </w:pPr>
    </w:p>
    <w:p>
      <w:pPr>
        <w:spacing w:line="480" w:lineRule="auto" w:before="0" w:after="0"/>
      </w:pPr>
      <w:r>
        <w:rPr>
          <w:rFonts w:ascii="Arial" w:hAnsi="Arial"/>
          <w:b w:val="0"/>
          <w:color w:val="000000"/>
          <w:sz w:val="22"/>
          <w:u w:val="none"/>
        </w:rPr>
        <w:t>Two years of CDD reps also compound into the most transferable artifact in consulting: a track record of two-week answers to "is this company worth buying." PE associates, growth investors, and corporate development teams all buy that skill directly, which keeps Bain alumni liquid in downturns when generalist strategy resumes stall.</w:t>
      </w:r>
    </w:p>
    <w:p>
      <w:pPr>
        <w:spacing w:line="480" w:lineRule="auto" w:before="0" w:after="0"/>
      </w:pPr>
    </w:p>
    <w:p>
      <w:pPr>
        <w:pStyle w:val="Heading2"/>
        <w:spacing w:line="480" w:lineRule="auto" w:before="0" w:after="0"/>
      </w:pPr>
      <w:r>
        <w:rPr>
          <w:rFonts w:ascii="Arial" w:hAnsi="Arial"/>
          <w:b/>
          <w:color w:val="000000"/>
          <w:sz w:val="36"/>
          <w:u w:val="none"/>
        </w:rPr>
        <w:t>10. Sophomores have a separate door, and it isn't called an internship</w:t>
      </w:r>
    </w:p>
    <w:p>
      <w:pPr>
        <w:spacing w:line="480" w:lineRule="auto" w:before="0" w:after="0"/>
      </w:pPr>
      <w:r>
        <w:rPr>
          <w:rFonts w:ascii="Arial" w:hAnsi="Arial"/>
          <w:b w:val="0"/>
          <w:color w:val="000000"/>
          <w:sz w:val="22"/>
          <w:u w:val="none"/>
        </w:rPr>
        <w:t xml:space="preserve">Bain's early program is </w:t>
      </w:r>
      <w:hyperlink r:id="rId12">
        <w:r>
          <w:rPr>
            <w:rFonts w:ascii="Arial" w:hAnsi="Arial"/>
            <w:sz w:val="22"/>
            <w:color w:val="0563C1"/>
            <w:u w:val="single"/>
          </w:rPr>
          <w:t xml:space="preserve">Building Entrepreneurial Leaders</w:t>
        </w:r>
      </w:hyperlink>
      <w:r>
        <w:rPr>
          <w:rFonts w:ascii="Arial" w:hAnsi="Arial"/>
          <w:b w:val="0"/>
          <w:color w:val="000000"/>
          <w:sz w:val="22"/>
          <w:u w:val="none"/>
        </w:rPr>
        <w:t xml:space="preserve">, BEL, a 1.5-day immersive for sophomores across 14 US and Canada offices, established in 2009, with a sibling program, </w:t>
      </w:r>
      <w:hyperlink r:id="rId13">
        <w:r>
          <w:rPr>
            <w:rFonts w:ascii="Arial" w:hAnsi="Arial"/>
            <w:sz w:val="22"/>
            <w:color w:val="0563C1"/>
            <w:u w:val="single"/>
          </w:rPr>
          <w:t xml:space="preserve">CREW</w:t>
        </w:r>
      </w:hyperlink>
      <w:r>
        <w:rPr>
          <w:rFonts w:ascii="Arial" w:hAnsi="Arial"/>
          <w:b w:val="0"/>
          <w:color w:val="000000"/>
          <w:sz w:val="22"/>
          <w:u w:val="none"/>
        </w:rPr>
        <w:t>, focused on women. The 2026 edition's deadline was February 1, and the page now points to the 2027 cycle [VERIFY: 2027 BEL window when posted]. Strong BEL performers get fast-tracked attention when ACI applications open, which makes a February sophomore-year deadline the earliest real move on the Bain board.</w:t>
      </w:r>
    </w:p>
    <w:p>
      <w:pPr>
        <w:spacing w:line="480" w:lineRule="auto" w:before="0" w:after="0"/>
      </w:pPr>
    </w:p>
    <w:p>
      <w:pPr>
        <w:spacing w:line="480" w:lineRule="auto" w:before="0" w:after="0"/>
      </w:pPr>
      <w:r>
        <w:rPr>
          <w:rFonts w:ascii="Arial" w:hAnsi="Arial"/>
          <w:b w:val="0"/>
          <w:color w:val="000000"/>
          <w:sz w:val="22"/>
          <w:u w:val="none"/>
        </w:rPr>
        <w:t>Older prep guides call this program "Bain Build." The firm's own page says BEL. Use the firm's name in your cover letter, not the internet's.</w:t>
      </w:r>
    </w:p>
    <w:p>
      <w:pPr>
        <w:spacing w:line="480" w:lineRule="auto" w:before="0" w:after="0"/>
      </w:pPr>
    </w:p>
    <w:p>
      <w:pPr>
        <w:pStyle w:val="Heading2"/>
        <w:spacing w:line="480" w:lineRule="auto" w:before="0" w:after="0"/>
      </w:pPr>
      <w:r>
        <w:rPr>
          <w:rFonts w:ascii="Arial" w:hAnsi="Arial"/>
          <w:b/>
          <w:color w:val="000000"/>
          <w:sz w:val="36"/>
          <w:u w:val="none"/>
        </w:rPr>
        <w:t>11. The calendar and the paycheck</w:t>
      </w:r>
    </w:p>
    <w:p>
      <w:pPr>
        <w:spacing w:line="480" w:lineRule="auto" w:before="0" w:after="0"/>
      </w:pPr>
      <w:r>
        <w:rPr>
          <w:rFonts w:ascii="Arial" w:hAnsi="Arial"/>
          <w:b w:val="0"/>
          <w:color w:val="000000"/>
          <w:sz w:val="22"/>
          <w:u w:val="none"/>
        </w:rPr>
        <w:t>Bain runs two application windows per intern cycle: for Summer 2027 they fell in March and August 2026, and Summer 2028 should follow the same shape roughly a year later, with the first window around spring 2027 [VERIFY: dates when announced]. Apply in the first window you're eligible for. Recent MBB cycles filled most interview slots from the first deadline, and Bain's own two-window structure makes the second one visibly thinner.</w:t>
      </w:r>
    </w:p>
    <w:p>
      <w:pPr>
        <w:spacing w:line="480" w:lineRule="auto" w:before="0" w:after="0"/>
      </w:pPr>
    </w:p>
    <w:p>
      <w:pPr>
        <w:spacing w:line="480" w:lineRule="auto" w:before="0" w:after="0"/>
      </w:pPr>
      <w:r>
        <w:rPr>
          <w:rFonts w:ascii="Arial" w:hAnsi="Arial"/>
          <w:b w:val="0"/>
          <w:color w:val="000000"/>
          <w:sz w:val="22"/>
          <w:u w:val="none"/>
        </w:rPr>
        <w:t>The seat: US Associate Consultants earn a $112,000 base with a performance bonus up to roughly $22,500 and a signing bonus near $5,000, while ACIs earn about $9,000 per month prorated over the summer [VERIFY: Management Consulted 2026 salary report]. Comp matches McKinsey to the dollar, so let the staffing mix and the culture make your decision, not the paycheck.</w:t>
      </w:r>
    </w:p>
    <w:p>
      <w:pPr>
        <w:spacing w:line="480" w:lineRule="auto" w:before="0" w:after="0"/>
      </w:pPr>
    </w:p>
    <w:p>
      <w:pPr>
        <w:pStyle w:val="Heading2"/>
        <w:spacing w:line="480" w:lineRule="auto" w:before="0" w:after="0"/>
      </w:pPr>
      <w:r>
        <w:rPr>
          <w:rFonts w:ascii="Arial" w:hAnsi="Arial"/>
          <w:b/>
          <w:color w:val="000000"/>
          <w:sz w:val="36"/>
          <w:u w:val="none"/>
        </w:rPr>
        <w:t>What to do this week</w:t>
      </w:r>
    </w:p>
    <w:p>
      <w:pPr>
        <w:spacing w:line="480" w:lineRule="auto" w:before="0" w:after="0"/>
      </w:pPr>
      <w:r>
        <w:rPr>
          <w:rFonts w:ascii="Arial" w:hAnsi="Arial"/>
          <w:b w:val="0"/>
          <w:color w:val="000000"/>
          <w:sz w:val="22"/>
          <w:u w:val="none"/>
        </w:rPr>
        <w:t>If you're a junior: confirm the August 31 window applies to you, submit inside it, and start SOVA prep tonight. If you're a sophomore: calendar BEL for the winter and book your first live case mock now, because ten to fifteen live reps is the range that survives a partner round. Then work both official Bain cases and write your 45-second synthesis for each. The firm tells you what a better answer looks like. Most of your competition won't bother to read it.</w:t>
      </w:r>
    </w:p>
    <w:p>
      <w:pPr>
        <w:spacing w:line="480" w:lineRule="auto" w:before="0" w:after="0"/>
      </w:pPr>
    </w:p>
    <w:p>
      <w:pPr>
        <w:spacing w:line="480" w:lineRule="auto" w:before="0" w:after="0"/>
      </w:pPr>
      <w:r>
        <w:rPr>
          <w:rFonts w:ascii="Arial" w:hAnsi="Arial"/>
          <w:b w:val="0"/>
          <w:color w:val="000000"/>
          <w:sz w:val="22"/>
          <w:u w:val="none"/>
        </w:rPr>
        <w:t>One last calibration. Bain took the top spot on Glassdoor's Best Places to Work list for a record seventh time in 2025, and interviewers hear their own culture quoted back at them constantly. Skip the culture compliments entirely and show them a synthesis worth staffing. That's the compliment the firm actually screens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ain.com/careers/hiring-process/case-interview/" TargetMode="External"/><Relationship Id="rId10" Type="http://schemas.openxmlformats.org/officeDocument/2006/relationships/hyperlink" Target="https://www.bain.com/careers/hiring-process/interviewing/" TargetMode="External"/><Relationship Id="rId11" Type="http://schemas.openxmlformats.org/officeDocument/2006/relationships/hyperlink" Target="https://www.bain.com/insights/btb-a-bainie-never-lets-another-bainie-fail/" TargetMode="External"/><Relationship Id="rId12" Type="http://schemas.openxmlformats.org/officeDocument/2006/relationships/hyperlink" Target="https://www.bain.com/careers/work-with-us/internships-programs/building-entrepreneurial-leaders/" TargetMode="External"/><Relationship Id="rId13" Type="http://schemas.openxmlformats.org/officeDocument/2006/relationships/hyperlink" Target="https://www.bain.com/careers/work-with-us/internships-programs/crew/"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