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Breaking Into Wall Street: 10 Strategies That Have Actually Worked</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shares 10 strategies for breaking into Wall Street that have actually landed candidates offers at bulge brackets and elite boutiques, with the specific moves that worked.</w:t>
      </w:r>
    </w:p>
    <w:p>
      <w:pPr>
        <w:spacing w:line="480" w:lineRule="auto" w:before="0" w:after="0"/>
      </w:pPr>
      <w:r>
        <w:rPr>
          <w:rFonts w:ascii="Arial" w:hAnsi="Arial" w:cs="Arial" w:eastAsia="Arial"/>
          <w:b w:val="0"/>
          <w:color w:val="000000"/>
          <w:sz w:val="22"/>
          <w:u w:val="none"/>
        </w:rPr>
        <w:t>Most "how to break into Wall Street" content is generic. Network more. Build your modeling skills. Polish your resume. Every candidate already knows it.</w:t>
      </w:r>
    </w:p>
    <w:p>
      <w:pPr>
        <w:spacing w:line="480" w:lineRule="auto" w:before="0" w:after="0"/>
      </w:pPr>
      <w:r>
        <w:rPr>
          <w:rFonts w:ascii="Arial" w:hAnsi="Arial" w:cs="Arial" w:eastAsia="Arial"/>
          <w:b w:val="0"/>
          <w:color w:val="000000"/>
          <w:sz w:val="22"/>
          <w:u w:val="none"/>
        </w:rPr>
        <w:t xml:space="preserve">The 10 strategies below are the ones that materially shifted outcomes for WSG candidates I've watched land bulge bracket and elite boutique offers from non-target and target schools. </w:t>
      </w:r>
      <w:r>
        <w:rPr>
          <w:rFonts w:ascii="Arial" w:hAnsi="Arial" w:cs="Arial" w:eastAsia="Arial"/>
          <w:b/>
          <w:color w:val="000000"/>
          <w:sz w:val="22"/>
          <w:u w:val="none"/>
        </w:rPr>
        <w:t>Every one has a name, a firm, or a specific scenario behind it.</w:t>
      </w:r>
      <w:r>
        <w:rPr>
          <w:rFonts w:ascii="Arial" w:hAnsi="Arial" w:cs="Arial" w:eastAsia="Arial"/>
          <w:b w:val="0"/>
          <w:color w:val="000000"/>
          <w:sz w:val="22"/>
          <w:u w:val="none"/>
        </w:rPr>
        <w:t xml:space="preserve"> None of them are the generic "build your network" advice you've read 50 times.</w:t>
      </w:r>
    </w:p>
    <w:p>
      <w:pPr>
        <w:spacing w:line="480" w:lineRule="auto" w:before="0" w:after="0"/>
      </w:pPr>
      <w:r>
        <w:rPr>
          <w:rFonts w:ascii="Arial" w:hAnsi="Arial" w:cs="Arial" w:eastAsia="Arial"/>
          <w:b/>
          <w:color w:val="000000"/>
          <w:sz w:val="36"/>
          <w:u w:val="none"/>
        </w:rPr>
        <w:t>How early should I actually start prepping?</w:t>
      </w:r>
    </w:p>
    <w:p>
      <w:pPr>
        <w:spacing w:line="480" w:lineRule="auto" w:before="0" w:after="0"/>
      </w:pPr>
      <w:r>
        <w:rPr>
          <w:rFonts w:ascii="Arial" w:hAnsi="Arial" w:cs="Arial" w:eastAsia="Arial"/>
          <w:b w:val="0"/>
          <w:color w:val="000000"/>
          <w:sz w:val="22"/>
          <w:u w:val="none"/>
        </w:rPr>
        <w:t>Sophomore fall, for a junior-summer internship. Candidates who start in sophomore fall outperform candidates who start in sophomore spring by roughly 3 to 1 in offer rates at the bulge brackets. By the time applications open the following August, the early-starting candidates have done 50-plus alumni calls, read the technical guides cover to cover, and built one finance-adjacent resume line.</w:t>
      </w:r>
    </w:p>
    <w:p>
      <w:pPr>
        <w:spacing w:line="480" w:lineRule="auto" w:before="0" w:after="0"/>
      </w:pPr>
      <w:r>
        <w:rPr>
          <w:rFonts w:ascii="Arial" w:hAnsi="Arial" w:cs="Arial" w:eastAsia="Arial"/>
          <w:b/>
          <w:color w:val="000000"/>
          <w:sz w:val="36"/>
          <w:u w:val="none"/>
        </w:rPr>
        <w:t>Which strategy matters most if I can only execute three?</w:t>
      </w:r>
    </w:p>
    <w:p>
      <w:pPr>
        <w:spacing w:line="480" w:lineRule="auto" w:before="0" w:after="0"/>
      </w:pPr>
      <w:r>
        <w:rPr>
          <w:rFonts w:ascii="Arial" w:hAnsi="Arial" w:cs="Arial" w:eastAsia="Arial"/>
          <w:b w:val="0"/>
          <w:color w:val="000000"/>
          <w:sz w:val="22"/>
          <w:u w:val="none"/>
        </w:rPr>
        <w:t>Pick one early-timing strategy, one networking-with-real-follow-up strategy, and one technical-drilling strategy. The candidates who land offers ship three strategies well, not all 10 mediocrely.</w:t>
      </w:r>
    </w:p>
    <w:p>
      <w:pPr>
        <w:spacing w:line="480" w:lineRule="auto" w:before="0" w:after="0"/>
      </w:pPr>
      <w:r>
        <w:rPr>
          <w:rFonts w:ascii="Arial" w:hAnsi="Arial" w:cs="Arial" w:eastAsia="Arial"/>
          <w:b/>
          <w:color w:val="000000"/>
          <w:sz w:val="36"/>
          <w:u w:val="none"/>
        </w:rPr>
        <w:t>1. Start the recruiting clock 12 months before applications open</w:t>
      </w:r>
    </w:p>
    <w:p>
      <w:pPr>
        <w:spacing w:line="480" w:lineRule="auto" w:before="0" w:after="0"/>
      </w:pPr>
      <w:r>
        <w:rPr>
          <w:rFonts w:ascii="Arial" w:hAnsi="Arial" w:cs="Arial" w:eastAsia="Arial"/>
          <w:b/>
          <w:color w:val="000000"/>
          <w:sz w:val="22"/>
          <w:u w:val="none"/>
        </w:rPr>
        <w:t>The single most predictive variable for landing a bulge bracket Summer Analyst offer is when you started prepping.</w:t>
      </w:r>
    </w:p>
    <w:p>
      <w:pPr>
        <w:spacing w:line="480" w:lineRule="auto" w:before="0" w:after="0"/>
      </w:pPr>
      <w:r>
        <w:rPr>
          <w:rFonts w:ascii="Arial" w:hAnsi="Arial" w:cs="Arial" w:eastAsia="Arial"/>
          <w:b w:val="0"/>
          <w:color w:val="000000"/>
          <w:sz w:val="22"/>
          <w:u w:val="none"/>
        </w:rPr>
        <w:t>A WSG candidate at Penn State (non-target) started his recruiting prep in October of sophomore year. By the time applications opened the following August, he'd done 60 alumni networking calls, drilled the Wall Street Prep RedBook end to end, and built a one-page deal sheet from an off-cycle boutique internship. He landed Morgan Stanley M&amp;A.</w:t>
      </w:r>
    </w:p>
    <w:p>
      <w:pPr>
        <w:spacing w:line="480" w:lineRule="auto" w:before="0" w:after="0"/>
      </w:pPr>
      <w:r>
        <w:rPr>
          <w:rFonts w:ascii="Arial" w:hAnsi="Arial" w:cs="Arial" w:eastAsia="Arial"/>
          <w:b/>
          <w:color w:val="000000"/>
          <w:sz w:val="36"/>
          <w:u w:val="none"/>
        </w:rPr>
        <w:t>2. Build a deal sheet before you have a deal</w:t>
      </w:r>
    </w:p>
    <w:p>
      <w:pPr>
        <w:spacing w:line="480" w:lineRule="auto" w:before="0" w:after="0"/>
      </w:pPr>
      <w:r>
        <w:rPr>
          <w:rFonts w:ascii="Arial" w:hAnsi="Arial" w:cs="Arial" w:eastAsia="Arial"/>
          <w:b/>
          <w:color w:val="000000"/>
          <w:sz w:val="22"/>
          <w:u w:val="none"/>
        </w:rPr>
        <w:t>A deal sheet of public transactions you've analyzed and have a view on can land you a referral that nothing else will.</w:t>
      </w:r>
    </w:p>
    <w:p>
      <w:pPr>
        <w:spacing w:line="480" w:lineRule="auto" w:before="0" w:after="0"/>
      </w:pPr>
      <w:r>
        <w:rPr>
          <w:rFonts w:ascii="Arial" w:hAnsi="Arial" w:cs="Arial" w:eastAsia="Arial"/>
          <w:b w:val="0"/>
          <w:color w:val="000000"/>
          <w:sz w:val="22"/>
          <w:u w:val="none"/>
        </w:rPr>
        <w:t>A WSG candidate at Indiana University used this exact move. She built a one-page deal sheet of three analyzed transactions in industrials M&amp;A and sent it with her networking outreach to Houlihan Lokey alumni. One replied within 48 hours saying he'd never seen a sophomore do this. She landed Houlihan RX off that conversation.</w:t>
      </w:r>
    </w:p>
    <w:p>
      <w:pPr>
        <w:spacing w:line="480" w:lineRule="auto" w:before="0" w:after="0"/>
      </w:pPr>
      <w:r>
        <w:rPr>
          <w:rFonts w:ascii="Arial" w:hAnsi="Arial" w:cs="Arial" w:eastAsia="Arial"/>
          <w:b/>
          <w:color w:val="000000"/>
          <w:sz w:val="36"/>
          <w:u w:val="none"/>
        </w:rPr>
        <w:t>3. Pick a sector and become 80% expert in it</w:t>
      </w:r>
    </w:p>
    <w:p>
      <w:pPr>
        <w:spacing w:line="480" w:lineRule="auto" w:before="0" w:after="0"/>
      </w:pPr>
      <w:r>
        <w:rPr>
          <w:rFonts w:ascii="Arial" w:hAnsi="Arial" w:cs="Arial" w:eastAsia="Arial"/>
          <w:b/>
          <w:color w:val="000000"/>
          <w:sz w:val="22"/>
          <w:u w:val="none"/>
        </w:rPr>
        <w:t>Sector-specialist candidates beat generalist candidates in technicals, behaviorals, and networking, because view depth is rarer than general competence.</w:t>
      </w:r>
    </w:p>
    <w:p>
      <w:pPr>
        <w:spacing w:line="480" w:lineRule="auto" w:before="0" w:after="0"/>
      </w:pPr>
      <w:r>
        <w:rPr>
          <w:rFonts w:ascii="Arial" w:hAnsi="Arial" w:cs="Arial" w:eastAsia="Arial"/>
          <w:b w:val="0"/>
          <w:color w:val="000000"/>
          <w:sz w:val="22"/>
          <w:u w:val="none"/>
        </w:rPr>
        <w:t>Pick a sector. Read every 10-K of the top 10 public companies in it. Read the last four earnings calls. Subscribe to one industry publication and read it weekly. By recruiting season you'll be the candidate in the room who can talk for 20 minutes about the sector you've picked.</w:t>
      </w:r>
    </w:p>
    <w:p>
      <w:pPr>
        <w:spacing w:line="480" w:lineRule="auto" w:before="0" w:after="0"/>
      </w:pPr>
      <w:r>
        <w:rPr>
          <w:rFonts w:ascii="Arial" w:hAnsi="Arial" w:cs="Arial" w:eastAsia="Arial"/>
          <w:b/>
          <w:color w:val="000000"/>
          <w:sz w:val="36"/>
          <w:u w:val="none"/>
        </w:rPr>
        <w:t>4. Target the right firms for your school tier, not the firms you're emotionally attached to</w:t>
      </w:r>
    </w:p>
    <w:p>
      <w:pPr>
        <w:spacing w:line="480" w:lineRule="auto" w:before="0" w:after="0"/>
      </w:pPr>
      <w:r>
        <w:rPr>
          <w:rFonts w:ascii="Arial" w:hAnsi="Arial" w:cs="Arial" w:eastAsia="Arial"/>
          <w:b/>
          <w:color w:val="000000"/>
          <w:sz w:val="22"/>
          <w:u w:val="none"/>
        </w:rPr>
        <w:t>A non-target sophomore who applies only to Goldman, JPM, and MS gets cut at all three; the same sophomore applying broadly into middle-market and regional banks lands two offers and converts one.</w:t>
      </w:r>
    </w:p>
    <w:p>
      <w:pPr>
        <w:spacing w:line="480" w:lineRule="auto" w:before="0" w:after="0"/>
      </w:pPr>
      <w:r>
        <w:rPr>
          <w:rFonts w:ascii="Arial" w:hAnsi="Arial" w:cs="Arial" w:eastAsia="Arial"/>
          <w:b w:val="0"/>
          <w:color w:val="000000"/>
          <w:sz w:val="22"/>
          <w:u w:val="none"/>
        </w:rPr>
        <w:t>The candidates who break into Wall Street from non-targets almost always landed their first IB seat at a middle-market or regional bank. Then they lateraled.</w:t>
      </w:r>
    </w:p>
    <w:p>
      <w:pPr>
        <w:spacing w:line="480" w:lineRule="auto" w:before="0" w:after="0"/>
      </w:pPr>
      <w:r>
        <w:rPr>
          <w:rFonts w:ascii="Arial" w:hAnsi="Arial" w:cs="Arial" w:eastAsia="Arial"/>
          <w:b/>
          <w:color w:val="000000"/>
          <w:sz w:val="36"/>
          <w:u w:val="none"/>
        </w:rPr>
        <w:t>5. Network 30 people, not 200, with real follow-up</w:t>
      </w:r>
    </w:p>
    <w:p>
      <w:pPr>
        <w:spacing w:line="480" w:lineRule="auto" w:before="0" w:after="0"/>
      </w:pPr>
      <w:r>
        <w:rPr>
          <w:rFonts w:ascii="Arial" w:hAnsi="Arial" w:cs="Arial" w:eastAsia="Arial"/>
          <w:b/>
          <w:color w:val="000000"/>
          <w:sz w:val="22"/>
          <w:u w:val="none"/>
        </w:rPr>
        <w:t>Thirty alumni you actually stay in touch with beats 200 you cold-emailed once and ghosted.</w:t>
      </w:r>
    </w:p>
    <w:p>
      <w:pPr>
        <w:spacing w:line="480" w:lineRule="auto" w:before="0" w:after="0"/>
      </w:pPr>
      <w:r>
        <w:rPr>
          <w:rFonts w:ascii="Arial" w:hAnsi="Arial" w:cs="Arial" w:eastAsia="Arial"/>
          <w:b w:val="0"/>
          <w:color w:val="000000"/>
          <w:sz w:val="22"/>
          <w:u w:val="none"/>
        </w:rPr>
        <w:t>The 30-person tracked network looks like this: a 15-minute call, a thank-you note within 24 hours referencing something specific they said, an update email 60 days later with a real progress moment, and a follow-up when you submit your application asking for a referral.</w:t>
      </w:r>
    </w:p>
    <w:p>
      <w:pPr>
        <w:spacing w:line="480" w:lineRule="auto" w:before="0" w:after="0"/>
      </w:pPr>
      <w:r>
        <w:rPr>
          <w:rFonts w:ascii="Arial" w:hAnsi="Arial" w:cs="Arial" w:eastAsia="Arial"/>
          <w:b/>
          <w:color w:val="000000"/>
          <w:sz w:val="36"/>
          <w:u w:val="none"/>
        </w:rPr>
        <w:t>6. Build a "Why this firm" answer that the firm itself would write</w:t>
      </w:r>
    </w:p>
    <w:p>
      <w:pPr>
        <w:spacing w:line="480" w:lineRule="auto" w:before="0" w:after="0"/>
      </w:pPr>
      <w:r>
        <w:rPr>
          <w:rFonts w:ascii="Arial" w:hAnsi="Arial" w:cs="Arial" w:eastAsia="Arial"/>
          <w:b/>
          <w:color w:val="000000"/>
          <w:sz w:val="22"/>
          <w:u w:val="none"/>
        </w:rPr>
        <w:t>The candidates who answer "Why this firm" in the firm's own language land at materially higher rates than candidates who answer in their own generic language.</w:t>
      </w:r>
    </w:p>
    <w:p>
      <w:pPr>
        <w:spacing w:line="480" w:lineRule="auto" w:before="0" w:after="0"/>
      </w:pPr>
      <w:r>
        <w:rPr>
          <w:rFonts w:ascii="Arial" w:hAnsi="Arial" w:cs="Arial" w:eastAsia="Arial"/>
          <w:b w:val="0"/>
          <w:color w:val="000000"/>
          <w:sz w:val="22"/>
          <w:u w:val="none"/>
        </w:rPr>
        <w:t>Read the firm's annual report introduction, its most recent investor presentation, and three recent deal press releases. Note what the firm emphasizes about its role. Translate that language into your answer. When an MD recognizes the firm's own framing in your words, you've passed the filter.</w:t>
      </w:r>
    </w:p>
    <w:p>
      <w:pPr>
        <w:spacing w:line="480" w:lineRule="auto" w:before="0" w:after="0"/>
      </w:pPr>
      <w:r>
        <w:rPr>
          <w:rFonts w:ascii="Arial" w:hAnsi="Arial" w:cs="Arial" w:eastAsia="Arial"/>
          <w:b/>
          <w:color w:val="000000"/>
          <w:sz w:val="36"/>
          <w:u w:val="none"/>
        </w:rPr>
        <w:t>7. Land a finance-adjacent freshman or sophomore summer, not retail</w:t>
      </w:r>
    </w:p>
    <w:p>
      <w:pPr>
        <w:spacing w:line="480" w:lineRule="auto" w:before="0" w:after="0"/>
      </w:pPr>
      <w:r>
        <w:rPr>
          <w:rFonts w:ascii="Arial" w:hAnsi="Arial" w:cs="Arial" w:eastAsia="Arial"/>
          <w:b/>
          <w:color w:val="000000"/>
          <w:sz w:val="22"/>
          <w:u w:val="none"/>
        </w:rPr>
        <w:t>The bar for sophomore-summer resume strength isn't bulge bracket prestige; it's finance relevance.</w:t>
      </w:r>
    </w:p>
    <w:p>
      <w:pPr>
        <w:spacing w:line="480" w:lineRule="auto" w:before="0" w:after="0"/>
      </w:pPr>
      <w:r>
        <w:rPr>
          <w:rFonts w:ascii="Arial" w:hAnsi="Arial" w:cs="Arial" w:eastAsia="Arial"/>
          <w:b w:val="0"/>
          <w:color w:val="000000"/>
          <w:sz w:val="22"/>
          <w:u w:val="none"/>
        </w:rPr>
        <w:t>A freshman summer at a regional accounting firm doing transaction advisory beats Starbucks every time. A sophomore summer at a venture capital firm beats a sophomore summer at a Fortune 500 corporate finance team. The seat doesn't need to be glamorous. It needs to be on a resume line that proves you committed to the path early.</w:t>
      </w:r>
    </w:p>
    <w:p>
      <w:pPr>
        <w:spacing w:line="480" w:lineRule="auto" w:before="0" w:after="0"/>
      </w:pPr>
      <w:r>
        <w:rPr>
          <w:rFonts w:ascii="Arial" w:hAnsi="Arial" w:cs="Arial" w:eastAsia="Arial"/>
          <w:b/>
          <w:color w:val="000000"/>
          <w:sz w:val="36"/>
          <w:u w:val="none"/>
        </w:rPr>
        <w:t>8. Drill technicals with a peer until they're automatic</w:t>
      </w:r>
    </w:p>
    <w:p>
      <w:pPr>
        <w:spacing w:line="480" w:lineRule="auto" w:before="0" w:after="0"/>
      </w:pPr>
      <w:r>
        <w:rPr>
          <w:rFonts w:ascii="Arial" w:hAnsi="Arial" w:cs="Arial" w:eastAsia="Arial"/>
          <w:b/>
          <w:color w:val="000000"/>
          <w:sz w:val="22"/>
          <w:u w:val="none"/>
        </w:rPr>
        <w:t>Candidates who pass technical rounds aren't the ones who memorized the answer; they're the ones who can answer the second-derivative question without thinking.</w:t>
      </w:r>
    </w:p>
    <w:p>
      <w:pPr>
        <w:spacing w:line="480" w:lineRule="auto" w:before="0" w:after="0"/>
      </w:pPr>
      <w:r>
        <w:rPr>
          <w:rFonts w:ascii="Arial" w:hAnsi="Arial" w:cs="Arial" w:eastAsia="Arial"/>
          <w:b w:val="0"/>
          <w:color w:val="000000"/>
          <w:sz w:val="22"/>
          <w:u w:val="none"/>
        </w:rPr>
        <w:t>Drill with a peer three times a week. One asks the standard question, the other answers, then the asker pushes with a follow-up. Trade roles. Do this for six weeks before recruiting. Explaining a concept out loud surfaces the gaps you didn't know you had.</w:t>
      </w:r>
    </w:p>
    <w:p>
      <w:pPr>
        <w:spacing w:line="480" w:lineRule="auto" w:before="0" w:after="0"/>
      </w:pPr>
      <w:r>
        <w:rPr>
          <w:rFonts w:ascii="Arial" w:hAnsi="Arial" w:cs="Arial" w:eastAsia="Arial"/>
          <w:b/>
          <w:color w:val="000000"/>
          <w:sz w:val="36"/>
          <w:u w:val="none"/>
        </w:rPr>
        <w:t>9. Time your application submission to the 9 AM Eastern open</w:t>
      </w:r>
    </w:p>
    <w:p>
      <w:pPr>
        <w:spacing w:line="480" w:lineRule="auto" w:before="0" w:after="0"/>
      </w:pPr>
      <w:r>
        <w:rPr>
          <w:rFonts w:ascii="Arial" w:hAnsi="Arial" w:cs="Arial" w:eastAsia="Arial"/>
          <w:b/>
          <w:color w:val="000000"/>
          <w:sz w:val="22"/>
          <w:u w:val="none"/>
        </w:rPr>
        <w:t>Applications submitted in the first 24 hours after the on-cycle window opens get reviewed by a human; applications submitted three days later get reviewed by an algorithm.</w:t>
      </w:r>
    </w:p>
    <w:p>
      <w:pPr>
        <w:spacing w:line="480" w:lineRule="auto" w:before="0" w:after="0"/>
      </w:pPr>
      <w:r>
        <w:rPr>
          <w:rFonts w:ascii="Arial" w:hAnsi="Arial" w:cs="Arial" w:eastAsia="Arial"/>
          <w:b w:val="0"/>
          <w:color w:val="000000"/>
          <w:sz w:val="22"/>
          <w:u w:val="none"/>
        </w:rPr>
        <w:t>Submit the morning applications open. Have your resume, cover letter, and short-answer responses pre-written and saved by the night before. Refresh the careers page at 8:55 AM Eastern.</w:t>
      </w:r>
    </w:p>
    <w:p>
      <w:pPr>
        <w:spacing w:line="480" w:lineRule="auto" w:before="0" w:after="0"/>
      </w:pPr>
      <w:r>
        <w:rPr>
          <w:rFonts w:ascii="Arial" w:hAnsi="Arial" w:cs="Arial" w:eastAsia="Arial"/>
          <w:b/>
          <w:color w:val="000000"/>
          <w:sz w:val="36"/>
          <w:u w:val="none"/>
        </w:rPr>
        <w:t>10. Use your first offer as the lever to land the offer you actually want</w:t>
      </w:r>
    </w:p>
    <w:p>
      <w:pPr>
        <w:spacing w:line="480" w:lineRule="auto" w:before="0" w:after="0"/>
      </w:pPr>
      <w:r>
        <w:rPr>
          <w:rFonts w:ascii="Arial" w:hAnsi="Arial" w:cs="Arial" w:eastAsia="Arial"/>
          <w:b/>
          <w:color w:val="000000"/>
          <w:sz w:val="22"/>
          <w:u w:val="none"/>
        </w:rPr>
        <w:t>The first IB offer isn't the destination. It's the leverage to fast-track your interview at the firm you actually want.</w:t>
      </w:r>
    </w:p>
    <w:p>
      <w:pPr>
        <w:spacing w:line="480" w:lineRule="auto" w:before="0" w:after="0"/>
      </w:pPr>
      <w:r>
        <w:rPr>
          <w:rFonts w:ascii="Arial" w:hAnsi="Arial" w:cs="Arial" w:eastAsia="Arial"/>
          <w:b w:val="0"/>
          <w:color w:val="000000"/>
          <w:sz w:val="22"/>
          <w:u w:val="none"/>
        </w:rPr>
        <w:t>A WSG candidate at a non-target landed William Blair in early November. He used that offer to fast-track a Houlihan Lokey interview the following week. Three weeks later he had a Houlihan offer in hand and declined William Blair.</w:t>
      </w:r>
    </w:p>
    <w:p>
      <w:pPr>
        <w:spacing w:line="480" w:lineRule="auto" w:before="0" w:after="0"/>
      </w:pPr>
      <w:r>
        <w:rPr>
          <w:rFonts w:ascii="Arial" w:hAnsi="Arial" w:cs="Arial" w:eastAsia="Arial"/>
          <w:b/>
          <w:color w:val="000000"/>
          <w:sz w:val="36"/>
          <w:u w:val="none"/>
        </w:rPr>
        <w:t>What about the strategies and firms not on this list?</w:t>
      </w:r>
    </w:p>
    <w:p>
      <w:pPr>
        <w:spacing w:line="480" w:lineRule="auto" w:before="0" w:after="0"/>
      </w:pPr>
      <w:r>
        <w:rPr>
          <w:rFonts w:ascii="Arial" w:hAnsi="Arial" w:cs="Arial" w:eastAsia="Arial"/>
          <w:b w:val="0"/>
          <w:color w:val="000000"/>
          <w:sz w:val="22"/>
          <w:u w:val="none"/>
        </w:rPr>
        <w:t>A few worth addressing directly.</w:t>
      </w:r>
    </w:p>
    <w:p>
      <w:pPr>
        <w:spacing w:line="480" w:lineRule="auto" w:before="0" w:after="0"/>
      </w:pPr>
      <w:r>
        <w:rPr>
          <w:rFonts w:ascii="Arial" w:hAnsi="Arial" w:cs="Arial" w:eastAsia="Arial"/>
          <w:b/>
          <w:color w:val="000000"/>
          <w:sz w:val="22"/>
          <w:u w:val="none"/>
        </w:rPr>
        <w:t>Diversity Insights programs</w:t>
      </w:r>
      <w:r>
        <w:rPr>
          <w:rFonts w:ascii="Arial" w:hAnsi="Arial" w:cs="Arial" w:eastAsia="Arial"/>
          <w:b w:val="0"/>
          <w:color w:val="000000"/>
          <w:sz w:val="22"/>
          <w:u w:val="none"/>
        </w:rPr>
        <w:t xml:space="preserve"> (BofA Sophomore Summer Analyst, JPMorgan Launching Leaders, Citi Early ID) aren't a separate "strategy" because they fold into strategy #1 (start early). If you're eligible, those programs open in fall of freshman year and are a separate cycle worth treating as its own track.</w:t>
      </w:r>
    </w:p>
    <w:p>
      <w:pPr>
        <w:spacing w:line="480" w:lineRule="auto" w:before="0" w:after="0"/>
      </w:pPr>
      <w:r>
        <w:rPr>
          <w:rFonts w:ascii="Arial" w:hAnsi="Arial" w:cs="Arial" w:eastAsia="Arial"/>
          <w:b/>
          <w:color w:val="000000"/>
          <w:sz w:val="22"/>
          <w:u w:val="none"/>
        </w:rPr>
        <w:t>Modeling certifications</w:t>
      </w:r>
      <w:r>
        <w:rPr>
          <w:rFonts w:ascii="Arial" w:hAnsi="Arial" w:cs="Arial" w:eastAsia="Arial"/>
          <w:b w:val="0"/>
          <w:color w:val="000000"/>
          <w:sz w:val="22"/>
          <w:u w:val="none"/>
        </w:rPr>
        <w:t xml:space="preserve"> (Wall Street Prep, BIWS, CFI) aren't on the list because they're tools, not strategies. Pair one with strategy #8.</w:t>
      </w:r>
    </w:p>
    <w:p>
      <w:pPr>
        <w:spacing w:line="480" w:lineRule="auto" w:before="0" w:after="0"/>
      </w:pPr>
      <w:r>
        <w:rPr>
          <w:rFonts w:ascii="Arial" w:hAnsi="Arial" w:cs="Arial" w:eastAsia="Arial"/>
          <w:b/>
          <w:color w:val="000000"/>
          <w:sz w:val="22"/>
          <w:u w:val="none"/>
        </w:rPr>
        <w:t>Direct cold outreach to senior bankers (MDs, VPs)</w:t>
      </w:r>
      <w:r>
        <w:rPr>
          <w:rFonts w:ascii="Arial" w:hAnsi="Arial" w:cs="Arial" w:eastAsia="Arial"/>
          <w:b w:val="0"/>
          <w:color w:val="000000"/>
          <w:sz w:val="22"/>
          <w:u w:val="none"/>
        </w:rPr>
        <w:t xml:space="preserve"> isn't on the list because the response rate for sophomores is materially worse than outreach to analysts and associates. Cold-emailing MDs is the high-effort, low-yield move that most "Wall Street strategy" content overweights.</w:t>
      </w:r>
    </w:p>
    <w:p>
      <w:pPr>
        <w:spacing w:line="480" w:lineRule="auto" w:before="0" w:after="0"/>
      </w:pPr>
      <w:r>
        <w:rPr>
          <w:rFonts w:ascii="Arial" w:hAnsi="Arial" w:cs="Arial" w:eastAsia="Arial"/>
          <w:b/>
          <w:color w:val="000000"/>
          <w:sz w:val="36"/>
          <w:u w:val="none"/>
        </w:rPr>
        <w:t>What to do this week</w:t>
      </w:r>
    </w:p>
    <w:p>
      <w:pPr>
        <w:spacing w:line="480" w:lineRule="auto" w:before="0" w:after="0"/>
      </w:pPr>
      <w:r>
        <w:rPr>
          <w:rFonts w:ascii="Arial" w:hAnsi="Arial" w:cs="Arial" w:eastAsia="Arial"/>
          <w:b w:val="0"/>
          <w:color w:val="000000"/>
          <w:sz w:val="22"/>
          <w:u w:val="none"/>
        </w:rPr>
        <w:t>Pick three strategies. Not all 10. Three.</w:t>
      </w:r>
    </w:p>
    <w:p>
      <w:pPr>
        <w:spacing w:line="480" w:lineRule="auto" w:before="0" w:after="0"/>
      </w:pPr>
      <w:r>
        <w:rPr>
          <w:rFonts w:ascii="Arial" w:hAnsi="Arial" w:cs="Arial" w:eastAsia="Arial"/>
          <w:b w:val="0"/>
          <w:color w:val="000000"/>
          <w:sz w:val="22"/>
          <w:u w:val="none"/>
        </w:rPr>
        <w:t>The candidates who break into Wall Street don't execute every strategy. They execute three well — the three that match their situation, their school tier, their target firms, and their current timeline.</w:t>
      </w:r>
    </w:p>
    <w:p>
      <w:pPr>
        <w:spacing w:line="480" w:lineRule="auto" w:before="0" w:after="0"/>
      </w:pPr>
      <w:r>
        <w:rPr>
          <w:rFonts w:ascii="Arial" w:hAnsi="Arial" w:cs="Arial" w:eastAsia="Arial"/>
          <w:b/>
          <w:color w:val="000000"/>
          <w:sz w:val="22"/>
          <w:u w:val="none"/>
        </w:rPr>
        <w:t>You don't need to be smarter than the field. You need to start before they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