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pPr>
      <w:r>
        <w:rPr>
          <w:rFonts w:ascii="Arial" w:hAnsi="Arial" w:cs="Arial" w:eastAsia="Arial"/>
          <w:b/>
          <w:color w:val="000000"/>
          <w:sz w:val="48"/>
          <w:u w:val="none"/>
        </w:rPr>
        <w:t>Direct Lending Careers: What Undergraduates Need to Know</w:t>
      </w:r>
    </w:p>
    <w:p>
      <w:pPr>
        <w:spacing w:line="480" w:lineRule="auto" w:before="0" w:after="0"/>
      </w:pPr>
      <w:r>
        <w:rPr>
          <w:rFonts w:ascii="Arial" w:hAnsi="Arial" w:cs="Arial" w:eastAsia="Arial"/>
          <w:b/>
          <w:color w:val="000000"/>
          <w:sz w:val="22"/>
          <w:u w:val="none"/>
        </w:rPr>
        <w:t>Meta description:</w:t>
      </w:r>
      <w:r>
        <w:rPr>
          <w:rFonts w:ascii="Arial" w:hAnsi="Arial" w:cs="Arial" w:eastAsia="Arial"/>
          <w:b w:val="0"/>
          <w:color w:val="000000"/>
          <w:sz w:val="22"/>
          <w:u w:val="none"/>
        </w:rPr>
        <w:t xml:space="preserve"> WSG founder Stephen Turban explains direct lending careers: the analyst job, a worked underwriting example, the firms, 2026 pay, and how undergrads get in.</w:t>
      </w:r>
    </w:p>
    <w:p>
      <w:pPr>
        <w:spacing w:line="480" w:lineRule="auto" w:before="0" w:after="0"/>
      </w:pPr>
      <w:r>
        <w:rPr>
          <w:rFonts w:ascii="Arial" w:hAnsi="Arial" w:cs="Arial" w:eastAsia="Arial"/>
          <w:b w:val="0"/>
          <w:color w:val="000000"/>
          <w:sz w:val="22"/>
          <w:u w:val="none"/>
        </w:rPr>
        <w:t xml:space="preserve">Direct lending is the core job of private credit, and explanations of it usually start in the wrong place, with the instrument. Start with the job instead. A sponsor calls your fund about financing a $500 million buyout. Within three weeks, your team decides whether to commit $300 million of the fund's capital to that loan, on what terms, with what protections. An analyst sits inside every one of those decisions. </w:t>
      </w:r>
      <w:r>
        <w:rPr>
          <w:rFonts w:ascii="Arial" w:hAnsi="Arial" w:cs="Arial" w:eastAsia="Arial"/>
          <w:b/>
          <w:color w:val="000000"/>
          <w:sz w:val="22"/>
          <w:u w:val="none"/>
        </w:rPr>
        <w:t>The decision seat, not the loan itself, is what a direct lending career actually is, and undergrads can reach it directly at 22.</w:t>
      </w:r>
    </w:p>
    <w:p>
      <w:pPr>
        <w:spacing w:line="480" w:lineRule="auto" w:before="0" w:after="0"/>
      </w:pPr>
      <w:r>
        <w:rPr>
          <w:rFonts w:ascii="Arial" w:hAnsi="Arial" w:cs="Arial" w:eastAsia="Arial"/>
          <w:b w:val="0"/>
          <w:color w:val="000000"/>
          <w:sz w:val="22"/>
          <w:u w:val="none"/>
        </w:rPr>
        <w:t>This guide covers the work in mechanical detail, where the seats are, the money, the recruiting path, and the prep that separates candidates. It draws on the same material as our Beginner's Guide to Private Credit, one level deeper on the lending job itself.</w:t>
      </w:r>
    </w:p>
    <w:p>
      <w:pPr>
        <w:spacing w:line="480" w:lineRule="auto" w:before="0" w:after="0"/>
      </w:pPr>
      <w:r>
        <w:rPr>
          <w:rFonts w:ascii="Arial" w:hAnsi="Arial" w:cs="Arial" w:eastAsia="Arial"/>
          <w:b/>
          <w:color w:val="000000"/>
          <w:sz w:val="36"/>
          <w:u w:val="none"/>
        </w:rPr>
        <w:t>What is direct lending, in one paragraph?</w:t>
      </w:r>
    </w:p>
    <w:p>
      <w:pPr>
        <w:spacing w:line="480" w:lineRule="auto" w:before="0" w:after="0"/>
      </w:pPr>
      <w:r>
        <w:rPr>
          <w:rFonts w:ascii="Arial" w:hAnsi="Arial" w:cs="Arial" w:eastAsia="Arial"/>
          <w:b w:val="0"/>
          <w:color w:val="000000"/>
          <w:sz w:val="22"/>
          <w:u w:val="none"/>
        </w:rPr>
        <w:t>Direct lending funds lend directly to companies, mostly sponsor-backed middle-market businesses, and hold the loans to maturity instead of syndicating them away. Revenue is contractual: interest, typically floating rate at a spread over SOFR, plus fees. The fund's edge is underwriting, picking borrowers who repay, and structuring, building covenant packages that force a conversation while a struggling borrower can still be fixed.</w:t>
      </w:r>
    </w:p>
    <w:p>
      <w:pPr>
        <w:spacing w:line="480" w:lineRule="auto" w:before="0" w:after="0"/>
      </w:pPr>
      <w:r>
        <w:rPr>
          <w:rFonts w:ascii="Arial" w:hAnsi="Arial" w:cs="Arial" w:eastAsia="Arial"/>
          <w:b/>
          <w:color w:val="000000"/>
          <w:sz w:val="36"/>
          <w:u w:val="none"/>
        </w:rPr>
        <w:t>Is direct lending a good career for undergrads?</w:t>
      </w:r>
    </w:p>
    <w:p>
      <w:pPr>
        <w:spacing w:line="480" w:lineRule="auto" w:before="0" w:after="0"/>
      </w:pPr>
      <w:r>
        <w:rPr>
          <w:rFonts w:ascii="Arial" w:hAnsi="Arial" w:cs="Arial" w:eastAsia="Arial"/>
          <w:b w:val="0"/>
          <w:color w:val="000000"/>
          <w:sz w:val="22"/>
          <w:u w:val="none"/>
        </w:rPr>
        <w:t>For students who already lean credit, it's arguably the best risk-adjusted seat in entry-level finance: $130,000 to $150,000 base with $50,000 to $100,000 bonuses at top platforms [VERIFY: 2026 comp], 60 to 75 hour weeks against banking's 80 to 100, and a skill, credit judgment, that compounds for decades. The cost is optionality: the seat leads deep into credit rather than broadly across finance.</w:t>
      </w:r>
    </w:p>
    <w:p>
      <w:pPr>
        <w:spacing w:line="480" w:lineRule="auto" w:before="0" w:after="0"/>
      </w:pPr>
      <w:r>
        <w:rPr>
          <w:rFonts w:ascii="Arial" w:hAnsi="Arial" w:cs="Arial" w:eastAsia="Arial"/>
          <w:b/>
          <w:color w:val="000000"/>
          <w:sz w:val="36"/>
          <w:u w:val="none"/>
        </w:rPr>
        <w:t>The work: what an analyst actually produces</w:t>
      </w:r>
    </w:p>
    <w:p>
      <w:pPr>
        <w:spacing w:line="480" w:lineRule="auto" w:before="0" w:after="0"/>
      </w:pPr>
      <w:r>
        <w:rPr>
          <w:rFonts w:ascii="Arial" w:hAnsi="Arial" w:cs="Arial" w:eastAsia="Arial"/>
          <w:b w:val="0"/>
          <w:color w:val="000000"/>
          <w:sz w:val="22"/>
          <w:u w:val="none"/>
        </w:rPr>
        <w:t>Two workstreams fill the calendar.</w:t>
      </w:r>
    </w:p>
    <w:p>
      <w:pPr>
        <w:spacing w:line="480" w:lineRule="auto" w:before="0" w:after="0"/>
      </w:pPr>
      <w:r>
        <w:rPr>
          <w:rFonts w:ascii="Arial" w:hAnsi="Arial" w:cs="Arial" w:eastAsia="Arial"/>
          <w:b w:val="0"/>
          <w:color w:val="000000"/>
          <w:sz w:val="22"/>
          <w:u w:val="none"/>
        </w:rPr>
        <w:t>Originations arrive as sprints. A sponsor sends a confidential information memorandum, and the deal team has two to four weeks to reach committee. The analyst builds the operating model from the CIM and the data room, strips the sponsor's adjustments out of EBITDA, constructs the downside case, and drafts the credit memo.</w:t>
      </w:r>
    </w:p>
    <w:p>
      <w:pPr>
        <w:spacing w:line="480" w:lineRule="auto" w:before="0" w:after="0"/>
      </w:pPr>
      <w:r>
        <w:rPr>
          <w:rFonts w:ascii="Arial" w:hAnsi="Arial" w:cs="Arial" w:eastAsia="Arial"/>
          <w:b/>
          <w:color w:val="000000"/>
          <w:sz w:val="22"/>
          <w:u w:val="none"/>
        </w:rPr>
        <w:t>The credit memo is the analyst's core deliverable, and investment committees read the downside case first.</w:t>
      </w:r>
      <w:r>
        <w:rPr>
          <w:rFonts w:ascii="Arial" w:hAnsi="Arial" w:cs="Arial" w:eastAsia="Arial"/>
          <w:b w:val="0"/>
          <w:color w:val="000000"/>
          <w:sz w:val="22"/>
          <w:u w:val="none"/>
        </w:rPr>
        <w:t xml:space="preserve"> Its anatomy is worth knowing before your first interview: transaction overview, business description, industry analysis, historical financials with quality-of-earnings notes, the base and downside cases, proposed structure and pricing, covenant package, and a recommendation.</w:t>
      </w:r>
    </w:p>
    <w:p>
      <w:pPr>
        <w:spacing w:line="480" w:lineRule="auto" w:before="0" w:after="0"/>
      </w:pPr>
      <w:r>
        <w:rPr>
          <w:rFonts w:ascii="Arial" w:hAnsi="Arial" w:cs="Arial" w:eastAsia="Arial"/>
          <w:b w:val="0"/>
          <w:color w:val="000000"/>
          <w:sz w:val="22"/>
          <w:u w:val="none"/>
        </w:rPr>
        <w:t>Portfolio monitoring is the heartbeat underneath. Every borrower reports monthly or quarterly, and the analyst tracks each one against its covenants: is leverage still under the ceiling, is liquidity adequate, is performance tracking the underwriting case? When a borrower weakens, the analyst runs amendment scenarios, and in real stress the work turns into workout analysis, the territory covered in our restructuring guides. The 2024 to 2026 LME wave pushed far more of this onto direct lending teams than the previous decade did.</w:t>
      </w:r>
    </w:p>
    <w:p>
      <w:pPr>
        <w:spacing w:line="480" w:lineRule="auto" w:before="0" w:after="0"/>
      </w:pPr>
      <w:r>
        <w:rPr>
          <w:rFonts w:ascii="Arial" w:hAnsi="Arial" w:cs="Arial" w:eastAsia="Arial"/>
          <w:b/>
          <w:color w:val="000000"/>
          <w:sz w:val="36"/>
          <w:u w:val="none"/>
        </w:rPr>
        <w:t>The math you'd live in, worked once</w:t>
      </w:r>
    </w:p>
    <w:p>
      <w:pPr>
        <w:spacing w:line="480" w:lineRule="auto" w:before="0" w:after="0"/>
      </w:pPr>
      <w:r>
        <w:rPr>
          <w:rFonts w:ascii="Arial" w:hAnsi="Arial" w:cs="Arial" w:eastAsia="Arial"/>
          <w:b w:val="0"/>
          <w:color w:val="000000"/>
          <w:sz w:val="22"/>
          <w:u w:val="none"/>
        </w:rPr>
        <w:t>A representative underwriting. The target does $50 million of EBITDA. The sponsor wants $300 million of debt, 6.0x leverage. At SOFR plus 550, the loan yields roughly 10 percent in the 2026 rate environment, call it $30 million of annual interest [VERIFY: current spreads].</w:t>
      </w:r>
    </w:p>
    <w:p>
      <w:pPr>
        <w:spacing w:line="480" w:lineRule="auto" w:before="0" w:after="0"/>
      </w:pPr>
      <w:r>
        <w:rPr>
          <w:rFonts w:ascii="Arial" w:hAnsi="Arial" w:cs="Arial" w:eastAsia="Arial"/>
          <w:b w:val="0"/>
          <w:color w:val="000000"/>
          <w:sz w:val="22"/>
          <w:u w:val="none"/>
        </w:rPr>
        <w:t xml:space="preserve">Coverage: $50 million of EBITDA against $30 million of interest is 1.7x, workable but not roomy once capex and taxes eat their share. The downside case matters more: at $40 million of EBITDA, coverage falls to 1.3x and the cushion is thin. So the structure does the protecting. </w:t>
      </w:r>
      <w:r>
        <w:rPr>
          <w:rFonts w:ascii="Arial" w:hAnsi="Arial" w:cs="Arial" w:eastAsia="Arial"/>
          <w:b/>
          <w:color w:val="000000"/>
          <w:sz w:val="22"/>
          <w:u w:val="none"/>
        </w:rPr>
        <w:t>A leverage covenant set one and a half turns above closing leverage forces the conversation while a struggling borrower can still be fixed.</w:t>
      </w:r>
      <w:r>
        <w:rPr>
          <w:rFonts w:ascii="Arial" w:hAnsi="Arial" w:cs="Arial" w:eastAsia="Arial"/>
          <w:b w:val="0"/>
          <w:color w:val="000000"/>
          <w:sz w:val="22"/>
          <w:u w:val="none"/>
        </w:rPr>
        <w:t xml:space="preserve"> At 7.5x against 6.0x at close, EBITDA can fall about 20 percent before the borrower trips it and comes to the table, while the fund still has options.</w:t>
      </w:r>
    </w:p>
    <w:p>
      <w:pPr>
        <w:spacing w:line="480" w:lineRule="auto" w:before="0" w:after="0"/>
      </w:pPr>
      <w:r>
        <w:rPr>
          <w:rFonts w:ascii="Arial" w:hAnsi="Arial" w:cs="Arial" w:eastAsia="Arial"/>
          <w:b w:val="0"/>
          <w:color w:val="000000"/>
          <w:sz w:val="22"/>
          <w:u w:val="none"/>
        </w:rPr>
        <w:t>Walk through that once and you understand the job: the analyst who built that downside case and proposed that covenant level just did direct lending. Interviews test exactly this reasoning, usually as the would-you-lend question our 20 Private Credit Interview Questions breaks down.</w:t>
      </w:r>
    </w:p>
    <w:p>
      <w:pPr>
        <w:spacing w:line="480" w:lineRule="auto" w:before="0" w:after="0"/>
      </w:pPr>
      <w:r>
        <w:rPr>
          <w:rFonts w:ascii="Arial" w:hAnsi="Arial" w:cs="Arial" w:eastAsia="Arial"/>
          <w:b/>
          <w:color w:val="000000"/>
          <w:sz w:val="36"/>
          <w:u w:val="none"/>
        </w:rPr>
        <w:t>A week in the seat</w:t>
      </w:r>
    </w:p>
    <w:p>
      <w:pPr>
        <w:spacing w:line="480" w:lineRule="auto" w:before="0" w:after="0"/>
      </w:pPr>
      <w:r>
        <w:rPr>
          <w:rFonts w:ascii="Arial" w:hAnsi="Arial" w:cs="Arial" w:eastAsia="Arial"/>
          <w:b w:val="0"/>
          <w:color w:val="000000"/>
          <w:sz w:val="22"/>
          <w:u w:val="none"/>
        </w:rPr>
        <w:t>A composite from WSG students who've interned in these groups.</w:t>
      </w:r>
    </w:p>
    <w:p>
      <w:pPr>
        <w:spacing w:line="480" w:lineRule="auto" w:before="0" w:after="0"/>
      </w:pPr>
      <w:r>
        <w:rPr>
          <w:rFonts w:ascii="Arial" w:hAnsi="Arial" w:cs="Arial" w:eastAsia="Arial"/>
          <w:b w:val="0"/>
          <w:color w:val="000000"/>
          <w:sz w:val="22"/>
          <w:u w:val="none"/>
        </w:rPr>
        <w:t>Monday: pipeline meeting, who's underwriting what, which credits go to committee this week. You pick up a new CIM on a dental services platform and spend the afternoon rebuilding its EBITDA bridge.</w:t>
      </w:r>
    </w:p>
    <w:p>
      <w:pPr>
        <w:spacing w:line="480" w:lineRule="auto" w:before="0" w:after="0"/>
      </w:pPr>
      <w:r>
        <w:rPr>
          <w:rFonts w:ascii="Arial" w:hAnsi="Arial" w:cs="Arial" w:eastAsia="Arial"/>
          <w:b w:val="0"/>
          <w:color w:val="000000"/>
          <w:sz w:val="22"/>
          <w:u w:val="none"/>
        </w:rPr>
        <w:t>Tuesday and Wednesday: underwriting core. A management call where one question is yours if you've earned it. Downside-case construction. A portfolio company reports a soft quarter, so you pull its covenant calculations and check the cushion.</w:t>
      </w:r>
    </w:p>
    <w:p>
      <w:pPr>
        <w:spacing w:line="480" w:lineRule="auto" w:before="0" w:after="0"/>
      </w:pPr>
      <w:r>
        <w:rPr>
          <w:rFonts w:ascii="Arial" w:hAnsi="Arial" w:cs="Arial" w:eastAsia="Arial"/>
          <w:b w:val="0"/>
          <w:color w:val="000000"/>
          <w:sz w:val="22"/>
          <w:u w:val="none"/>
        </w:rPr>
        <w:t>Thursday: committee. Your VP defends the memo you drafted sections of; the pushback on customer concentration becomes your evening, rebuilding the revenue bridge by cohort.</w:t>
      </w:r>
    </w:p>
    <w:p>
      <w:pPr>
        <w:spacing w:line="480" w:lineRule="auto" w:before="0" w:after="0"/>
      </w:pPr>
      <w:r>
        <w:rPr>
          <w:rFonts w:ascii="Arial" w:hAnsi="Arial" w:cs="Arial" w:eastAsia="Arial"/>
          <w:b w:val="0"/>
          <w:color w:val="000000"/>
          <w:sz w:val="22"/>
          <w:u w:val="none"/>
        </w:rPr>
        <w:t>Friday: documentation calls on a closing deal, quarterly valuation marks, and the reading pile, including the amendment request that landed at 4pm. Out by 7.</w:t>
      </w:r>
    </w:p>
    <w:p>
      <w:pPr>
        <w:spacing w:line="480" w:lineRule="auto" w:before="0" w:after="0"/>
      </w:pPr>
      <w:r>
        <w:rPr>
          <w:rFonts w:ascii="Arial" w:hAnsi="Arial" w:cs="Arial" w:eastAsia="Arial"/>
          <w:b w:val="0"/>
          <w:color w:val="000000"/>
          <w:sz w:val="22"/>
          <w:u w:val="none"/>
        </w:rPr>
        <w:t>Roughly 65 hours, none spent formatting pitchbooks.</w:t>
      </w:r>
    </w:p>
    <w:p>
      <w:pPr>
        <w:spacing w:line="480" w:lineRule="auto" w:before="0" w:after="0"/>
      </w:pPr>
      <w:r>
        <w:rPr>
          <w:rFonts w:ascii="Arial" w:hAnsi="Arial" w:cs="Arial" w:eastAsia="Arial"/>
          <w:b/>
          <w:color w:val="000000"/>
          <w:sz w:val="36"/>
          <w:u w:val="none"/>
        </w:rPr>
        <w:t>Where the seats are</w:t>
      </w:r>
    </w:p>
    <w:p>
      <w:pPr>
        <w:spacing w:line="480" w:lineRule="auto" w:before="0" w:after="0"/>
      </w:pPr>
      <w:r>
        <w:rPr>
          <w:rFonts w:ascii="Arial" w:hAnsi="Arial" w:cs="Arial" w:eastAsia="Arial"/>
          <w:b w:val="0"/>
          <w:color w:val="000000"/>
          <w:sz w:val="22"/>
          <w:u w:val="none"/>
        </w:rPr>
        <w:t>Dedicated lenders offer the purest version of the job. Golub Capital, founded in 1994 and among the largest middle-market lenders, runs a structured analyst program [VERIFY]. Antares Capital, the former GE Antares platform acquired by CPPIB in 2015, anchors sponsor finance out of Chicago. Monroe Capital hires smaller classes into lower-middle-market work. HPS (now part of BlackRock following the 2025 acquisition), Sixth Street, and Blue Owl hire at smaller, less regular scale.</w:t>
      </w:r>
    </w:p>
    <w:p>
      <w:pPr>
        <w:spacing w:line="480" w:lineRule="auto" w:before="0" w:after="0"/>
      </w:pPr>
      <w:r>
        <w:rPr>
          <w:rFonts w:ascii="Arial" w:hAnsi="Arial" w:cs="Arial" w:eastAsia="Arial"/>
          <w:b w:val="0"/>
          <w:color w:val="000000"/>
          <w:sz w:val="22"/>
          <w:u w:val="none"/>
        </w:rPr>
        <w:t>Mega-fund credit arms, Ares, Apollo Credit, Blackstone Credit, KKR Credit, run direct lending as a flagship strategy inside broader platforms, with sophomore-fall Summer Analyst intakes. More brand and rotation, somewhat fewer pure lending reps per year.</w:t>
      </w:r>
    </w:p>
    <w:p>
      <w:pPr>
        <w:spacing w:line="480" w:lineRule="auto" w:before="0" w:after="0"/>
      </w:pPr>
      <w:r>
        <w:rPr>
          <w:rFonts w:ascii="Arial" w:hAnsi="Arial" w:cs="Arial" w:eastAsia="Arial"/>
          <w:b w:val="0"/>
          <w:color w:val="000000"/>
          <w:sz w:val="22"/>
          <w:u w:val="none"/>
        </w:rPr>
        <w:t>Bank platforms at JPMorgan, Goldman Sachs, and Morgan Stanley hire through the standard Summer Analyst funnel into their private credit desks, at bank pay with bank optionality.</w:t>
      </w:r>
    </w:p>
    <w:p>
      <w:pPr>
        <w:spacing w:line="480" w:lineRule="auto" w:before="0" w:after="0"/>
      </w:pPr>
      <w:r>
        <w:rPr>
          <w:rFonts w:ascii="Arial" w:hAnsi="Arial" w:cs="Arial" w:eastAsia="Arial"/>
          <w:b w:val="0"/>
          <w:color w:val="000000"/>
          <w:sz w:val="22"/>
          <w:u w:val="none"/>
        </w:rPr>
        <w:t>BDCs, Ares Capital Corporation, Golub Capital BDC, Blue Owl's vehicles, are the permanent-capital wrappers on many of these loans, with analyst seats tilted toward portfolio management. Firm-by-firm detail sits in our Top 10 Private Credit Firms for Undergraduates.</w:t>
      </w:r>
    </w:p>
    <w:p>
      <w:pPr>
        <w:spacing w:line="480" w:lineRule="auto" w:before="0" w:after="0"/>
      </w:pPr>
      <w:r>
        <w:rPr>
          <w:rFonts w:ascii="Arial" w:hAnsi="Arial" w:cs="Arial" w:eastAsia="Arial"/>
          <w:b w:val="0"/>
          <w:color w:val="000000"/>
          <w:sz w:val="22"/>
          <w:u w:val="none"/>
        </w:rPr>
        <w:t>Choosing between a megafund credit offer and a dedicated-lender offer, should you hold both, is a reps-versus-range trade. The dedicated lender gives more underwritings per year in one lane. The megafund gives fewer per year across more strategies, plus a brand that carries further outside credit. Students certain about direct lending should weight the reps. Students still calibrating inside credit should weight the range.</w:t>
      </w:r>
    </w:p>
    <w:p>
      <w:pPr>
        <w:spacing w:line="480" w:lineRule="auto" w:before="0" w:after="0"/>
      </w:pPr>
      <w:r>
        <w:rPr>
          <w:rFonts w:ascii="Arial" w:hAnsi="Arial" w:cs="Arial" w:eastAsia="Arial"/>
          <w:b/>
          <w:color w:val="000000"/>
          <w:sz w:val="36"/>
          <w:u w:val="none"/>
        </w:rPr>
        <w:t>The money</w:t>
      </w:r>
    </w:p>
    <w:p>
      <w:pPr>
        <w:spacing w:line="480" w:lineRule="auto" w:before="0" w:after="0"/>
      </w:pPr>
      <w:r>
        <w:rPr>
          <w:rFonts w:ascii="Arial" w:hAnsi="Arial" w:cs="Arial" w:eastAsia="Arial"/>
          <w:b w:val="0"/>
          <w:color w:val="000000"/>
          <w:sz w:val="22"/>
          <w:u w:val="none"/>
        </w:rPr>
        <w:t>Analysts at top platforms: $180,000 to $250,000 all-in in year one. Associates: $250,000 to $400,000. VPs and principals: $500,000 to $1 million-plus as incentive economics arrive. Bank desks pay the IB ladder, roughly $170,000 to $220,000 all-in for first-years [VERIFY: all figures]. The full mechanics, including how bonuses get set and what credit carry actually looks like, are in our Private Credit Salary 2026 breakdown.</w:t>
      </w:r>
    </w:p>
    <w:p>
      <w:pPr>
        <w:spacing w:line="480" w:lineRule="auto" w:before="0" w:after="0"/>
      </w:pPr>
      <w:r>
        <w:rPr>
          <w:rFonts w:ascii="Arial" w:hAnsi="Arial" w:cs="Arial" w:eastAsia="Arial"/>
          <w:b/>
          <w:color w:val="000000"/>
          <w:sz w:val="36"/>
          <w:u w:val="none"/>
        </w:rPr>
        <w:t>Recruiting: timeline, interviews, prep</w:t>
      </w:r>
    </w:p>
    <w:p>
      <w:pPr>
        <w:spacing w:line="480" w:lineRule="auto" w:before="0" w:after="0"/>
      </w:pPr>
      <w:r>
        <w:rPr>
          <w:rFonts w:ascii="Arial" w:hAnsi="Arial" w:cs="Arial" w:eastAsia="Arial"/>
          <w:b w:val="0"/>
          <w:color w:val="000000"/>
          <w:sz w:val="22"/>
          <w:u w:val="none"/>
        </w:rPr>
        <w:t>Applications for fund-side Summer Analyst seats open in sophomore fall on the banking calendar [VERIFY: current dates]. Mega-fund programs run structured cycles; dedicated lenders post on their own calendars through fall and winter, which rewards checking careers pages monthly and networking into teams before postings appear.</w:t>
      </w:r>
    </w:p>
    <w:p>
      <w:pPr>
        <w:spacing w:line="480" w:lineRule="auto" w:before="0" w:after="0"/>
      </w:pPr>
      <w:r>
        <w:rPr>
          <w:rFonts w:ascii="Arial" w:hAnsi="Arial" w:cs="Arial" w:eastAsia="Arial"/>
          <w:b w:val="0"/>
          <w:color w:val="000000"/>
          <w:sz w:val="22"/>
          <w:u w:val="none"/>
        </w:rPr>
        <w:t xml:space="preserve">Interviews run three layers. Standard technicals: three statements, DCF, basic LBO mechanics. Credit technicals: leverage and coverage ratios, covenant types, reading a cap table, walking a simple recovery waterfall. Then the layer that decides offers. </w:t>
      </w:r>
      <w:r>
        <w:rPr>
          <w:rFonts w:ascii="Arial" w:hAnsi="Arial" w:cs="Arial" w:eastAsia="Arial"/>
          <w:b/>
          <w:color w:val="000000"/>
          <w:sz w:val="22"/>
          <w:u w:val="none"/>
        </w:rPr>
        <w:t>Direct lending interviews turn on the would-you-lend question, and the winning answer is a framework, never a yes or no.</w:t>
      </w:r>
      <w:r>
        <w:rPr>
          <w:rFonts w:ascii="Arial" w:hAnsi="Arial" w:cs="Arial" w:eastAsia="Arial"/>
          <w:b w:val="0"/>
          <w:color w:val="000000"/>
          <w:sz w:val="22"/>
          <w:u w:val="none"/>
        </w:rPr>
        <w:t xml:space="preserve"> Cash flow durability, leverage versus peers, asset coverage, the covenants you'd demand, and the scenario that makes you pass.</w:t>
      </w:r>
    </w:p>
    <w:p>
      <w:pPr>
        <w:spacing w:line="480" w:lineRule="auto" w:before="0" w:after="0"/>
      </w:pPr>
      <w:r>
        <w:rPr>
          <w:rFonts w:ascii="Arial" w:hAnsi="Arial" w:cs="Arial" w:eastAsia="Arial"/>
          <w:b w:val="0"/>
          <w:color w:val="000000"/>
          <w:sz w:val="22"/>
          <w:u w:val="none"/>
        </w:rPr>
        <w:t>The prep stack: Moyer's Distressed Debt Analysis for fundamentals, Kricheff's A Pragmatist's Guide to Leveraged Finance for instrument vocabulary, and Michael Gatto's The Credit Investor's Handbook, written by a Silver Point partner and the closest thing to a textbook for this exact job. Then produce one artifact: a two-page credit memo on a real public middle-market borrower, cap table mapped, leverage computed, covenant package proposed. Candidates who bring that artifact to networking calls get remembered, because almost nobody does it.</w:t>
      </w:r>
    </w:p>
    <w:p>
      <w:pPr>
        <w:spacing w:line="480" w:lineRule="auto" w:before="0" w:after="0"/>
      </w:pPr>
      <w:r>
        <w:rPr>
          <w:rFonts w:ascii="Arial" w:hAnsi="Arial" w:cs="Arial" w:eastAsia="Arial"/>
          <w:b/>
          <w:color w:val="000000"/>
          <w:sz w:val="36"/>
          <w:u w:val="none"/>
        </w:rPr>
        <w:t>The mistakes that cost candidates these seats</w:t>
      </w:r>
    </w:p>
    <w:p>
      <w:pPr>
        <w:spacing w:line="480" w:lineRule="auto" w:before="0" w:after="0"/>
      </w:pPr>
      <w:r>
        <w:rPr>
          <w:rFonts w:ascii="Arial" w:hAnsi="Arial" w:cs="Arial" w:eastAsia="Arial"/>
          <w:b w:val="0"/>
          <w:color w:val="000000"/>
          <w:sz w:val="22"/>
          <w:u w:val="none"/>
        </w:rPr>
        <w:t>Three patterns recur. Candidates prep IB technicals and stop, then meet a cap table question with nothing, when one week of Moyer would have covered it. Candidates answer the would-you-lend question with enthusiasm instead of structure, an eager yes reads worse than a reasoned pass, because the job is discipline. And candidates treat dedicated lenders as fallbacks and megafunds as the prize, visibly, in processes where the dedicated lender is reading the same lack of specific interest that sinks applications everywhere.</w:t>
      </w:r>
    </w:p>
    <w:p>
      <w:pPr>
        <w:spacing w:line="480" w:lineRule="auto" w:before="0" w:after="0"/>
      </w:pPr>
      <w:r>
        <w:rPr>
          <w:rFonts w:ascii="Arial" w:hAnsi="Arial" w:cs="Arial" w:eastAsia="Arial"/>
          <w:b w:val="0"/>
          <w:color w:val="000000"/>
          <w:sz w:val="22"/>
          <w:u w:val="none"/>
        </w:rPr>
        <w:t>Two questions worth asking in every direct lending interview, because the answers rank your offers better than prestige does: how many credits did a first-year analyst touch last year, and what share of the current portfolio is on the watch list? The first measures the reps you'd get. The second measures what you'd learn from stress, which is where credit judgment actually forms.</w:t>
      </w:r>
    </w:p>
    <w:p>
      <w:pPr>
        <w:spacing w:line="480" w:lineRule="auto" w:before="0" w:after="0"/>
      </w:pPr>
      <w:r>
        <w:rPr>
          <w:rFonts w:ascii="Arial" w:hAnsi="Arial" w:cs="Arial" w:eastAsia="Arial"/>
          <w:b/>
          <w:color w:val="000000"/>
          <w:sz w:val="36"/>
          <w:u w:val="none"/>
        </w:rPr>
        <w:t>Where the seat leads, destination by destination</w:t>
      </w:r>
    </w:p>
    <w:p>
      <w:pPr>
        <w:spacing w:line="480" w:lineRule="auto" w:before="0" w:after="0"/>
      </w:pPr>
      <w:r>
        <w:rPr>
          <w:rFonts w:ascii="Arial" w:hAnsi="Arial" w:cs="Arial" w:eastAsia="Arial"/>
          <w:b w:val="0"/>
          <w:color w:val="000000"/>
          <w:sz w:val="22"/>
          <w:u w:val="none"/>
        </w:rPr>
        <w:t>Larger credit platforms are the default exit: the lateral market for proven underwriters runs continuously, and two years at a Golub or an Antares reads cleanly at every megafund credit arm. Distressed funds, Elliott, Davidson Kempner, Silver Point, Centerbridge, take direct lending analysts whose portfolios put them through real amendment and workout reps, which the LME era now supplies in volume. BDC leadership is the long-tenure route: permanent capital vehicles need portfolio managers, and analysts who grew up inside one compound toward those seats. The paths requiring extra proof are the equity-flavored ones, PE and corporate development, where the lending analyst re-argues skills a banker gets presumed. Price that asymmetry before choosing, not after.</w:t>
      </w:r>
    </w:p>
    <w:p>
      <w:pPr>
        <w:spacing w:line="480" w:lineRule="auto" w:before="0" w:after="0"/>
      </w:pPr>
      <w:r>
        <w:rPr>
          <w:rFonts w:ascii="Arial" w:hAnsi="Arial" w:cs="Arial" w:eastAsia="Arial"/>
          <w:b/>
          <w:color w:val="000000"/>
          <w:sz w:val="36"/>
          <w:u w:val="none"/>
        </w:rPr>
        <w:t>The honest trade</w:t>
      </w:r>
    </w:p>
    <w:p>
      <w:pPr>
        <w:spacing w:line="480" w:lineRule="auto" w:before="0" w:after="0"/>
      </w:pPr>
      <w:r>
        <w:rPr>
          <w:rFonts w:ascii="Arial" w:hAnsi="Arial" w:cs="Arial" w:eastAsia="Arial"/>
          <w:b w:val="0"/>
          <w:color w:val="000000"/>
          <w:sz w:val="22"/>
          <w:u w:val="none"/>
        </w:rPr>
        <w:t>Direct lending specializes you early. The skills, downside-case construction, covenant literacy, capital structure fluency, transfer across every credit seat: larger platforms, distressed funds like Elliott and Davidson Kempner, BDC leadership. They transfer less well to PE, corporate development, and the equity-flavored seats a banking analyst keeps open by default.</w:t>
      </w:r>
    </w:p>
    <w:p>
      <w:pPr>
        <w:spacing w:line="480" w:lineRule="auto" w:before="0" w:after="0"/>
      </w:pPr>
      <w:r>
        <w:rPr>
          <w:rFonts w:ascii="Arial" w:hAnsi="Arial" w:cs="Arial" w:eastAsia="Arial"/>
          <w:b w:val="0"/>
          <w:color w:val="000000"/>
          <w:sz w:val="22"/>
          <w:u w:val="none"/>
        </w:rPr>
        <w:t>The market context cuts both ways too, and interviewers respect candidates who can say so. The asset class grew relentlessly for a decade, and the 2024 to 2026 stretch also brought rate pressure on borrowers, rising amendments, and LME situations that blurred lending into workout territory. Lenders are paid to worry. Showing up already worrying, specifically, is a credential.</w:t>
      </w:r>
    </w:p>
    <w:p>
      <w:pPr>
        <w:spacing w:line="480" w:lineRule="auto" w:before="0" w:after="0"/>
      </w:pPr>
      <w:r>
        <w:rPr>
          <w:rFonts w:ascii="Arial" w:hAnsi="Arial" w:cs="Arial" w:eastAsia="Arial"/>
          <w:b/>
          <w:color w:val="000000"/>
          <w:sz w:val="36"/>
          <w:u w:val="none"/>
        </w:rPr>
        <w:t>Say this, don't say that</w:t>
      </w:r>
    </w:p>
    <w:p>
      <w:pPr>
        <w:spacing w:line="480" w:lineRule="auto" w:before="0" w:after="0"/>
      </w:pPr>
      <w:r>
        <w:rPr>
          <w:rFonts w:ascii="Arial" w:hAnsi="Arial" w:cs="Arial" w:eastAsia="Arial"/>
          <w:b/>
          <w:color w:val="000000"/>
          <w:sz w:val="22"/>
          <w:u w:val="none"/>
        </w:rPr>
        <w:t>Why direct lending specifically?</w:t>
      </w:r>
    </w:p>
    <w:p>
      <w:pPr>
        <w:spacing w:line="480" w:lineRule="auto" w:before="0" w:after="0"/>
      </w:pPr>
      <w:r>
        <w:rPr>
          <w:rFonts w:ascii="Arial" w:hAnsi="Arial" w:cs="Arial" w:eastAsia="Arial"/>
          <w:b w:val="0"/>
          <w:color w:val="000000"/>
          <w:sz w:val="22"/>
          <w:u w:val="none"/>
        </w:rPr>
        <w:t>Don't say: "Private credit is the fastest-growing asset class in finance."</w:t>
      </w:r>
    </w:p>
    <w:p>
      <w:pPr>
        <w:spacing w:line="480" w:lineRule="auto" w:before="0" w:after="0"/>
      </w:pPr>
      <w:r>
        <w:rPr>
          <w:rFonts w:ascii="Arial" w:hAnsi="Arial" w:cs="Arial" w:eastAsia="Arial"/>
          <w:b w:val="0"/>
          <w:color w:val="000000"/>
          <w:sz w:val="22"/>
          <w:u w:val="none"/>
        </w:rPr>
        <w:t>Say: "I want to own lending decisions early. I wrote a practice credit memo on a public borrower last month, and proposing the covenant levels was the part that felt like the job I want."</w:t>
      </w:r>
    </w:p>
    <w:p>
      <w:pPr>
        <w:spacing w:line="480" w:lineRule="auto" w:before="0" w:after="0"/>
      </w:pPr>
      <w:r>
        <w:rPr>
          <w:rFonts w:ascii="Arial" w:hAnsi="Arial" w:cs="Arial" w:eastAsia="Arial"/>
          <w:b/>
          <w:color w:val="000000"/>
          <w:sz w:val="22"/>
          <w:u w:val="none"/>
        </w:rPr>
        <w:t>What's the biggest risk in direct lending right now?</w:t>
      </w:r>
    </w:p>
    <w:p>
      <w:pPr>
        <w:spacing w:line="480" w:lineRule="auto" w:before="0" w:after="0"/>
      </w:pPr>
      <w:r>
        <w:rPr>
          <w:rFonts w:ascii="Arial" w:hAnsi="Arial" w:cs="Arial" w:eastAsia="Arial"/>
          <w:b w:val="0"/>
          <w:color w:val="000000"/>
          <w:sz w:val="22"/>
          <w:u w:val="none"/>
        </w:rPr>
        <w:t>Don't say: "Not much, since the loans are senior secured."</w:t>
      </w:r>
    </w:p>
    <w:p>
      <w:pPr>
        <w:spacing w:line="480" w:lineRule="auto" w:before="0" w:after="0"/>
      </w:pPr>
      <w:r>
        <w:rPr>
          <w:rFonts w:ascii="Arial" w:hAnsi="Arial" w:cs="Arial" w:eastAsia="Arial"/>
          <w:b w:val="0"/>
          <w:color w:val="000000"/>
          <w:sz w:val="22"/>
          <w:u w:val="none"/>
        </w:rPr>
        <w:t>Say: "Underwriting discipline under deployment pressure. Platforms that have to put money to work loosen covenants, and the amendment wave of the last two years is what that costs."</w:t>
      </w:r>
    </w:p>
    <w:p>
      <w:pPr>
        <w:spacing w:line="480" w:lineRule="auto" w:before="0" w:after="0"/>
      </w:pPr>
      <w:r>
        <w:rPr>
          <w:rFonts w:ascii="Arial" w:hAnsi="Arial" w:cs="Arial" w:eastAsia="Arial"/>
          <w:b/>
          <w:color w:val="000000"/>
          <w:sz w:val="36"/>
          <w:u w:val="none"/>
        </w:rPr>
        <w:t>This week, if the seat sounds right</w:t>
      </w:r>
    </w:p>
    <w:p>
      <w:pPr>
        <w:spacing w:line="480" w:lineRule="auto" w:before="0" w:after="0"/>
      </w:pPr>
      <w:r>
        <w:rPr>
          <w:rFonts w:ascii="Arial" w:hAnsi="Arial" w:cs="Arial" w:eastAsia="Arial"/>
          <w:b w:val="0"/>
          <w:color w:val="000000"/>
          <w:sz w:val="22"/>
          <w:u w:val="none"/>
        </w:rPr>
        <w:t xml:space="preserve">Map which firms from our top-10 list run 2026 intakes [VERIFY: careers pages]. Order Gatto, start Moyer chapters 1 through 6. Draft the practice credit memo. Message two direct lending analysts through your alumni database and ask what separated the interns who converted. Subscribe to </w:t>
      </w:r>
      <w:hyperlink r:id="rId9">
        <w:r>
          <w:rPr>
            <w:rFonts w:ascii="Arial" w:hAnsi="Arial" w:cs="Arial" w:eastAsia="Arial"/>
            <w:sz w:val="22"/>
            <w:color w:val="0563C1"/>
            <w:u w:val="single"/>
          </w:rPr>
          <w:t xml:space="preserve">Pari Passu</w:t>
        </w:r>
      </w:hyperlink>
      <w:r>
        <w:rPr>
          <w:rFonts w:ascii="Arial" w:hAnsi="Arial" w:cs="Arial" w:eastAsia="Arial"/>
          <w:b w:val="0"/>
          <w:color w:val="000000"/>
          <w:sz w:val="22"/>
          <w:u w:val="none"/>
        </w:rPr>
        <w:t xml:space="preserve"> and read one LME writeup so you can reference a live situation by name.</w:t>
      </w:r>
    </w:p>
    <w:p>
      <w:pPr>
        <w:spacing w:line="480" w:lineRule="auto" w:before="0" w:after="0"/>
      </w:pPr>
      <w:r>
        <w:rPr>
          <w:rFonts w:ascii="Arial" w:hAnsi="Arial" w:cs="Arial" w:eastAsia="Arial"/>
          <w:b w:val="0"/>
          <w:color w:val="000000"/>
          <w:sz w:val="22"/>
          <w:u w:val="none"/>
        </w:rPr>
        <w:t>The applicant pool is still small. The prep that clears it fits in six weeks.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restructuringnewslett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