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Direct Lending vs Investment Banking: Which Career Is Better?</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compares direct lending vs investment banking on the actual work, 2026 pay, hours, exits, and recruiting, with the decision framework.</w:t>
      </w:r>
    </w:p>
    <w:p>
      <w:pPr>
        <w:spacing w:line="480" w:lineRule="auto" w:before="0" w:after="0"/>
      </w:pPr>
      <w:r>
        <w:rPr>
          <w:rFonts w:ascii="Arial" w:hAnsi="Arial" w:cs="Arial" w:eastAsia="Arial"/>
          <w:b w:val="0"/>
          <w:color w:val="000000"/>
          <w:sz w:val="22"/>
          <w:u w:val="none"/>
        </w:rPr>
        <w:t>Here's the same Tuesday in both seats. The IB analyst gets staffed on a sell-side pitch at 10am, updates a comps page all afternoon, gets MD comments at 9pm, and turns them until 1am, for a client who may or may not hire the bank. The direct lending analyst strips sponsor adjustments out of a target's EBITDA in the morning, joins the management call at 2pm with one question of their own, and spends the evening on the downside case for Thursday's committee, with the fund's own capital riding on it.</w:t>
      </w:r>
    </w:p>
    <w:p>
      <w:pPr>
        <w:spacing w:line="480" w:lineRule="auto" w:before="0" w:after="0"/>
      </w:pPr>
      <w:r>
        <w:rPr>
          <w:rFonts w:ascii="Arial" w:hAnsi="Arial" w:cs="Arial" w:eastAsia="Arial"/>
          <w:b w:val="0"/>
          <w:color w:val="000000"/>
          <w:sz w:val="22"/>
          <w:u w:val="none"/>
        </w:rPr>
        <w:t xml:space="preserve">Both are hard jobs that teach real skills. They teach different skills to different people on different clocks, and </w:t>
      </w:r>
      <w:r>
        <w:rPr>
          <w:rFonts w:ascii="Arial" w:hAnsi="Arial" w:cs="Arial" w:eastAsia="Arial"/>
          <w:b/>
          <w:color w:val="000000"/>
          <w:sz w:val="22"/>
          <w:u w:val="none"/>
        </w:rPr>
        <w:t>the right choice depends almost entirely on how certain you already are that credit is the destination.</w:t>
      </w:r>
    </w:p>
    <w:p>
      <w:pPr>
        <w:spacing w:line="480" w:lineRule="auto" w:before="0" w:after="0"/>
      </w:pPr>
      <w:r>
        <w:rPr>
          <w:rFonts w:ascii="Arial" w:hAnsi="Arial" w:cs="Arial" w:eastAsia="Arial"/>
          <w:b/>
          <w:color w:val="000000"/>
          <w:sz w:val="36"/>
          <w:u w:val="none"/>
        </w:rPr>
        <w:t>Is direct lending better than investment banking?</w:t>
      </w:r>
    </w:p>
    <w:p>
      <w:pPr>
        <w:spacing w:line="480" w:lineRule="auto" w:before="0" w:after="0"/>
      </w:pPr>
      <w:r>
        <w:rPr>
          <w:rFonts w:ascii="Arial" w:hAnsi="Arial" w:cs="Arial" w:eastAsia="Arial"/>
          <w:b w:val="0"/>
          <w:color w:val="000000"/>
          <w:sz w:val="22"/>
          <w:u w:val="none"/>
        </w:rPr>
        <w:t>For the student already committed to a credit career: usually yes. Comparable or better pay, 60 to 75 hours against 80 to 100, and the actual job starting at 22 instead of 24. For the student who wants two years of maximum optionality before choosing anything: banking, and it isn't close. Nothing else in finance keeps as many doors open per year worked.</w:t>
      </w:r>
    </w:p>
    <w:p>
      <w:pPr>
        <w:spacing w:line="480" w:lineRule="auto" w:before="0" w:after="0"/>
      </w:pPr>
      <w:r>
        <w:rPr>
          <w:rFonts w:ascii="Arial" w:hAnsi="Arial" w:cs="Arial" w:eastAsia="Arial"/>
          <w:b/>
          <w:color w:val="000000"/>
          <w:sz w:val="36"/>
          <w:u w:val="none"/>
        </w:rPr>
        <w:t>Do direct lending analysts make more than investment bankers?</w:t>
      </w:r>
    </w:p>
    <w:p>
      <w:pPr>
        <w:spacing w:line="480" w:lineRule="auto" w:before="0" w:after="0"/>
      </w:pPr>
      <w:r>
        <w:rPr>
          <w:rFonts w:ascii="Arial" w:hAnsi="Arial" w:cs="Arial" w:eastAsia="Arial"/>
          <w:b w:val="0"/>
          <w:color w:val="000000"/>
          <w:sz w:val="22"/>
          <w:u w:val="none"/>
        </w:rPr>
        <w:t xml:space="preserve">Slightly, at the top platforms. </w:t>
      </w:r>
      <w:r>
        <w:rPr>
          <w:rFonts w:ascii="Arial" w:hAnsi="Arial" w:cs="Arial" w:eastAsia="Arial"/>
          <w:b/>
          <w:color w:val="000000"/>
          <w:sz w:val="22"/>
          <w:u w:val="none"/>
        </w:rPr>
        <w:t>First-year direct lending analysts earn $180,000 to $250,000 all-in against banking's $170,000 to $220,000, on fifteen to twenty-five fewer hours a week.</w:t>
      </w:r>
      <w:r>
        <w:rPr>
          <w:rFonts w:ascii="Arial" w:hAnsi="Arial" w:cs="Arial" w:eastAsia="Arial"/>
          <w:b w:val="0"/>
          <w:color w:val="000000"/>
          <w:sz w:val="22"/>
          <w:u w:val="none"/>
        </w:rPr>
        <w:t xml:space="preserve"> [VERIFY: 2026 figures.] Full ladders for both sit in our Private Credit Salary 2026 breakdown.</w:t>
      </w:r>
    </w:p>
    <w:p>
      <w:pPr>
        <w:spacing w:line="480" w:lineRule="auto" w:before="0" w:after="0"/>
      </w:pPr>
      <w:r>
        <w:rPr>
          <w:rFonts w:ascii="Arial" w:hAnsi="Arial" w:cs="Arial" w:eastAsia="Arial"/>
          <w:b/>
          <w:color w:val="000000"/>
          <w:sz w:val="36"/>
          <w:u w:val="none"/>
        </w:rPr>
        <w:t>What each seat actually trains</w:t>
      </w:r>
    </w:p>
    <w:p>
      <w:pPr>
        <w:spacing w:line="480" w:lineRule="auto" w:before="0" w:after="0"/>
      </w:pPr>
      <w:r>
        <w:rPr>
          <w:rFonts w:ascii="Arial" w:hAnsi="Arial" w:cs="Arial" w:eastAsia="Arial"/>
          <w:b w:val="0"/>
          <w:color w:val="000000"/>
          <w:sz w:val="22"/>
          <w:u w:val="none"/>
        </w:rPr>
        <w:t>Two years of banking builds execution horsepower: modeling speed, document management across a dozen live workstreams, the polish of producing error-free materials under absurd deadlines, and exposure to how transactions get done across sectors. The analyst leaves able to build anything by Friday.</w:t>
      </w:r>
    </w:p>
    <w:p>
      <w:pPr>
        <w:spacing w:line="480" w:lineRule="auto" w:before="0" w:after="0"/>
      </w:pPr>
      <w:r>
        <w:rPr>
          <w:rFonts w:ascii="Arial" w:hAnsi="Arial" w:cs="Arial" w:eastAsia="Arial"/>
          <w:b w:val="0"/>
          <w:color w:val="000000"/>
          <w:sz w:val="22"/>
          <w:u w:val="none"/>
        </w:rPr>
        <w:t>Two years of direct lending builds judgment in one discipline: EBITDA quality analysis, downside-case construction, covenant design, capital structure fluency, and the confidence to recommend passing on a deal with the fund's money at stake. The analyst leaves able to defend a lending decision to a committee.</w:t>
      </w:r>
    </w:p>
    <w:p>
      <w:pPr>
        <w:spacing w:line="480" w:lineRule="auto" w:before="0" w:after="0"/>
      </w:pPr>
      <w:r>
        <w:rPr>
          <w:rFonts w:ascii="Arial" w:hAnsi="Arial" w:cs="Arial" w:eastAsia="Arial"/>
          <w:b/>
          <w:color w:val="000000"/>
          <w:sz w:val="22"/>
          <w:u w:val="none"/>
        </w:rPr>
        <w:t>Banking trains execution breadth and lending trains credit judgment, and no first job trains both at full depth.</w:t>
      </w:r>
      <w:r>
        <w:rPr>
          <w:rFonts w:ascii="Arial" w:hAnsi="Arial" w:cs="Arial" w:eastAsia="Arial"/>
          <w:b w:val="0"/>
          <w:color w:val="000000"/>
          <w:sz w:val="22"/>
          <w:u w:val="none"/>
        </w:rPr>
        <w:t xml:space="preserve"> The mistake is assuming you can fully build both at once, because the seats genuinely allocate your hours differently.</w:t>
      </w:r>
    </w:p>
    <w:p>
      <w:pPr>
        <w:spacing w:line="480" w:lineRule="auto" w:before="0" w:after="0"/>
      </w:pPr>
      <w:r>
        <w:rPr>
          <w:rFonts w:ascii="Arial" w:hAnsi="Arial" w:cs="Arial" w:eastAsia="Arial"/>
          <w:b/>
          <w:color w:val="000000"/>
          <w:sz w:val="36"/>
          <w:u w:val="none"/>
        </w:rPr>
        <w:t>Hours, told honestly</w:t>
      </w:r>
    </w:p>
    <w:p>
      <w:pPr>
        <w:spacing w:line="480" w:lineRule="auto" w:before="0" w:after="0"/>
      </w:pPr>
      <w:r>
        <w:rPr>
          <w:rFonts w:ascii="Arial" w:hAnsi="Arial" w:cs="Arial" w:eastAsia="Arial"/>
          <w:b w:val="0"/>
          <w:color w:val="000000"/>
          <w:sz w:val="22"/>
          <w:u w:val="none"/>
        </w:rPr>
        <w:t>Direct lending's 60 to 75 hours are real working hours with origination spikes. Banking's 80 to 100 include the specific texture that drives attrition: weekend fire drills, comment turns after midnight, vacation interrupted by staffing emails. Credit funds run on committee calendars and reporting cycles, which are demanding on a schedule you can mostly see coming.</w:t>
      </w:r>
    </w:p>
    <w:p>
      <w:pPr>
        <w:spacing w:line="480" w:lineRule="auto" w:before="0" w:after="0"/>
      </w:pPr>
      <w:r>
        <w:rPr>
          <w:rFonts w:ascii="Arial" w:hAnsi="Arial" w:cs="Arial" w:eastAsia="Arial"/>
          <w:b w:val="0"/>
          <w:color w:val="000000"/>
          <w:sz w:val="22"/>
          <w:u w:val="none"/>
        </w:rPr>
        <w:t>One WSG student who has now interned in both described it as: banking felt like being on call, lending felt like having a hard job. Both readings are accurate, and some people genuinely prefer the first, because the intensity comes with pace and variety the portfolio rhythm lacks.</w:t>
      </w:r>
    </w:p>
    <w:p>
      <w:pPr>
        <w:spacing w:line="480" w:lineRule="auto" w:before="0" w:after="0"/>
      </w:pPr>
      <w:r>
        <w:rPr>
          <w:rFonts w:ascii="Arial" w:hAnsi="Arial" w:cs="Arial" w:eastAsia="Arial"/>
          <w:b/>
          <w:color w:val="000000"/>
          <w:sz w:val="36"/>
          <w:u w:val="none"/>
        </w:rPr>
        <w:t>Year one, month by month</w:t>
      </w:r>
    </w:p>
    <w:p>
      <w:pPr>
        <w:spacing w:line="480" w:lineRule="auto" w:before="0" w:after="0"/>
      </w:pPr>
      <w:r>
        <w:rPr>
          <w:rFonts w:ascii="Arial" w:hAnsi="Arial" w:cs="Arial" w:eastAsia="Arial"/>
          <w:b w:val="0"/>
          <w:color w:val="000000"/>
          <w:sz w:val="22"/>
          <w:u w:val="none"/>
        </w:rPr>
        <w:t>The banking analyst's first year: training class in July, first staffing by September, the learning curve of live deals through winter, on-cycle PE recruiting ambushing the calendar as early as the first fall [VERIFY: current on-cycle timing], and by spring, competence that finally makes the hours productive.</w:t>
      </w:r>
    </w:p>
    <w:p>
      <w:pPr>
        <w:spacing w:line="480" w:lineRule="auto" w:before="0" w:after="0"/>
      </w:pPr>
      <w:r>
        <w:rPr>
          <w:rFonts w:ascii="Arial" w:hAnsi="Arial" w:cs="Arial" w:eastAsia="Arial"/>
          <w:b w:val="0"/>
          <w:color w:val="000000"/>
          <w:sz w:val="22"/>
          <w:u w:val="none"/>
        </w:rPr>
        <w:t>The lending analyst's first year: training in July, a first credit memo section by fall, portfolio companies assigned by winter, and by spring, the first underwriting where the downside case is genuinely theirs. No recruiting ambush, because the seat is already the destination.</w:t>
      </w:r>
    </w:p>
    <w:p>
      <w:pPr>
        <w:spacing w:line="480" w:lineRule="auto" w:before="0" w:after="0"/>
      </w:pPr>
      <w:r>
        <w:rPr>
          <w:rFonts w:ascii="Arial" w:hAnsi="Arial" w:cs="Arial" w:eastAsia="Arial"/>
          <w:b w:val="0"/>
          <w:color w:val="000000"/>
          <w:sz w:val="22"/>
          <w:u w:val="none"/>
        </w:rPr>
        <w:t>The difference in the middle of those two paragraphs is the on-cycle sprint, and it's underrated as a decision factor. Banking analysts who want PE interview for their next job months into their first one. Lending analysts just do their job.</w:t>
      </w:r>
    </w:p>
    <w:p>
      <w:pPr>
        <w:spacing w:line="480" w:lineRule="auto" w:before="0" w:after="0"/>
      </w:pPr>
      <w:r>
        <w:rPr>
          <w:rFonts w:ascii="Arial" w:hAnsi="Arial" w:cs="Arial" w:eastAsia="Arial"/>
          <w:b/>
          <w:color w:val="000000"/>
          <w:sz w:val="36"/>
          <w:u w:val="none"/>
        </w:rPr>
        <w:t>The two-path math, with real timelines</w:t>
      </w:r>
    </w:p>
    <w:p>
      <w:pPr>
        <w:spacing w:line="480" w:lineRule="auto" w:before="0" w:after="0"/>
      </w:pPr>
      <w:r>
        <w:rPr>
          <w:rFonts w:ascii="Arial" w:hAnsi="Arial" w:cs="Arial" w:eastAsia="Arial"/>
          <w:b w:val="0"/>
          <w:color w:val="000000"/>
          <w:sz w:val="22"/>
          <w:u w:val="none"/>
        </w:rPr>
        <w:t>Path one, banking first: Summer Analyst at 21, full-time analyst at 22, recruit into credit or PE during years one and two, land the fund seat at 24. Cost: the hardest two years of hours in finance, plus arriving at the credit seat two years later. Benefit: the brand travels everywhere forever, and you chose credit with two years of information instead of none.</w:t>
      </w:r>
    </w:p>
    <w:p>
      <w:pPr>
        <w:spacing w:line="480" w:lineRule="auto" w:before="0" w:after="0"/>
      </w:pPr>
      <w:r>
        <w:rPr>
          <w:rFonts w:ascii="Arial" w:hAnsi="Arial" w:cs="Arial" w:eastAsia="Arial"/>
          <w:b w:val="0"/>
          <w:color w:val="000000"/>
          <w:sz w:val="22"/>
          <w:u w:val="none"/>
        </w:rPr>
        <w:t>Path two, direct lending first: Summer Analyst at 21, credit analyst at 22, underwriting from day one, associate economics by 25. Cost: if your interests drift toward equity-flavored work, the pivot is uphill. Benefit: a two-year head start on the exact career, at better hours, at equal or better pay.</w:t>
      </w:r>
    </w:p>
    <w:p>
      <w:pPr>
        <w:spacing w:line="480" w:lineRule="auto" w:before="0" w:after="0"/>
      </w:pPr>
      <w:r>
        <w:rPr>
          <w:rFonts w:ascii="Arial" w:hAnsi="Arial" w:cs="Arial" w:eastAsia="Arial"/>
          <w:b w:val="0"/>
          <w:color w:val="000000"/>
          <w:sz w:val="22"/>
          <w:u w:val="none"/>
        </w:rPr>
        <w:t>The failure mode isn't either path. It's picking banking by momentum, "keeping options open" as a reflex rather than a reason, and then discovering at 24 that the seat you wanted was available at 22. If you can already articulate why credit, the detour costs more than it protects.</w:t>
      </w:r>
    </w:p>
    <w:p>
      <w:pPr>
        <w:spacing w:line="480" w:lineRule="auto" w:before="0" w:after="0"/>
      </w:pPr>
      <w:r>
        <w:rPr>
          <w:rFonts w:ascii="Arial" w:hAnsi="Arial" w:cs="Arial" w:eastAsia="Arial"/>
          <w:b/>
          <w:color w:val="000000"/>
          <w:sz w:val="36"/>
          <w:u w:val="none"/>
        </w:rPr>
        <w:t>Recruiting: same calendar, different funnels, different tests</w:t>
      </w:r>
    </w:p>
    <w:p>
      <w:pPr>
        <w:spacing w:line="480" w:lineRule="auto" w:before="0" w:after="0"/>
      </w:pPr>
      <w:r>
        <w:rPr>
          <w:rFonts w:ascii="Arial" w:hAnsi="Arial" w:cs="Arial" w:eastAsia="Arial"/>
          <w:b w:val="0"/>
          <w:color w:val="000000"/>
          <w:sz w:val="22"/>
          <w:u w:val="none"/>
        </w:rPr>
        <w:t>Both open applications in sophomore fall for junior-summer internships [VERIFY: cycle dates]. Banking's funnel is huge on both sides: hundreds of seats per bank, tens of thousands of applicants, and a process optimized for volume. Direct lending's funnel is small on both sides: classes of 15 to 40 at funds, against an applicant pool thinned by the fact that most students have never heard of Golub Capital or Antares.</w:t>
      </w:r>
    </w:p>
    <w:p>
      <w:pPr>
        <w:spacing w:line="480" w:lineRule="auto" w:before="0" w:after="0"/>
      </w:pPr>
      <w:r>
        <w:rPr>
          <w:rFonts w:ascii="Arial" w:hAnsi="Arial" w:cs="Arial" w:eastAsia="Arial"/>
          <w:b w:val="0"/>
          <w:color w:val="000000"/>
          <w:sz w:val="22"/>
          <w:u w:val="none"/>
        </w:rPr>
        <w:t>The interviews overlap on accounting and valuation, then split. Banking rounds test polish at volume: rapid technicals, behaviorals, the second-derivative follow-ups on DCF and accretion math. Lending rounds add the credit layer: cap table reading, leverage and coverage ratios, covenant mechanics, and the would-you-lend question where the winning answer is a structured framework rather than enthusiasm. Our 20 Private Credit Interview Questions maps that layer question by question.</w:t>
      </w:r>
    </w:p>
    <w:p>
      <w:pPr>
        <w:spacing w:line="480" w:lineRule="auto" w:before="0" w:after="0"/>
      </w:pPr>
      <w:r>
        <w:rPr>
          <w:rFonts w:ascii="Arial" w:hAnsi="Arial" w:cs="Arial" w:eastAsia="Arial"/>
          <w:b w:val="0"/>
          <w:color w:val="000000"/>
          <w:sz w:val="22"/>
          <w:u w:val="none"/>
        </w:rPr>
        <w:t>Prep overlap runs about 70 percent, which sets up the actual strategy: apply to both. The incremental cost is a few essays, and interviewing in both funnels is the cheapest way to learn which work your brain prefers.</w:t>
      </w:r>
    </w:p>
    <w:p>
      <w:pPr>
        <w:spacing w:line="480" w:lineRule="auto" w:before="0" w:after="0"/>
      </w:pPr>
      <w:r>
        <w:rPr>
          <w:rFonts w:ascii="Arial" w:hAnsi="Arial" w:cs="Arial" w:eastAsia="Arial"/>
          <w:b/>
          <w:color w:val="000000"/>
          <w:sz w:val="36"/>
          <w:u w:val="none"/>
        </w:rPr>
        <w:t>A self-test that costs one weekend</w:t>
      </w:r>
    </w:p>
    <w:p>
      <w:pPr>
        <w:spacing w:line="480" w:lineRule="auto" w:before="0" w:after="0"/>
      </w:pPr>
      <w:r>
        <w:rPr>
          <w:rFonts w:ascii="Arial" w:hAnsi="Arial" w:cs="Arial" w:eastAsia="Arial"/>
          <w:b w:val="0"/>
          <w:color w:val="000000"/>
          <w:sz w:val="22"/>
          <w:u w:val="none"/>
        </w:rPr>
        <w:t>Before either application, run the experiment that predicts satisfaction better than any comparison article. Pick a public middle-market company. Saturday, build the banker's view: a one-page profile with valuation comps and the strategic story you'd pitch. Sunday, build the lender's view: leverage, coverage, the covenant package you'd demand, and the downside case that would make you pass.</w:t>
      </w:r>
    </w:p>
    <w:p>
      <w:pPr>
        <w:spacing w:line="480" w:lineRule="auto" w:before="0" w:after="0"/>
      </w:pPr>
      <w:r>
        <w:rPr>
          <w:rFonts w:ascii="Arial" w:hAnsi="Arial" w:cs="Arial" w:eastAsia="Arial"/>
          <w:b w:val="0"/>
          <w:color w:val="000000"/>
          <w:sz w:val="22"/>
          <w:u w:val="none"/>
        </w:rPr>
        <w:t>Then notice three things. Which day went faster. Which output you were prouder of. And which analysis you kept thinking about after closing the laptop. Students who run this test report that the answer was obvious within hours, and it's the cheapest piece of career information available at 20.</w:t>
      </w:r>
    </w:p>
    <w:p>
      <w:pPr>
        <w:spacing w:line="480" w:lineRule="auto" w:before="0" w:after="0"/>
      </w:pPr>
      <w:r>
        <w:rPr>
          <w:rFonts w:ascii="Arial" w:hAnsi="Arial" w:cs="Arial" w:eastAsia="Arial"/>
          <w:b/>
          <w:color w:val="000000"/>
          <w:sz w:val="36"/>
          <w:u w:val="none"/>
        </w:rPr>
        <w:t>The hybrid: bank credit desks</w:t>
      </w:r>
    </w:p>
    <w:p>
      <w:pPr>
        <w:spacing w:line="480" w:lineRule="auto" w:before="0" w:after="0"/>
      </w:pPr>
      <w:r>
        <w:rPr>
          <w:rFonts w:ascii="Arial" w:hAnsi="Arial" w:cs="Arial" w:eastAsia="Arial"/>
          <w:b w:val="0"/>
          <w:color w:val="000000"/>
          <w:sz w:val="22"/>
          <w:u w:val="none"/>
        </w:rPr>
        <w:t>JPMorgan, Goldman Sachs, and Morgan Stanley run direct lending platforms inside the bank, hiring through the standard Summer Analyst funnel [VERIFY: placement mechanics]. The trade: bank-scale pay, roughly $170,000 to $220,000 all-in for first-years [VERIFY], with the brand and training infrastructure attached, doing work that's closer to fund-side underwriting than to advisory banking.</w:t>
      </w:r>
    </w:p>
    <w:p>
      <w:pPr>
        <w:spacing w:line="480" w:lineRule="auto" w:before="0" w:after="0"/>
      </w:pPr>
      <w:r>
        <w:rPr>
          <w:rFonts w:ascii="Arial" w:hAnsi="Arial" w:cs="Arial" w:eastAsia="Arial"/>
          <w:b w:val="0"/>
          <w:color w:val="000000"/>
          <w:sz w:val="22"/>
          <w:u w:val="none"/>
        </w:rPr>
        <w:t>It fits two profiles: the student who leans credit but wants the bank name insurance, and the student whose fund applications missed while the bank process stayed live. The one thing to nail down before signing is placement, because an offer to the bank is not an offer to the credit desk, and team-matching mechanics differ by bank.</w:t>
      </w:r>
    </w:p>
    <w:p>
      <w:pPr>
        <w:spacing w:line="480" w:lineRule="auto" w:before="0" w:after="0"/>
      </w:pPr>
      <w:r>
        <w:rPr>
          <w:rFonts w:ascii="Arial" w:hAnsi="Arial" w:cs="Arial" w:eastAsia="Arial"/>
          <w:b/>
          <w:color w:val="000000"/>
          <w:sz w:val="36"/>
          <w:u w:val="none"/>
        </w:rPr>
        <w:t>Exits, mapped</w:t>
      </w:r>
    </w:p>
    <w:p>
      <w:pPr>
        <w:spacing w:line="480" w:lineRule="auto" w:before="0" w:after="0"/>
      </w:pPr>
      <w:r>
        <w:rPr>
          <w:rFonts w:ascii="Arial" w:hAnsi="Arial" w:cs="Arial" w:eastAsia="Arial"/>
          <w:b/>
          <w:color w:val="000000"/>
          <w:sz w:val="22"/>
          <w:u w:val="none"/>
        </w:rPr>
        <w:t>Banking buys the widest exit map in finance, and direct lending buys the deepest seat in a growing asset class.</w:t>
      </w:r>
      <w:r>
        <w:rPr>
          <w:rFonts w:ascii="Arial" w:hAnsi="Arial" w:cs="Arial" w:eastAsia="Arial"/>
          <w:b w:val="0"/>
          <w:color w:val="000000"/>
          <w:sz w:val="22"/>
          <w:u w:val="none"/>
        </w:rPr>
        <w:t xml:space="preserve"> From banking: PE, growth equity, hedge funds, corporate development, startups, business school, other banks. That breadth is the entire case for the seat.</w:t>
      </w:r>
    </w:p>
    <w:p>
      <w:pPr>
        <w:spacing w:line="480" w:lineRule="auto" w:before="0" w:after="0"/>
      </w:pPr>
      <w:r>
        <w:rPr>
          <w:rFonts w:ascii="Arial" w:hAnsi="Arial" w:cs="Arial" w:eastAsia="Arial"/>
          <w:b w:val="0"/>
          <w:color w:val="000000"/>
          <w:sz w:val="22"/>
          <w:u w:val="none"/>
        </w:rPr>
        <w:t>From direct lending: larger credit platforms, mega-fund credit arms, distressed funds like Elliott and Davidson Kempner, BDC leadership tracks, and the stressed-credit seats that multiplied through the LME era. Deep and well-paid, narrower by design. Moving from lending into PE happens, and it requires re-proving equity skills the banker gets presumed.</w:t>
      </w:r>
    </w:p>
    <w:p>
      <w:pPr>
        <w:spacing w:line="480" w:lineRule="auto" w:before="0" w:after="0"/>
      </w:pPr>
      <w:r>
        <w:rPr>
          <w:rFonts w:ascii="Arial" w:hAnsi="Arial" w:cs="Arial" w:eastAsia="Arial"/>
          <w:b w:val="0"/>
          <w:color w:val="000000"/>
          <w:sz w:val="22"/>
          <w:u w:val="none"/>
        </w:rPr>
        <w:t>A useful asymmetry hides in the timing: PE recruits banking analysts through a compressed on-cycle sprint that starts months into the first year, while credit funds hire year-round. The banking analyst targeting credit recruits on a humane clock. The banking analyst targeting PE does not.</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Why direct lending instead of banking?</w:t>
      </w:r>
      <w:r>
        <w:rPr>
          <w:rFonts w:ascii="Arial" w:hAnsi="Arial" w:cs="Arial" w:eastAsia="Arial"/>
          <w:b w:val="0"/>
          <w:color w:val="000000"/>
          <w:sz w:val="22"/>
          <w:u w:val="none"/>
        </w:rPr>
        <w:t xml:space="preserve"> (at a fund)</w:t>
      </w:r>
    </w:p>
    <w:p>
      <w:pPr>
        <w:spacing w:line="480" w:lineRule="auto" w:before="0" w:after="0"/>
      </w:pPr>
      <w:r>
        <w:rPr>
          <w:rFonts w:ascii="Arial" w:hAnsi="Arial" w:cs="Arial" w:eastAsia="Arial"/>
          <w:b w:val="0"/>
          <w:color w:val="000000"/>
          <w:sz w:val="22"/>
          <w:u w:val="none"/>
        </w:rPr>
        <w:t>Don't say: "The hours are better and the pay is the same."</w:t>
      </w:r>
    </w:p>
    <w:p>
      <w:pPr>
        <w:spacing w:line="480" w:lineRule="auto" w:before="0" w:after="0"/>
      </w:pPr>
      <w:r>
        <w:rPr>
          <w:rFonts w:ascii="Arial" w:hAnsi="Arial" w:cs="Arial" w:eastAsia="Arial"/>
          <w:b w:val="0"/>
          <w:color w:val="000000"/>
          <w:sz w:val="22"/>
          <w:u w:val="none"/>
        </w:rPr>
        <w:t>Say: "I want to own credit decisions rather than support transactions. I've drafted a practice memo on a real borrower, and the covenant-structuring section is the work I want reps in."</w:t>
      </w:r>
    </w:p>
    <w:p>
      <w:pPr>
        <w:spacing w:line="480" w:lineRule="auto" w:before="0" w:after="0"/>
      </w:pPr>
      <w:r>
        <w:rPr>
          <w:rFonts w:ascii="Arial" w:hAnsi="Arial" w:cs="Arial" w:eastAsia="Arial"/>
          <w:b/>
          <w:color w:val="000000"/>
          <w:sz w:val="22"/>
          <w:u w:val="none"/>
        </w:rPr>
        <w:t>Why banking instead of a fund seat?</w:t>
      </w:r>
      <w:r>
        <w:rPr>
          <w:rFonts w:ascii="Arial" w:hAnsi="Arial" w:cs="Arial" w:eastAsia="Arial"/>
          <w:b w:val="0"/>
          <w:color w:val="000000"/>
          <w:sz w:val="22"/>
          <w:u w:val="none"/>
        </w:rPr>
        <w:t xml:space="preserve"> (at a bank)</w:t>
      </w:r>
    </w:p>
    <w:p>
      <w:pPr>
        <w:spacing w:line="480" w:lineRule="auto" w:before="0" w:after="0"/>
      </w:pPr>
      <w:r>
        <w:rPr>
          <w:rFonts w:ascii="Arial" w:hAnsi="Arial" w:cs="Arial" w:eastAsia="Arial"/>
          <w:b w:val="0"/>
          <w:color w:val="000000"/>
          <w:sz w:val="22"/>
          <w:u w:val="none"/>
        </w:rPr>
        <w:t>Don't say: "Banking keeps my options open."</w:t>
      </w:r>
    </w:p>
    <w:p>
      <w:pPr>
        <w:spacing w:line="480" w:lineRule="auto" w:before="0" w:after="0"/>
      </w:pPr>
      <w:r>
        <w:rPr>
          <w:rFonts w:ascii="Arial" w:hAnsi="Arial" w:cs="Arial" w:eastAsia="Arial"/>
          <w:b w:val="0"/>
          <w:color w:val="000000"/>
          <w:sz w:val="22"/>
          <w:u w:val="none"/>
        </w:rPr>
        <w:t>Say: "I want transaction reps at volume across sectors before I specialize, and this group's deal flow is the fastest way to build that base."</w:t>
      </w:r>
    </w:p>
    <w:p>
      <w:pPr>
        <w:spacing w:line="480" w:lineRule="auto" w:before="0" w:after="0"/>
      </w:pPr>
      <w:r>
        <w:rPr>
          <w:rFonts w:ascii="Arial" w:hAnsi="Arial" w:cs="Arial" w:eastAsia="Arial"/>
          <w:b/>
          <w:color w:val="000000"/>
          <w:sz w:val="36"/>
          <w:u w:val="none"/>
        </w:rPr>
        <w:t>The verdict</w:t>
      </w:r>
    </w:p>
    <w:p>
      <w:pPr>
        <w:spacing w:line="480" w:lineRule="auto" w:before="0" w:after="0"/>
      </w:pPr>
      <w:r>
        <w:rPr>
          <w:rFonts w:ascii="Arial" w:hAnsi="Arial" w:cs="Arial" w:eastAsia="Arial"/>
          <w:b w:val="0"/>
          <w:color w:val="000000"/>
          <w:sz w:val="22"/>
          <w:u w:val="none"/>
        </w:rPr>
        <w:t>Better is the wrong question; better-for-you is answerable. Already sure about credit: take the lending seat, bank the extra hours as a head start, and don't look back. Genuinely unsure: take banking, pay the hours as tuition for optionality, and use the two years to decide with real information. Somewhere between: the bank credit desks exist for exactly you.</w:t>
      </w:r>
    </w:p>
    <w:p>
      <w:pPr>
        <w:spacing w:line="480" w:lineRule="auto" w:before="0" w:after="0"/>
      </w:pPr>
      <w:r>
        <w:rPr>
          <w:rFonts w:ascii="Arial" w:hAnsi="Arial" w:cs="Arial" w:eastAsia="Arial"/>
          <w:b w:val="0"/>
          <w:color w:val="000000"/>
          <w:sz w:val="22"/>
          <w:u w:val="none"/>
        </w:rPr>
        <w:t>And if you're a sophomore reading this in application season, the practical answer is simpler than the philosophical one: apply to both funnels, prep the shared 70 percent once, and let the interviews cast the deciding vote.</w:t>
      </w:r>
    </w:p>
    <w:p>
      <w:pPr>
        <w:spacing w:line="480" w:lineRule="auto" w:before="0" w:after="0"/>
      </w:pPr>
      <w:r>
        <w:rPr>
          <w:rFonts w:ascii="Arial" w:hAnsi="Arial" w:cs="Arial" w:eastAsia="Arial"/>
          <w:b w:val="0"/>
          <w:color w:val="000000"/>
          <w:sz w:val="22"/>
          <w:u w:val="none"/>
        </w:rPr>
        <w:t>Regret, for what it's worth, runs asymmetrically in the WSG students I've watched make this call. The bankers who wanted credit regret the detour's cost in hours more than its length. The lenders who drifted toward equity work regret the narrowness earlier. Nobody regrets having interviewed in both funnels, which is the cheapest insurance this decision offers.</w:t>
      </w:r>
    </w:p>
    <w:p>
      <w:pPr>
        <w:spacing w:line="480" w:lineRule="auto" w:before="0" w:after="0"/>
      </w:pPr>
      <w:r>
        <w:rPr>
          <w:rFonts w:ascii="Arial" w:hAnsi="Arial" w:cs="Arial" w:eastAsia="Arial"/>
          <w:b/>
          <w:color w:val="000000"/>
          <w:sz w:val="36"/>
          <w:u w:val="none"/>
        </w:rPr>
        <w:t>If you're reading this as a junior or senior</w:t>
      </w:r>
    </w:p>
    <w:p>
      <w:pPr>
        <w:spacing w:line="480" w:lineRule="auto" w:before="0" w:after="0"/>
      </w:pPr>
      <w:r>
        <w:rPr>
          <w:rFonts w:ascii="Arial" w:hAnsi="Arial" w:cs="Arial" w:eastAsia="Arial"/>
          <w:b w:val="0"/>
          <w:color w:val="000000"/>
          <w:sz w:val="22"/>
          <w:u w:val="none"/>
        </w:rPr>
        <w:t>The sophomore-fall framing assumes time you may not have. Later starts change tactics, not destinations. Juniors who missed the SA windows should target the dedicated lenders with rolling intakes and the full-time analyst postings that appear each fall, where the applicant pool thins further [VERIFY: current postings]. Seniors holding banking offers can simply take them and run credit recruiting from inside, on the year-round calendar that makes the transition forgiving. And anyone already in a banking seat wondering whether the switch is worth it should reread the hours math above with their own timesheet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