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The Ultimate Comparison: Equity Research vs Investment Banking</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equity research vs investment banking: day-to-day, recruiting, comp, exits, hours, and which path actually fits.</w:t>
      </w:r>
    </w:p>
    <w:p>
      <w:pPr>
        <w:spacing w:line="480" w:lineRule="auto" w:before="0" w:after="0"/>
      </w:pPr>
      <w:r>
        <w:rPr>
          <w:rFonts w:ascii="Arial" w:hAnsi="Arial" w:cs="Arial" w:eastAsia="Arial"/>
          <w:b w:val="0"/>
          <w:color w:val="000000"/>
          <w:sz w:val="22"/>
          <w:u w:val="none"/>
        </w:rPr>
        <w:t>A sophomore I worked with at WSG last cycle, call him D, had a Goldman IB offer in one hand and a Morgan Stanley equity research offer in the other and called me asking which to take. The answer wasn't obvious. Different work, different exits, different hours, different ceiling on pay.</w:t>
      </w:r>
    </w:p>
    <w:p>
      <w:pPr>
        <w:spacing w:line="480" w:lineRule="auto" w:before="0" w:after="0"/>
      </w:pPr>
      <w:r>
        <w:rPr>
          <w:rFonts w:ascii="Arial" w:hAnsi="Arial" w:cs="Arial" w:eastAsia="Arial"/>
          <w:b w:val="0"/>
          <w:color w:val="000000"/>
          <w:sz w:val="22"/>
          <w:u w:val="none"/>
        </w:rPr>
        <w:t>Most undergrads default to investment banking because it's louder. This guide breaks down the comparison the way I broke it down with D, so you can pick on what you actually want from your week.</w:t>
      </w:r>
    </w:p>
    <w:p>
      <w:pPr>
        <w:spacing w:line="480" w:lineRule="auto" w:before="0" w:after="0"/>
      </w:pPr>
      <w:r>
        <w:rPr>
          <w:rFonts w:ascii="Arial" w:hAnsi="Arial" w:cs="Arial" w:eastAsia="Arial"/>
          <w:b/>
          <w:color w:val="000000"/>
          <w:sz w:val="36"/>
          <w:u w:val="none"/>
        </w:rPr>
        <w:t>What's the difference between equity research and investment banking?</w:t>
      </w:r>
    </w:p>
    <w:p>
      <w:pPr>
        <w:spacing w:line="480" w:lineRule="auto" w:before="0" w:after="0"/>
      </w:pPr>
      <w:r>
        <w:rPr>
          <w:rFonts w:ascii="Arial" w:hAnsi="Arial" w:cs="Arial" w:eastAsia="Arial"/>
          <w:b w:val="0"/>
          <w:color w:val="000000"/>
          <w:sz w:val="22"/>
          <w:u w:val="none"/>
        </w:rPr>
        <w:t>Investment banking is transaction advisory. You build models and decks to support M&amp;A deals, equity issuances, debt financings, and restructurings. Your client is the company. Your output is a closed transaction.</w:t>
      </w:r>
    </w:p>
    <w:p>
      <w:pPr>
        <w:spacing w:line="480" w:lineRule="auto" w:before="0" w:after="0"/>
      </w:pPr>
      <w:r>
        <w:rPr>
          <w:rFonts w:ascii="Arial" w:hAnsi="Arial" w:cs="Arial" w:eastAsia="Arial"/>
          <w:b w:val="0"/>
          <w:color w:val="000000"/>
          <w:sz w:val="22"/>
          <w:u w:val="none"/>
        </w:rPr>
        <w:t>Equity research is public-markets analysis. You cover a set of publicly traded companies, write research reports with buy / sell / hold recommendations, and talk to the institutional investors who pay your firm for those views. Your client is the buy-side investor. Your output is a view.</w:t>
      </w:r>
    </w:p>
    <w:p>
      <w:pPr>
        <w:spacing w:line="480" w:lineRule="auto" w:before="0" w:after="0"/>
      </w:pPr>
      <w:r>
        <w:rPr>
          <w:rFonts w:ascii="Arial" w:hAnsi="Arial" w:cs="Arial" w:eastAsia="Arial"/>
          <w:b w:val="0"/>
          <w:color w:val="000000"/>
          <w:sz w:val="22"/>
          <w:u w:val="none"/>
        </w:rPr>
        <w:t>The two seats sit on the same trading floor at most banks. They do almost completely different work.</w:t>
      </w:r>
    </w:p>
    <w:p>
      <w:pPr>
        <w:spacing w:line="480" w:lineRule="auto" w:before="0" w:after="0"/>
      </w:pPr>
      <w:r>
        <w:rPr>
          <w:rFonts w:ascii="Arial" w:hAnsi="Arial" w:cs="Arial" w:eastAsia="Arial"/>
          <w:b/>
          <w:color w:val="000000"/>
          <w:sz w:val="36"/>
          <w:u w:val="none"/>
        </w:rPr>
        <w:t>Which one pays more out of undergrad?</w:t>
      </w:r>
    </w:p>
    <w:p>
      <w:pPr>
        <w:spacing w:line="480" w:lineRule="auto" w:before="0" w:after="0"/>
      </w:pPr>
      <w:r>
        <w:rPr>
          <w:rFonts w:ascii="Arial" w:hAnsi="Arial" w:cs="Arial" w:eastAsia="Arial"/>
          <w:b w:val="0"/>
          <w:color w:val="000000"/>
          <w:sz w:val="22"/>
          <w:u w:val="none"/>
        </w:rPr>
        <w:t>Investment banking, by roughly 10 to 20 percent at the analyst level. IB Investment Banking Summer Analyst and first-year analyst pay at the bulge brackets in 2026 runs around $110k to $130k base plus a $30k to $50k signing and stub bonus. Equity research runs around $95k to $115k base plus a smaller bonus.</w:t>
      </w:r>
    </w:p>
    <w:p>
      <w:pPr>
        <w:spacing w:line="480" w:lineRule="auto" w:before="0" w:after="0"/>
      </w:pPr>
      <w:r>
        <w:rPr>
          <w:rFonts w:ascii="Arial" w:hAnsi="Arial" w:cs="Arial" w:eastAsia="Arial"/>
          <w:b w:val="0"/>
          <w:color w:val="000000"/>
          <w:sz w:val="22"/>
          <w:u w:val="none"/>
        </w:rPr>
        <w:t xml:space="preserve">The gap narrows materially at the associate level. </w:t>
      </w:r>
      <w:r>
        <w:rPr>
          <w:rFonts w:ascii="Arial" w:hAnsi="Arial" w:cs="Arial" w:eastAsia="Arial"/>
          <w:b/>
          <w:color w:val="000000"/>
          <w:sz w:val="22"/>
          <w:u w:val="none"/>
        </w:rPr>
        <w:t>Top-ranked equity research analysts at the Institutional Investor ranked level can earn $1M-plus all-in within seven to ten years.</w:t>
      </w:r>
      <w:r>
        <w:rPr>
          <w:rFonts w:ascii="Arial" w:hAnsi="Arial" w:cs="Arial" w:eastAsia="Arial"/>
          <w:b w:val="0"/>
          <w:color w:val="000000"/>
          <w:sz w:val="22"/>
          <w:u w:val="none"/>
        </w:rPr>
        <w:t xml:space="preserve"> The catch is that those seats are rare and the rankings determine everything.</w:t>
      </w:r>
    </w:p>
    <w:p>
      <w:pPr>
        <w:spacing w:line="480" w:lineRule="auto" w:before="0" w:after="0"/>
      </w:pPr>
      <w:r>
        <w:rPr>
          <w:rFonts w:ascii="Arial" w:hAnsi="Arial" w:cs="Arial" w:eastAsia="Arial"/>
          <w:b/>
          <w:color w:val="000000"/>
          <w:sz w:val="36"/>
          <w:u w:val="none"/>
        </w:rPr>
        <w:t>1. The work itself is the biggest difference and most candidates underweight it</w:t>
      </w:r>
    </w:p>
    <w:p>
      <w:pPr>
        <w:spacing w:line="480" w:lineRule="auto" w:before="0" w:after="0"/>
      </w:pPr>
      <w:r>
        <w:rPr>
          <w:rFonts w:ascii="Arial" w:hAnsi="Arial" w:cs="Arial" w:eastAsia="Arial"/>
          <w:b w:val="0"/>
          <w:color w:val="000000"/>
          <w:sz w:val="22"/>
          <w:u w:val="none"/>
        </w:rPr>
        <w:t>IB analysts spend their week on three things: building three-statement models and DCFs, formatting pitchbooks in PowerPoint, and turning around comments from the VP and MD at hours that make daylight feel theoretical. The work cadence is project-driven. You're on a deal for six to twelve weeks. You grind, you close, you move to the next one.</w:t>
      </w:r>
    </w:p>
    <w:p>
      <w:pPr>
        <w:spacing w:line="480" w:lineRule="auto" w:before="0" w:after="0"/>
      </w:pPr>
      <w:r>
        <w:rPr>
          <w:rFonts w:ascii="Arial" w:hAnsi="Arial" w:cs="Arial" w:eastAsia="Arial"/>
          <w:b w:val="0"/>
          <w:color w:val="000000"/>
          <w:sz w:val="22"/>
          <w:u w:val="none"/>
        </w:rPr>
        <w:t>ER analysts run a different rhythm.</w:t>
      </w:r>
    </w:p>
    <w:p>
      <w:pPr>
        <w:spacing w:line="480" w:lineRule="auto" w:before="0" w:after="0"/>
      </w:pPr>
      <w:r>
        <w:rPr>
          <w:rFonts w:ascii="Arial" w:hAnsi="Arial" w:cs="Arial" w:eastAsia="Arial"/>
          <w:b w:val="0"/>
          <w:color w:val="000000"/>
          <w:sz w:val="22"/>
          <w:u w:val="none"/>
        </w:rPr>
        <w:t>Earnings season is the focal point. You publish a note ahead of the quarter, sit on the earnings call, publish a reaction note within hours, and take inbound from buy-side investors who want your view. Between earnings seasons you're talking to management teams, attending sector conferences, and building idea pipelines.</w:t>
      </w:r>
    </w:p>
    <w:p>
      <w:pPr>
        <w:spacing w:line="480" w:lineRule="auto" w:before="0" w:after="0"/>
      </w:pPr>
      <w:r>
        <w:rPr>
          <w:rFonts w:ascii="Arial" w:hAnsi="Arial" w:cs="Arial" w:eastAsia="Arial"/>
          <w:b/>
          <w:color w:val="000000"/>
          <w:sz w:val="22"/>
          <w:u w:val="none"/>
        </w:rPr>
        <w:t>The IB analyst measures their week in pitchbook pages. The ER analyst measures their week in published notes and buy-side calls.</w:t>
      </w:r>
    </w:p>
    <w:p>
      <w:pPr>
        <w:spacing w:line="480" w:lineRule="auto" w:before="0" w:after="0"/>
      </w:pPr>
      <w:r>
        <w:rPr>
          <w:rFonts w:ascii="Arial" w:hAnsi="Arial" w:cs="Arial" w:eastAsia="Arial"/>
          <w:b w:val="0"/>
          <w:color w:val="000000"/>
          <w:sz w:val="22"/>
          <w:u w:val="none"/>
        </w:rPr>
        <w:t>D ended up choosing ER at MS because the work itself fit him better. He's a sector-curious reader. Pitchbook formatting bored him. He wanted to spend his week forming views.</w:t>
      </w:r>
    </w:p>
    <w:p>
      <w:pPr>
        <w:spacing w:line="480" w:lineRule="auto" w:before="0" w:after="0"/>
      </w:pPr>
      <w:r>
        <w:rPr>
          <w:rFonts w:ascii="Arial" w:hAnsi="Arial" w:cs="Arial" w:eastAsia="Arial"/>
          <w:b/>
          <w:color w:val="000000"/>
          <w:sz w:val="36"/>
          <w:u w:val="none"/>
        </w:rPr>
        <w:t>2. Recruiting timelines look similar but the funnels are very different</w:t>
      </w:r>
    </w:p>
    <w:p>
      <w:pPr>
        <w:spacing w:line="480" w:lineRule="auto" w:before="0" w:after="0"/>
      </w:pPr>
      <w:r>
        <w:rPr>
          <w:rFonts w:ascii="Arial" w:hAnsi="Arial" w:cs="Arial" w:eastAsia="Arial"/>
          <w:b w:val="0"/>
          <w:color w:val="000000"/>
          <w:sz w:val="22"/>
          <w:u w:val="none"/>
        </w:rPr>
        <w:t>Both IB and ER recruit on the standard sophomore-fall to summer-after-junior cycle. Applications open in fall of sophomore year, close in spring, with interviews running through winter and spring.</w:t>
      </w:r>
    </w:p>
    <w:p>
      <w:pPr>
        <w:spacing w:line="480" w:lineRule="auto" w:before="0" w:after="0"/>
      </w:pPr>
      <w:r>
        <w:rPr>
          <w:rFonts w:ascii="Arial" w:hAnsi="Arial" w:cs="Arial" w:eastAsia="Arial"/>
          <w:b w:val="0"/>
          <w:color w:val="000000"/>
          <w:sz w:val="22"/>
          <w:u w:val="none"/>
        </w:rPr>
        <w:t>The funnel sizes are not similar. A typical bulge bracket IB SA class is 100 to 200 seats across the firm. The ER SA class at the same bank is closer to 15 to 30.</w:t>
      </w:r>
    </w:p>
    <w:p>
      <w:pPr>
        <w:spacing w:line="480" w:lineRule="auto" w:before="0" w:after="0"/>
      </w:pPr>
      <w:r>
        <w:rPr>
          <w:rFonts w:ascii="Arial" w:hAnsi="Arial" w:cs="Arial" w:eastAsia="Arial"/>
          <w:b/>
          <w:color w:val="000000"/>
          <w:sz w:val="22"/>
          <w:u w:val="none"/>
        </w:rPr>
        <w:t>Equity research recruiting is materially more competitive per seat than IB recruiting, even though the application volume is lower.</w:t>
      </w:r>
    </w:p>
    <w:p>
      <w:pPr>
        <w:spacing w:line="480" w:lineRule="auto" w:before="0" w:after="0"/>
      </w:pPr>
      <w:r>
        <w:rPr>
          <w:rFonts w:ascii="Arial" w:hAnsi="Arial" w:cs="Arial" w:eastAsia="Arial"/>
          <w:b w:val="0"/>
          <w:color w:val="000000"/>
          <w:sz w:val="22"/>
          <w:u w:val="none"/>
        </w:rPr>
        <w:t>The interview process is more stock-pitch heavy and less technical-drilling heavy than IB. If you want ER, prep a stock pitch the way an IB candidate preps technicals.</w:t>
      </w:r>
    </w:p>
    <w:p>
      <w:pPr>
        <w:spacing w:line="480" w:lineRule="auto" w:before="0" w:after="0"/>
      </w:pPr>
      <w:r>
        <w:rPr>
          <w:rFonts w:ascii="Arial" w:hAnsi="Arial" w:cs="Arial" w:eastAsia="Arial"/>
          <w:b/>
          <w:color w:val="000000"/>
          <w:sz w:val="36"/>
          <w:u w:val="none"/>
        </w:rPr>
        <w:t>3. Hours are not close and your weekend depends on it</w:t>
      </w:r>
    </w:p>
    <w:p>
      <w:pPr>
        <w:spacing w:line="480" w:lineRule="auto" w:before="0" w:after="0"/>
      </w:pPr>
      <w:r>
        <w:rPr>
          <w:rFonts w:ascii="Arial" w:hAnsi="Arial" w:cs="Arial" w:eastAsia="Arial"/>
          <w:b w:val="0"/>
          <w:color w:val="000000"/>
          <w:sz w:val="22"/>
          <w:u w:val="none"/>
        </w:rPr>
        <w:t>IB analyst weeks run 75 to 100 hours in deal-heavy periods. Weekends are usually working.</w:t>
      </w:r>
    </w:p>
    <w:p>
      <w:pPr>
        <w:spacing w:line="480" w:lineRule="auto" w:before="0" w:after="0"/>
      </w:pPr>
      <w:r>
        <w:rPr>
          <w:rFonts w:ascii="Arial" w:hAnsi="Arial" w:cs="Arial" w:eastAsia="Arial"/>
          <w:b w:val="0"/>
          <w:color w:val="000000"/>
          <w:sz w:val="22"/>
          <w:u w:val="none"/>
        </w:rPr>
        <w:t>ER analyst weeks run 55 to 70 hours in earnings seasons and drop to 40 to 55 in slower periods. Weekends are usually free.</w:t>
      </w:r>
    </w:p>
    <w:p>
      <w:pPr>
        <w:spacing w:line="480" w:lineRule="auto" w:before="0" w:after="0"/>
      </w:pPr>
      <w:r>
        <w:rPr>
          <w:rFonts w:ascii="Arial" w:hAnsi="Arial" w:cs="Arial" w:eastAsia="Arial"/>
          <w:b/>
          <w:color w:val="000000"/>
          <w:sz w:val="22"/>
          <w:u w:val="none"/>
        </w:rPr>
        <w:t>A first-year ER analyst has roughly 1,500 to 2,000 more free hours over their two-year stint than their IB counterpart.</w:t>
      </w:r>
      <w:r>
        <w:rPr>
          <w:rFonts w:ascii="Arial" w:hAnsi="Arial" w:cs="Arial" w:eastAsia="Arial"/>
          <w:b w:val="0"/>
          <w:color w:val="000000"/>
          <w:sz w:val="22"/>
          <w:u w:val="none"/>
        </w:rPr>
        <w:t xml:space="preserve"> Some candidates use that time to study for the CFA. Some use it to start a side project. Some just use it to have a life. The trade-off is real and worth weighing before taking the IB offer for the prestige alone.</w:t>
      </w:r>
    </w:p>
    <w:p>
      <w:pPr>
        <w:spacing w:line="480" w:lineRule="auto" w:before="0" w:after="0"/>
      </w:pPr>
      <w:r>
        <w:rPr>
          <w:rFonts w:ascii="Arial" w:hAnsi="Arial" w:cs="Arial" w:eastAsia="Arial"/>
          <w:b/>
          <w:color w:val="000000"/>
          <w:sz w:val="36"/>
          <w:u w:val="none"/>
        </w:rPr>
        <w:t>4. Exit options are different shapes, not different sizes</w:t>
      </w:r>
    </w:p>
    <w:p>
      <w:pPr>
        <w:spacing w:line="480" w:lineRule="auto" w:before="0" w:after="0"/>
      </w:pPr>
      <w:r>
        <w:rPr>
          <w:rFonts w:ascii="Arial" w:hAnsi="Arial" w:cs="Arial" w:eastAsia="Arial"/>
          <w:b w:val="0"/>
          <w:color w:val="000000"/>
          <w:sz w:val="22"/>
          <w:u w:val="none"/>
        </w:rPr>
        <w:t>IB analysts exit to private equity, hedge funds, corporate development, growth equity, and venture capital. The PE on-cycle process is the dominant funnel.</w:t>
      </w:r>
    </w:p>
    <w:p>
      <w:pPr>
        <w:spacing w:line="480" w:lineRule="auto" w:before="0" w:after="0"/>
      </w:pPr>
      <w:r>
        <w:rPr>
          <w:rFonts w:ascii="Arial" w:hAnsi="Arial" w:cs="Arial" w:eastAsia="Arial"/>
          <w:b w:val="0"/>
          <w:color w:val="000000"/>
          <w:sz w:val="22"/>
          <w:u w:val="none"/>
        </w:rPr>
        <w:t>ER analysts exit to long-short hedge funds, long-only mutual funds, sector-specialist credit funds, and the buy-side analyst track. The ER-to-buy-side pipeline is narrower than the IB-to-PE pipeline but it's also more direct. Buy-side investing firms hire ER analysts because the work skills overlap almost perfectly.</w:t>
      </w:r>
    </w:p>
    <w:p>
      <w:pPr>
        <w:spacing w:line="480" w:lineRule="auto" w:before="0" w:after="0"/>
      </w:pPr>
      <w:r>
        <w:rPr>
          <w:rFonts w:ascii="Arial" w:hAnsi="Arial" w:cs="Arial" w:eastAsia="Arial"/>
          <w:b/>
          <w:color w:val="000000"/>
          <w:sz w:val="22"/>
          <w:u w:val="none"/>
        </w:rPr>
        <w:t>IB has more optionality across asset classes. ER has more specialization within public markets.</w:t>
      </w:r>
      <w:r>
        <w:rPr>
          <w:rFonts w:ascii="Arial" w:hAnsi="Arial" w:cs="Arial" w:eastAsia="Arial"/>
          <w:b w:val="0"/>
          <w:color w:val="000000"/>
          <w:sz w:val="22"/>
          <w:u w:val="none"/>
        </w:rPr>
        <w:t xml:space="preserve"> If you know you want to be a public-markets investor, ER is the cleaner path. If you don't know yet, IB keeps more doors open.</w:t>
      </w:r>
    </w:p>
    <w:p>
      <w:pPr>
        <w:spacing w:line="480" w:lineRule="auto" w:before="0" w:after="0"/>
      </w:pPr>
      <w:r>
        <w:rPr>
          <w:rFonts w:ascii="Arial" w:hAnsi="Arial" w:cs="Arial" w:eastAsia="Arial"/>
          <w:b/>
          <w:color w:val="000000"/>
          <w:sz w:val="36"/>
          <w:u w:val="none"/>
        </w:rPr>
        <w:t>5. The skills you build are different muscles</w:t>
      </w:r>
    </w:p>
    <w:p>
      <w:pPr>
        <w:spacing w:line="480" w:lineRule="auto" w:before="0" w:after="0"/>
      </w:pPr>
      <w:r>
        <w:rPr>
          <w:rFonts w:ascii="Arial" w:hAnsi="Arial" w:cs="Arial" w:eastAsia="Arial"/>
          <w:b w:val="0"/>
          <w:color w:val="000000"/>
          <w:sz w:val="22"/>
          <w:u w:val="none"/>
        </w:rPr>
        <w:t>IB analysts build a tactical-execution muscle: how to model fast, how to format under pressure, how to manage VPs, how to live inside the deal process. The skills transfer well to PE, growth equity, and corporate strategy.</w:t>
      </w:r>
    </w:p>
    <w:p>
      <w:pPr>
        <w:spacing w:line="480" w:lineRule="auto" w:before="0" w:after="0"/>
      </w:pPr>
      <w:r>
        <w:rPr>
          <w:rFonts w:ascii="Arial" w:hAnsi="Arial" w:cs="Arial" w:eastAsia="Arial"/>
          <w:b w:val="0"/>
          <w:color w:val="000000"/>
          <w:sz w:val="22"/>
          <w:u w:val="none"/>
        </w:rPr>
        <w:t>ER analysts build a view-formation muscle: how to read a 10-K and an earnings call and form a real opinion, how to defend that opinion to a portfolio manager who's about to put $50 million behind it or not, how to update a model with new information without losing the thread. The skills transfer well to hedge funds, asset management, and any role where the output is a recommendation under uncertainty.</w:t>
      </w:r>
    </w:p>
    <w:p>
      <w:pPr>
        <w:spacing w:line="480" w:lineRule="auto" w:before="0" w:after="0"/>
      </w:pPr>
      <w:r>
        <w:rPr>
          <w:rFonts w:ascii="Arial" w:hAnsi="Arial" w:cs="Arial" w:eastAsia="Arial"/>
          <w:b w:val="0"/>
          <w:color w:val="000000"/>
          <w:sz w:val="22"/>
          <w:u w:val="none"/>
        </w:rPr>
        <w:t>Both muscles are valuable. The question is which one you want to develop first.</w:t>
      </w:r>
    </w:p>
    <w:p>
      <w:pPr>
        <w:spacing w:line="480" w:lineRule="auto" w:before="0" w:after="0"/>
      </w:pPr>
      <w:r>
        <w:rPr>
          <w:rFonts w:ascii="Arial" w:hAnsi="Arial" w:cs="Arial" w:eastAsia="Arial"/>
          <w:b/>
          <w:color w:val="000000"/>
          <w:sz w:val="36"/>
          <w:u w:val="none"/>
        </w:rPr>
        <w:t>6. Compensation curves diverge in years 4 through 7</w:t>
      </w:r>
    </w:p>
    <w:p>
      <w:pPr>
        <w:spacing w:line="480" w:lineRule="auto" w:before="0" w:after="0"/>
      </w:pPr>
      <w:r>
        <w:rPr>
          <w:rFonts w:ascii="Arial" w:hAnsi="Arial" w:cs="Arial" w:eastAsia="Arial"/>
          <w:b w:val="0"/>
          <w:color w:val="000000"/>
          <w:sz w:val="22"/>
          <w:u w:val="none"/>
        </w:rPr>
        <w:t>The first three years pay similarly within 10 to 20 percent. Years 4 through 7 is where the curves diverge.</w:t>
      </w:r>
    </w:p>
    <w:p>
      <w:pPr>
        <w:spacing w:line="480" w:lineRule="auto" w:before="0" w:after="0"/>
      </w:pPr>
      <w:r>
        <w:rPr>
          <w:rFonts w:ascii="Arial" w:hAnsi="Arial" w:cs="Arial" w:eastAsia="Arial"/>
          <w:b w:val="0"/>
          <w:color w:val="000000"/>
          <w:sz w:val="22"/>
          <w:u w:val="none"/>
        </w:rPr>
        <w:t>In IB, the analyst-to-associate-to-VP track at a bulge bracket gets you to roughly $400k to $600k all-in by year five to six. The PE exit, if taken, accelerates earnings materially through carry, putting a year-five PE associate at $700k to $1.5M all-in depending on the fund.</w:t>
      </w:r>
    </w:p>
    <w:p>
      <w:pPr>
        <w:spacing w:line="480" w:lineRule="auto" w:before="0" w:after="0"/>
      </w:pPr>
      <w:r>
        <w:rPr>
          <w:rFonts w:ascii="Arial" w:hAnsi="Arial" w:cs="Arial" w:eastAsia="Arial"/>
          <w:b w:val="0"/>
          <w:color w:val="000000"/>
          <w:sz w:val="22"/>
          <w:u w:val="none"/>
        </w:rPr>
        <w:t xml:space="preserve">In ER, the analyst-to-published-analyst track gets you to roughly $300k to $500k all-in by year five to seven. The Institutional Investor rankings create real income separation. </w:t>
      </w:r>
      <w:r>
        <w:rPr>
          <w:rFonts w:ascii="Arial" w:hAnsi="Arial" w:cs="Arial" w:eastAsia="Arial"/>
          <w:b/>
          <w:color w:val="000000"/>
          <w:sz w:val="22"/>
          <w:u w:val="none"/>
        </w:rPr>
        <w:t>A top-three II ranked analyst in a major sector can earn $1M-plus annually; an unranked analyst at the same firm at the same tenure earns half that.</w:t>
      </w:r>
    </w:p>
    <w:p>
      <w:pPr>
        <w:spacing w:line="480" w:lineRule="auto" w:before="0" w:after="0"/>
      </w:pPr>
      <w:r>
        <w:rPr>
          <w:rFonts w:ascii="Arial" w:hAnsi="Arial" w:cs="Arial" w:eastAsia="Arial"/>
          <w:b/>
          <w:color w:val="000000"/>
          <w:sz w:val="36"/>
          <w:u w:val="none"/>
        </w:rPr>
        <w:t>7. Prestige economy still skews IB at the undergrad level but the gap is closing on the buy-side</w:t>
      </w:r>
    </w:p>
    <w:p>
      <w:pPr>
        <w:spacing w:line="480" w:lineRule="auto" w:before="0" w:after="0"/>
      </w:pPr>
      <w:r>
        <w:rPr>
          <w:rFonts w:ascii="Arial" w:hAnsi="Arial" w:cs="Arial" w:eastAsia="Arial"/>
          <w:b w:val="0"/>
          <w:color w:val="000000"/>
          <w:sz w:val="22"/>
          <w:u w:val="none"/>
        </w:rPr>
        <w:t>IB still wins the prestige economy at the undergrad level. The bulge bracket IB analyst seat is the recognized brand and the recruiting market sees it as the default high-performer path.</w:t>
      </w:r>
    </w:p>
    <w:p>
      <w:pPr>
        <w:spacing w:line="480" w:lineRule="auto" w:before="0" w:after="0"/>
      </w:pPr>
      <w:r>
        <w:rPr>
          <w:rFonts w:ascii="Arial" w:hAnsi="Arial" w:cs="Arial" w:eastAsia="Arial"/>
          <w:b w:val="0"/>
          <w:color w:val="000000"/>
          <w:sz w:val="22"/>
          <w:u w:val="none"/>
        </w:rPr>
        <w:t xml:space="preserve">The narrowing is happening at the buy-side. Top hedge funds and mutual funds will now hire ER analysts as readily as IB analysts because the view-formation muscle is more directly applicable to public-markets investing than the deal-execution muscle. </w:t>
      </w:r>
      <w:r>
        <w:rPr>
          <w:rFonts w:ascii="Arial" w:hAnsi="Arial" w:cs="Arial" w:eastAsia="Arial"/>
          <w:b/>
          <w:color w:val="000000"/>
          <w:sz w:val="22"/>
          <w:u w:val="none"/>
        </w:rPr>
        <w:t>For buy-side aspirants in 2026, ER is no longer a step down from IB; it's a parallel route with its own advantages.</w:t>
      </w:r>
    </w:p>
    <w:p>
      <w:pPr>
        <w:spacing w:line="480" w:lineRule="auto" w:before="0" w:after="0"/>
      </w:pPr>
      <w:r>
        <w:rPr>
          <w:rFonts w:ascii="Arial" w:hAnsi="Arial" w:cs="Arial" w:eastAsia="Arial"/>
          <w:b/>
          <w:color w:val="000000"/>
          <w:sz w:val="36"/>
          <w:u w:val="none"/>
        </w:rPr>
        <w:t>8. Who should pick which</w:t>
      </w:r>
    </w:p>
    <w:p>
      <w:pPr>
        <w:spacing w:line="480" w:lineRule="auto" w:before="0" w:after="0"/>
      </w:pPr>
      <w:r>
        <w:rPr>
          <w:rFonts w:ascii="Arial" w:hAnsi="Arial" w:cs="Arial" w:eastAsia="Arial"/>
          <w:b w:val="0"/>
          <w:color w:val="000000"/>
          <w:sz w:val="22"/>
          <w:u w:val="none"/>
        </w:rPr>
        <w:t>Pick investment banking if you want maximum optionality across exits, you're comfortable trading two years of free time for a higher floor on the next seat, you're sector-agnostic, and you want the deal-team experience.</w:t>
      </w:r>
    </w:p>
    <w:p>
      <w:pPr>
        <w:spacing w:line="480" w:lineRule="auto" w:before="0" w:after="0"/>
      </w:pPr>
      <w:r>
        <w:rPr>
          <w:rFonts w:ascii="Arial" w:hAnsi="Arial" w:cs="Arial" w:eastAsia="Arial"/>
          <w:b w:val="0"/>
          <w:color w:val="000000"/>
          <w:sz w:val="22"/>
          <w:u w:val="none"/>
        </w:rPr>
        <w:t>Pick equity research if you have a real interest in a sector or in public markets investing, you want to build a published track record of views, you value sane hours, and you're willing to trade some optionality for specialization.</w:t>
      </w:r>
    </w:p>
    <w:p>
      <w:pPr>
        <w:spacing w:line="480" w:lineRule="auto" w:before="0" w:after="0"/>
      </w:pPr>
      <w:r>
        <w:rPr>
          <w:rFonts w:ascii="Arial" w:hAnsi="Arial" w:cs="Arial" w:eastAsia="Arial"/>
          <w:b/>
          <w:color w:val="000000"/>
          <w:sz w:val="22"/>
          <w:u w:val="none"/>
        </w:rPr>
        <w:t>Don't pick equity research because IB rejected you.</w:t>
      </w:r>
      <w:r>
        <w:rPr>
          <w:rFonts w:ascii="Arial" w:hAnsi="Arial" w:cs="Arial" w:eastAsia="Arial"/>
          <w:b w:val="0"/>
          <w:color w:val="000000"/>
          <w:sz w:val="22"/>
          <w:u w:val="none"/>
        </w:rPr>
        <w:t xml:space="preserve"> ER recruiting is its own funnel with its own standards. Walking in as a deflected IB candidate without a real stock-pitch interest gets you cut just as fast as it would in IB.</w:t>
      </w:r>
    </w:p>
    <w:p>
      <w:pPr>
        <w:spacing w:line="480" w:lineRule="auto" w:before="0" w:after="0"/>
      </w:pPr>
      <w:r>
        <w:rPr>
          <w:rFonts w:ascii="Arial" w:hAnsi="Arial" w:cs="Arial" w:eastAsia="Arial"/>
          <w:b/>
          <w:color w:val="000000"/>
          <w:sz w:val="36"/>
          <w:u w:val="none"/>
        </w:rPr>
        <w:t>Say this, don't say that</w:t>
      </w:r>
    </w:p>
    <w:p>
      <w:pPr>
        <w:spacing w:line="480" w:lineRule="auto" w:before="0" w:after="0"/>
      </w:pPr>
      <w:r>
        <w:rPr>
          <w:rFonts w:ascii="Arial" w:hAnsi="Arial" w:cs="Arial" w:eastAsia="Arial"/>
          <w:b/>
          <w:color w:val="000000"/>
          <w:sz w:val="22"/>
          <w:u w:val="none"/>
        </w:rPr>
        <w:t>Why equity research over investment banking?</w:t>
      </w:r>
    </w:p>
    <w:p>
      <w:pPr>
        <w:spacing w:line="480" w:lineRule="auto" w:before="0" w:after="0"/>
      </w:pPr>
      <w:r>
        <w:rPr>
          <w:rFonts w:ascii="Arial" w:hAnsi="Arial" w:cs="Arial" w:eastAsia="Arial"/>
          <w:b w:val="0"/>
          <w:color w:val="000000"/>
          <w:sz w:val="22"/>
          <w:u w:val="none"/>
        </w:rPr>
        <w:t>Don't say: "ER has better hours."</w:t>
      </w:r>
    </w:p>
    <w:p>
      <w:pPr>
        <w:spacing w:line="480" w:lineRule="auto" w:before="0" w:after="0"/>
      </w:pPr>
      <w:r>
        <w:rPr>
          <w:rFonts w:ascii="Arial" w:hAnsi="Arial" w:cs="Arial" w:eastAsia="Arial"/>
          <w:b w:val="0"/>
          <w:color w:val="000000"/>
          <w:sz w:val="22"/>
          <w:u w:val="none"/>
        </w:rPr>
        <w:t>Say: "I want to build a public-markets view-formation muscle. I read three 10-Ks and four earnings calls last quarter for a stock pitch I built on [name]. The IB analyst seat builds the wrong muscle for that goal."</w:t>
      </w:r>
    </w:p>
    <w:p>
      <w:pPr>
        <w:spacing w:line="480" w:lineRule="auto" w:before="0" w:after="0"/>
      </w:pPr>
      <w:r>
        <w:rPr>
          <w:rFonts w:ascii="Arial" w:hAnsi="Arial" w:cs="Arial" w:eastAsia="Arial"/>
          <w:b/>
          <w:color w:val="000000"/>
          <w:sz w:val="22"/>
          <w:u w:val="none"/>
        </w:rPr>
        <w:t>Why investment banking over equity research?</w:t>
      </w:r>
    </w:p>
    <w:p>
      <w:pPr>
        <w:spacing w:line="480" w:lineRule="auto" w:before="0" w:after="0"/>
      </w:pPr>
      <w:r>
        <w:rPr>
          <w:rFonts w:ascii="Arial" w:hAnsi="Arial" w:cs="Arial" w:eastAsia="Arial"/>
          <w:b w:val="0"/>
          <w:color w:val="000000"/>
          <w:sz w:val="22"/>
          <w:u w:val="none"/>
        </w:rPr>
        <w:t>Don't say: "IB pays more and has better exits."</w:t>
      </w:r>
    </w:p>
    <w:p>
      <w:pPr>
        <w:spacing w:line="480" w:lineRule="auto" w:before="0" w:after="0"/>
      </w:pPr>
      <w:r>
        <w:rPr>
          <w:rFonts w:ascii="Arial" w:hAnsi="Arial" w:cs="Arial" w:eastAsia="Arial"/>
          <w:b w:val="0"/>
          <w:color w:val="000000"/>
          <w:sz w:val="22"/>
          <w:u w:val="none"/>
        </w:rPr>
        <w:t>Say: "The two years of deal-team training compounds across the most exits I can foresee from where I am right now. ER is more specialized. I want optionality before I specialize."</w:t>
      </w:r>
    </w:p>
    <w:p>
      <w:pPr>
        <w:spacing w:line="480" w:lineRule="auto" w:before="0" w:after="0"/>
      </w:pPr>
      <w:r>
        <w:rPr>
          <w:rFonts w:ascii="Arial" w:hAnsi="Arial" w:cs="Arial" w:eastAsia="Arial"/>
          <w:b/>
          <w:color w:val="000000"/>
          <w:sz w:val="36"/>
          <w:u w:val="none"/>
        </w:rPr>
        <w:t>What to do this week</w:t>
      </w:r>
    </w:p>
    <w:p>
      <w:pPr>
        <w:spacing w:line="480" w:lineRule="auto" w:before="0" w:after="0"/>
      </w:pPr>
      <w:r>
        <w:rPr>
          <w:rFonts w:ascii="Arial" w:hAnsi="Arial" w:cs="Arial" w:eastAsia="Arial"/>
          <w:b w:val="0"/>
          <w:color w:val="000000"/>
          <w:sz w:val="22"/>
          <w:u w:val="none"/>
        </w:rPr>
        <w:t>Read one full sell-side equity research report and one M&amp;A pitchbook. Notice which one you want to read another of.</w:t>
      </w:r>
    </w:p>
    <w:p>
      <w:pPr>
        <w:spacing w:line="480" w:lineRule="auto" w:before="0" w:after="0"/>
      </w:pPr>
      <w:r>
        <w:rPr>
          <w:rFonts w:ascii="Arial" w:hAnsi="Arial" w:cs="Arial" w:eastAsia="Arial"/>
          <w:b w:val="0"/>
          <w:color w:val="000000"/>
          <w:sz w:val="22"/>
          <w:u w:val="none"/>
        </w:rPr>
        <w:t>Talk to one current ER analyst and one current IB analyst at the same bank. Ask each the same question: what does a typical Tuesday in your week look like? The answers will look nothing alike.</w:t>
      </w:r>
    </w:p>
    <w:p>
      <w:pPr>
        <w:spacing w:line="480" w:lineRule="auto" w:before="0" w:after="0"/>
      </w:pPr>
      <w:r>
        <w:rPr>
          <w:rFonts w:ascii="Arial" w:hAnsi="Arial" w:cs="Arial" w:eastAsia="Arial"/>
          <w:b w:val="0"/>
          <w:color w:val="000000"/>
          <w:sz w:val="22"/>
          <w:u w:val="none"/>
        </w:rPr>
        <w:t>Build a one-page stock pitch on a company you actually follow. The exercise is what every ER recruiting process expects, and it'll tell you whether you enjoy the public-markets thinking style.</w:t>
      </w:r>
    </w:p>
    <w:p>
      <w:pPr>
        <w:spacing w:line="480" w:lineRule="auto" w:before="0" w:after="0"/>
      </w:pPr>
      <w:r>
        <w:rPr>
          <w:rFonts w:ascii="Arial" w:hAnsi="Arial" w:cs="Arial" w:eastAsia="Arial"/>
          <w:b/>
          <w:color w:val="000000"/>
          <w:sz w:val="22"/>
          <w:u w:val="none"/>
        </w:rPr>
        <w:t>The candidates who pick well in this decision picked based on what they actually wanted to do with their week, not based on which seat sounded better at the dinner party.</w:t>
      </w:r>
    </w:p>
    <w:p>
      <w:pPr>
        <w:spacing w:line="480" w:lineRule="auto" w:before="0" w:after="0"/>
      </w:pPr>
      <w:r>
        <w:rPr>
          <w:rFonts w:ascii="Arial" w:hAnsi="Arial" w:cs="Arial" w:eastAsia="Arial"/>
          <w:b w:val="0"/>
          <w:color w:val="000000"/>
          <w:sz w:val="22"/>
          <w:u w:val="none"/>
        </w:rPr>
        <w:t>D took the MS equity research offer. He's two months in and his weekends are 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