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How to Beat the McKinsey Solve Game in 2026: A Step-by-Step Guide</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2026 McKinsey Solve Game: Sea Wolf, Redrock Study, the new Sustainable Futures Lab, and the prep plan that actually works.</w:t>
      </w:r>
    </w:p>
    <w:p>
      <w:pPr>
        <w:spacing w:line="480" w:lineRule="auto" w:before="0" w:after="0"/>
      </w:pPr>
      <w:r>
        <w:rPr>
          <w:rFonts w:ascii="Arial" w:hAnsi="Arial" w:cs="Arial" w:eastAsia="Arial"/>
          <w:b w:val="0"/>
          <w:color w:val="000000"/>
          <w:sz w:val="22"/>
          <w:u w:val="none"/>
        </w:rPr>
        <w:t>McKinsey changed the Solve Game in 2026 and most of the prep advice online is two years out of date. Ecosystem is gone, Sea Wolf replaced it, Redrock Study was streamlined, and McKinsey added a third module called the Sustainable Futures Lab. Depending on your region you'll see either a 65-minute two-game version or an 85-minute three-game version.</w:t>
      </w:r>
    </w:p>
    <w:p>
      <w:pPr>
        <w:spacing w:line="480" w:lineRule="auto" w:before="0" w:after="0"/>
      </w:pPr>
      <w:r>
        <w:rPr>
          <w:rFonts w:ascii="Arial" w:hAnsi="Arial" w:cs="Arial" w:eastAsia="Arial"/>
          <w:b w:val="0"/>
          <w:color w:val="000000"/>
          <w:sz w:val="22"/>
          <w:u w:val="none"/>
        </w:rPr>
        <w:t>This is the 2026 version of the prep guide. I went through McKinsey's on-cycle recruiting before Solve existed and I've coached WSG candidates through every iteration since 2022.</w:t>
      </w:r>
    </w:p>
    <w:p>
      <w:pPr>
        <w:spacing w:line="480" w:lineRule="auto" w:before="0" w:after="0"/>
      </w:pPr>
      <w:r>
        <w:rPr>
          <w:rFonts w:ascii="Arial" w:hAnsi="Arial" w:cs="Arial" w:eastAsia="Arial"/>
          <w:b/>
          <w:color w:val="000000"/>
          <w:sz w:val="36"/>
          <w:u w:val="none"/>
        </w:rPr>
        <w:t>What is the McKinsey Solve Game in 2026?</w:t>
      </w:r>
    </w:p>
    <w:p>
      <w:pPr>
        <w:spacing w:line="480" w:lineRule="auto" w:before="0" w:after="0"/>
      </w:pPr>
      <w:r>
        <w:rPr>
          <w:rFonts w:ascii="Arial" w:hAnsi="Arial" w:cs="Arial" w:eastAsia="Arial"/>
          <w:b w:val="0"/>
          <w:color w:val="000000"/>
          <w:sz w:val="22"/>
          <w:u w:val="none"/>
        </w:rPr>
        <w:t>The Solve Game is McKinsey's pre-interview screening assessment. Every candidate applying for Business Analyst, Associate, and most experienced-hire roles takes it after submitting their application, usually with a one-to-two-week window. You take it once. You cannot pause it, restart it, or retake it within the cycle.</w:t>
      </w:r>
    </w:p>
    <w:p>
      <w:pPr>
        <w:spacing w:line="480" w:lineRule="auto" w:before="0" w:after="0"/>
      </w:pPr>
      <w:r>
        <w:rPr>
          <w:rFonts w:ascii="Arial" w:hAnsi="Arial" w:cs="Arial" w:eastAsia="Arial"/>
          <w:b w:val="0"/>
          <w:color w:val="000000"/>
          <w:sz w:val="22"/>
          <w:u w:val="none"/>
        </w:rPr>
        <w:t>The 2026 version comes in two flavors. The 65-minute version pairs Redrock Study with Sea Wolf. The 85-minute version adds the Sustainable Futures Lab.</w:t>
      </w:r>
    </w:p>
    <w:p>
      <w:pPr>
        <w:spacing w:line="480" w:lineRule="auto" w:before="0" w:after="0"/>
      </w:pPr>
      <w:r>
        <w:rPr>
          <w:rFonts w:ascii="Arial" w:hAnsi="Arial" w:cs="Arial" w:eastAsia="Arial"/>
          <w:b/>
          <w:color w:val="000000"/>
          <w:sz w:val="36"/>
          <w:u w:val="none"/>
        </w:rPr>
        <w:t>How does Solve actually score?</w:t>
      </w:r>
    </w:p>
    <w:p>
      <w:pPr>
        <w:spacing w:line="480" w:lineRule="auto" w:before="0" w:after="0"/>
      </w:pPr>
      <w:r>
        <w:rPr>
          <w:rFonts w:ascii="Arial" w:hAnsi="Arial" w:cs="Arial" w:eastAsia="Arial"/>
          <w:b w:val="0"/>
          <w:color w:val="000000"/>
          <w:sz w:val="22"/>
          <w:u w:val="none"/>
        </w:rPr>
        <w:t xml:space="preserve">McKinsey has never published the scoring algorithm or the pass threshold. What the company has confirmed is that the game tracks every click, every reversal, and every selection. </w:t>
      </w:r>
      <w:r>
        <w:rPr>
          <w:rFonts w:ascii="Arial" w:hAnsi="Arial" w:cs="Arial" w:eastAsia="Arial"/>
          <w:b/>
          <w:color w:val="000000"/>
          <w:sz w:val="22"/>
          <w:u w:val="none"/>
        </w:rPr>
        <w:t>Process matters as much as outcome, and you cannot memorize your way through.</w:t>
      </w:r>
    </w:p>
    <w:p>
      <w:pPr>
        <w:spacing w:line="480" w:lineRule="auto" w:before="0" w:after="0"/>
      </w:pPr>
      <w:r>
        <w:rPr>
          <w:rFonts w:ascii="Arial" w:hAnsi="Arial" w:cs="Arial" w:eastAsia="Arial"/>
          <w:b/>
          <w:color w:val="000000"/>
          <w:sz w:val="36"/>
          <w:u w:val="none"/>
        </w:rPr>
        <w:t>What McKinsey is screening for</w:t>
      </w:r>
    </w:p>
    <w:p>
      <w:pPr>
        <w:spacing w:line="480" w:lineRule="auto" w:before="0" w:after="0"/>
      </w:pPr>
      <w:r>
        <w:rPr>
          <w:rFonts w:ascii="Arial" w:hAnsi="Arial" w:cs="Arial" w:eastAsia="Arial"/>
          <w:b w:val="0"/>
          <w:color w:val="000000"/>
          <w:sz w:val="22"/>
          <w:u w:val="none"/>
        </w:rPr>
        <w:t>Here's the framing most candidates miss.</w:t>
      </w:r>
    </w:p>
    <w:p>
      <w:pPr>
        <w:spacing w:line="480" w:lineRule="auto" w:before="0" w:after="0"/>
      </w:pPr>
      <w:r>
        <w:rPr>
          <w:rFonts w:ascii="Arial" w:hAnsi="Arial" w:cs="Arial" w:eastAsia="Arial"/>
          <w:b w:val="0"/>
          <w:color w:val="000000"/>
          <w:sz w:val="22"/>
          <w:u w:val="none"/>
        </w:rPr>
        <w:t>McKinsey is not testing whether you can play a video game. McKinsey is testing whether you make decisions the way one of its Business Analysts would in a partner meeting. That instinct has four moves: identify what matters, prioritize by leverage, execute under time pressure, and defend the reasoning when asked.</w:t>
      </w:r>
    </w:p>
    <w:p>
      <w:pPr>
        <w:spacing w:line="480" w:lineRule="auto" w:before="0" w:after="0"/>
      </w:pPr>
      <w:r>
        <w:rPr>
          <w:rFonts w:ascii="Arial" w:hAnsi="Arial" w:cs="Arial" w:eastAsia="Arial"/>
          <w:b w:val="0"/>
          <w:color w:val="000000"/>
          <w:sz w:val="22"/>
          <w:u w:val="none"/>
        </w:rPr>
        <w:t xml:space="preserve">Every mechanic in Sea Wolf, Redrock Study, and the Sustainable Futures Lab maps to one of those four moves. </w:t>
      </w:r>
      <w:r>
        <w:rPr>
          <w:rFonts w:ascii="Arial" w:hAnsi="Arial" w:cs="Arial" w:eastAsia="Arial"/>
          <w:b/>
          <w:color w:val="000000"/>
          <w:sz w:val="22"/>
          <w:u w:val="none"/>
        </w:rPr>
        <w:t>The candidates who treat Solve as a partner-meeting simulation in game form pass at higher rates than candidates who treat it as a logic puzzle.</w:t>
      </w:r>
    </w:p>
    <w:p>
      <w:pPr>
        <w:spacing w:line="480" w:lineRule="auto" w:before="0" w:after="0"/>
      </w:pPr>
      <w:r>
        <w:rPr>
          <w:rFonts w:ascii="Arial" w:hAnsi="Arial" w:cs="Arial" w:eastAsia="Arial"/>
          <w:b/>
          <w:color w:val="000000"/>
          <w:sz w:val="36"/>
          <w:u w:val="none"/>
        </w:rPr>
        <w:t>1. The Sea Wolf game replaced Ecosystem mid-2025</w:t>
      </w:r>
    </w:p>
    <w:p>
      <w:pPr>
        <w:spacing w:line="480" w:lineRule="auto" w:before="0" w:after="0"/>
      </w:pPr>
      <w:r>
        <w:rPr>
          <w:rFonts w:ascii="Arial" w:hAnsi="Arial" w:cs="Arial" w:eastAsia="Arial"/>
          <w:b w:val="0"/>
          <w:color w:val="000000"/>
          <w:sz w:val="22"/>
          <w:u w:val="none"/>
        </w:rPr>
        <w:t>McKinsey killed Ecosystem in 2025 and shipped Sea Wolf in its place. The surface mechanic carries over: you're given a marine environment, a list of species, and the goal of building a food chain that sustains itself across multiple cycles. Each species has parameters and you have to satisfy every constraint at once.</w:t>
      </w:r>
    </w:p>
    <w:p>
      <w:pPr>
        <w:spacing w:line="480" w:lineRule="auto" w:before="0" w:after="0"/>
      </w:pPr>
      <w:r>
        <w:rPr>
          <w:rFonts w:ascii="Arial" w:hAnsi="Arial" w:cs="Arial" w:eastAsia="Arial"/>
          <w:b w:val="0"/>
          <w:color w:val="000000"/>
          <w:sz w:val="22"/>
          <w:u w:val="none"/>
        </w:rPr>
        <w:t>Sea Wolf runs 30 minutes. Ecosystem ran 35. The time compression is the meaningful change. McKinsey didn't make the game easier; it made it tighter.</w:t>
      </w:r>
    </w:p>
    <w:p>
      <w:pPr>
        <w:spacing w:line="480" w:lineRule="auto" w:before="0" w:after="0"/>
      </w:pPr>
      <w:r>
        <w:rPr>
          <w:rFonts w:ascii="Arial" w:hAnsi="Arial" w:cs="Arial" w:eastAsia="Arial"/>
          <w:b/>
          <w:color w:val="000000"/>
          <w:sz w:val="22"/>
          <w:u w:val="none"/>
        </w:rPr>
        <w:t>Sea Wolf rewards candidates who pick species that fill multiple constraints with the smallest resource cost.</w:t>
      </w:r>
      <w:r>
        <w:rPr>
          <w:rFonts w:ascii="Arial" w:hAnsi="Arial" w:cs="Arial" w:eastAsia="Arial"/>
          <w:b w:val="0"/>
          <w:color w:val="000000"/>
          <w:sz w:val="22"/>
          <w:u w:val="none"/>
        </w:rPr>
        <w:t xml:space="preserve"> That is the same instinct a McKinsey BA uses when sequencing client recommendations under a tight project budget.</w:t>
      </w:r>
    </w:p>
    <w:p>
      <w:pPr>
        <w:spacing w:line="480" w:lineRule="auto" w:before="0" w:after="0"/>
      </w:pPr>
      <w:r>
        <w:rPr>
          <w:rFonts w:ascii="Arial" w:hAnsi="Arial" w:cs="Arial" w:eastAsia="Arial"/>
          <w:b/>
          <w:color w:val="000000"/>
          <w:sz w:val="36"/>
          <w:u w:val="none"/>
        </w:rPr>
        <w:t>2. Redrock Study is now six fixed mini-cases at 35 minutes</w:t>
      </w:r>
    </w:p>
    <w:p>
      <w:pPr>
        <w:spacing w:line="480" w:lineRule="auto" w:before="0" w:after="0"/>
      </w:pPr>
      <w:r>
        <w:rPr>
          <w:rFonts w:ascii="Arial" w:hAnsi="Arial" w:cs="Arial" w:eastAsia="Arial"/>
          <w:b w:val="0"/>
          <w:color w:val="000000"/>
          <w:sz w:val="22"/>
          <w:u w:val="none"/>
        </w:rPr>
        <w:t>McKinsey simplified Redrock for 2026. You see a research scenario (a wolf colony, a bird migration study, an ecology field experiment) with a data dashboard, charts, and analytical questions.</w:t>
      </w:r>
    </w:p>
    <w:p>
      <w:pPr>
        <w:spacing w:line="480" w:lineRule="auto" w:before="0" w:after="0"/>
      </w:pPr>
      <w:r>
        <w:rPr>
          <w:rFonts w:ascii="Arial" w:hAnsi="Arial" w:cs="Arial" w:eastAsia="Arial"/>
          <w:b w:val="0"/>
          <w:color w:val="000000"/>
          <w:sz w:val="22"/>
          <w:u w:val="none"/>
        </w:rPr>
        <w:t>The 2026 version is exactly six mini-cases. Earlier versions ran a variable count and often pushed past ten questions. The new version is fixed at 35 minutes total.</w:t>
      </w:r>
    </w:p>
    <w:p>
      <w:pPr>
        <w:spacing w:line="480" w:lineRule="auto" w:before="0" w:after="0"/>
      </w:pPr>
      <w:r>
        <w:rPr>
          <w:rFonts w:ascii="Arial" w:hAnsi="Arial" w:cs="Arial" w:eastAsia="Arial"/>
          <w:b w:val="0"/>
          <w:color w:val="000000"/>
          <w:sz w:val="22"/>
          <w:u w:val="none"/>
        </w:rPr>
        <w:t xml:space="preserve">The depth changed too. The questions now go deeper into multi-step inference, and more of them require you to combine information from two charts or two tables before answering. </w:t>
      </w:r>
      <w:r>
        <w:rPr>
          <w:rFonts w:ascii="Arial" w:hAnsi="Arial" w:cs="Arial" w:eastAsia="Arial"/>
          <w:b/>
          <w:color w:val="000000"/>
          <w:sz w:val="22"/>
          <w:u w:val="none"/>
        </w:rPr>
        <w:t>Redrock Study now rewards working memory over raw speed.</w:t>
      </w:r>
    </w:p>
    <w:p>
      <w:pPr>
        <w:spacing w:line="480" w:lineRule="auto" w:before="0" w:after="0"/>
      </w:pPr>
      <w:r>
        <w:rPr>
          <w:rFonts w:ascii="Arial" w:hAnsi="Arial" w:cs="Arial" w:eastAsia="Arial"/>
          <w:b/>
          <w:color w:val="000000"/>
          <w:sz w:val="36"/>
          <w:u w:val="none"/>
        </w:rPr>
        <w:t>3. The Sustainable Futures Lab is the new third game</w:t>
      </w:r>
    </w:p>
    <w:p>
      <w:pPr>
        <w:spacing w:line="480" w:lineRule="auto" w:before="0" w:after="0"/>
      </w:pPr>
      <w:r>
        <w:rPr>
          <w:rFonts w:ascii="Arial" w:hAnsi="Arial" w:cs="Arial" w:eastAsia="Arial"/>
          <w:b w:val="0"/>
          <w:color w:val="000000"/>
          <w:sz w:val="22"/>
          <w:u w:val="none"/>
        </w:rPr>
        <w:t>McKinsey added the Sustainable Futures Lab at the start of 2026 for the 85-minute version. It's climate-themed and reads as a hybrid of Sea Wolf and Redrock Study. You're presented with a sustainability scenario, intervention options, and trade-offs between cost, ecological impact, and social outcome.</w:t>
      </w:r>
    </w:p>
    <w:p>
      <w:pPr>
        <w:spacing w:line="480" w:lineRule="auto" w:before="0" w:after="0"/>
      </w:pPr>
      <w:r>
        <w:rPr>
          <w:rFonts w:ascii="Arial" w:hAnsi="Arial" w:cs="Arial" w:eastAsia="Arial"/>
          <w:b w:val="0"/>
          <w:color w:val="000000"/>
          <w:sz w:val="22"/>
          <w:u w:val="none"/>
        </w:rPr>
        <w:t xml:space="preserve">The Lab is the freshest module and the one prep providers have the thinnest coverage on. </w:t>
      </w:r>
      <w:r>
        <w:rPr>
          <w:rFonts w:ascii="Arial" w:hAnsi="Arial" w:cs="Arial" w:eastAsia="Arial"/>
          <w:b/>
          <w:color w:val="000000"/>
          <w:sz w:val="22"/>
          <w:u w:val="none"/>
        </w:rPr>
        <w:t>What wins the Lab is the same instinct that wins the case interview: identify the constraint that actually matters and choose the highest-leverage move.</w:t>
      </w:r>
    </w:p>
    <w:p>
      <w:pPr>
        <w:spacing w:line="480" w:lineRule="auto" w:before="0" w:after="0"/>
      </w:pPr>
      <w:r>
        <w:rPr>
          <w:rFonts w:ascii="Arial" w:hAnsi="Arial" w:cs="Arial" w:eastAsia="Arial"/>
          <w:b/>
          <w:color w:val="000000"/>
          <w:sz w:val="36"/>
          <w:u w:val="none"/>
        </w:rPr>
        <w:t>4. The four prep mistakes that fail Solve</w:t>
      </w:r>
    </w:p>
    <w:p>
      <w:pPr>
        <w:spacing w:line="480" w:lineRule="auto" w:before="0" w:after="0"/>
      </w:pPr>
      <w:r>
        <w:rPr>
          <w:rFonts w:ascii="Arial" w:hAnsi="Arial" w:cs="Arial" w:eastAsia="Arial"/>
          <w:b/>
          <w:color w:val="000000"/>
          <w:sz w:val="22"/>
          <w:u w:val="none"/>
        </w:rPr>
        <w:t>Treating Sea Wolf as the same game as Ecosystem will fail you because the time limit is tighter and the species rotate more aggressively than the YouTube walkthroughs show.</w:t>
      </w:r>
      <w:r>
        <w:rPr>
          <w:rFonts w:ascii="Arial" w:hAnsi="Arial" w:cs="Arial" w:eastAsia="Arial"/>
          <w:b w:val="0"/>
          <w:color w:val="000000"/>
          <w:sz w:val="22"/>
          <w:u w:val="none"/>
        </w:rPr>
        <w:t xml:space="preserve"> Use 2025 and 2026 prep materials only. Walkthroughs from 2023 are obsolete.</w:t>
      </w:r>
    </w:p>
    <w:p>
      <w:pPr>
        <w:spacing w:line="480" w:lineRule="auto" w:before="0" w:after="0"/>
      </w:pPr>
      <w:r>
        <w:rPr>
          <w:rFonts w:ascii="Arial" w:hAnsi="Arial" w:cs="Arial" w:eastAsia="Arial"/>
          <w:b/>
          <w:color w:val="000000"/>
          <w:sz w:val="22"/>
          <w:u w:val="none"/>
        </w:rPr>
        <w:t>Skipping mental math drills will cost you the Redrock Study section because the game rewards candidates who can multiply two-digit numbers, calculate percentages, and read a chart in under ten seconds.</w:t>
      </w:r>
      <w:r>
        <w:rPr>
          <w:rFonts w:ascii="Arial" w:hAnsi="Arial" w:cs="Arial" w:eastAsia="Arial"/>
          <w:b w:val="0"/>
          <w:color w:val="000000"/>
          <w:sz w:val="22"/>
          <w:u w:val="none"/>
        </w:rPr>
        <w:t xml:space="preserve"> Drill that separately. Khan Academy basic arithmetic or any "mental math under 30 seconds" exercise works. Twenty minutes a day for two weeks before Solve is the floor.</w:t>
      </w:r>
    </w:p>
    <w:p>
      <w:pPr>
        <w:spacing w:line="480" w:lineRule="auto" w:before="0" w:after="0"/>
      </w:pPr>
      <w:r>
        <w:rPr>
          <w:rFonts w:ascii="Arial" w:hAnsi="Arial" w:cs="Arial" w:eastAsia="Arial"/>
          <w:b/>
          <w:color w:val="000000"/>
          <w:sz w:val="22"/>
          <w:u w:val="none"/>
        </w:rPr>
        <w:t>Doing Solve on a poor setup is the most preventable failure mode WSG candidates report.</w:t>
      </w:r>
      <w:r>
        <w:rPr>
          <w:rFonts w:ascii="Arial" w:hAnsi="Arial" w:cs="Arial" w:eastAsia="Arial"/>
          <w:b w:val="0"/>
          <w:color w:val="000000"/>
          <w:sz w:val="22"/>
          <w:u w:val="none"/>
        </w:rPr>
        <w:t xml:space="preserve"> A small screen, a slow internet connection, or a noisy room costs you the game. Use a large laptop or desktop, wired internet if available, and a closed-door space.</w:t>
      </w:r>
    </w:p>
    <w:p>
      <w:pPr>
        <w:spacing w:line="480" w:lineRule="auto" w:before="0" w:after="0"/>
      </w:pPr>
      <w:r>
        <w:rPr>
          <w:rFonts w:ascii="Arial" w:hAnsi="Arial" w:cs="Arial" w:eastAsia="Arial"/>
          <w:b/>
          <w:color w:val="000000"/>
          <w:sz w:val="22"/>
          <w:u w:val="none"/>
        </w:rPr>
        <w:t>Treating Solve as separate from the case interview is how candidates pass Solve and fail the case round two weeks later.</w:t>
      </w:r>
      <w:r>
        <w:rPr>
          <w:rFonts w:ascii="Arial" w:hAnsi="Arial" w:cs="Arial" w:eastAsia="Arial"/>
          <w:b w:val="0"/>
          <w:color w:val="000000"/>
          <w:sz w:val="22"/>
          <w:u w:val="none"/>
        </w:rPr>
        <w:t xml:space="preserve"> The skills that win Solve are the same skills that win the case interview. Prep both as one integrated process.</w:t>
      </w:r>
    </w:p>
    <w:p>
      <w:pPr>
        <w:spacing w:line="480" w:lineRule="auto" w:before="0" w:after="0"/>
      </w:pPr>
      <w:r>
        <w:rPr>
          <w:rFonts w:ascii="Arial" w:hAnsi="Arial" w:cs="Arial" w:eastAsia="Arial"/>
          <w:b/>
          <w:color w:val="000000"/>
          <w:sz w:val="36"/>
          <w:u w:val="none"/>
        </w:rPr>
        <w:t>A two-week prep plan that actually works</w:t>
      </w:r>
    </w:p>
    <w:p>
      <w:pPr>
        <w:spacing w:line="480" w:lineRule="auto" w:before="0" w:after="0"/>
      </w:pPr>
      <w:r>
        <w:rPr>
          <w:rFonts w:ascii="Arial" w:hAnsi="Arial" w:cs="Arial" w:eastAsia="Arial"/>
          <w:b w:val="0"/>
          <w:color w:val="000000"/>
          <w:sz w:val="22"/>
          <w:u w:val="none"/>
        </w:rPr>
        <w:t>Two weeks. Fifteen to twenty hours total.</w:t>
      </w:r>
    </w:p>
    <w:p>
      <w:pPr>
        <w:spacing w:line="480" w:lineRule="auto" w:before="0" w:after="0"/>
      </w:pPr>
      <w:r>
        <w:rPr>
          <w:rFonts w:ascii="Arial" w:hAnsi="Arial" w:cs="Arial" w:eastAsia="Arial"/>
          <w:b/>
          <w:color w:val="000000"/>
          <w:sz w:val="28"/>
          <w:u w:val="single"/>
        </w:rPr>
        <w:t>Week 1: foundation</w:t>
      </w:r>
    </w:p>
    <w:p>
      <w:pPr>
        <w:spacing w:line="480" w:lineRule="auto" w:before="0" w:after="0"/>
      </w:pPr>
      <w:r>
        <w:rPr>
          <w:rFonts w:ascii="Arial" w:hAnsi="Arial" w:cs="Arial" w:eastAsia="Arial"/>
          <w:b w:val="0"/>
          <w:color w:val="000000"/>
          <w:sz w:val="22"/>
          <w:u w:val="none"/>
        </w:rPr>
        <w:t xml:space="preserve">Day 1 and 2: read the official Solve overview on the </w:t>
      </w:r>
      <w:hyperlink r:id="rId9">
        <w:r>
          <w:rPr>
            <w:rFonts w:ascii="Arial" w:hAnsi="Arial" w:cs="Arial" w:eastAsia="Arial"/>
            <w:sz w:val="22"/>
            <w:color w:val="0563C1"/>
            <w:u w:val="single"/>
          </w:rPr>
          <w:t xml:space="preserve">McKinsey careers page</w:t>
        </w:r>
      </w:hyperlink>
      <w:r>
        <w:rPr>
          <w:rFonts w:ascii="Arial" w:hAnsi="Arial" w:cs="Arial" w:eastAsia="Arial"/>
          <w:b w:val="0"/>
          <w:color w:val="000000"/>
          <w:sz w:val="22"/>
          <w:u w:val="none"/>
        </w:rPr>
        <w:t>. Watch one unofficial walkthrough of Sea Wolf from 2025 or later, one of Redrock Study, and one of the Sustainable Futures Lab if you can find a recent one. The goal is calibration, not memorization.</w:t>
      </w:r>
    </w:p>
    <w:p>
      <w:pPr>
        <w:spacing w:line="480" w:lineRule="auto" w:before="0" w:after="0"/>
      </w:pPr>
      <w:r>
        <w:rPr>
          <w:rFonts w:ascii="Arial" w:hAnsi="Arial" w:cs="Arial" w:eastAsia="Arial"/>
          <w:b w:val="0"/>
          <w:color w:val="000000"/>
          <w:sz w:val="22"/>
          <w:u w:val="none"/>
        </w:rPr>
        <w:t>Day 3 and 4: mental math drills, 30 minutes a day.</w:t>
      </w:r>
    </w:p>
    <w:p>
      <w:pPr>
        <w:spacing w:line="480" w:lineRule="auto" w:before="0" w:after="0"/>
      </w:pPr>
      <w:r>
        <w:rPr>
          <w:rFonts w:ascii="Arial" w:hAnsi="Arial" w:cs="Arial" w:eastAsia="Arial"/>
          <w:b w:val="0"/>
          <w:color w:val="000000"/>
          <w:sz w:val="22"/>
          <w:u w:val="none"/>
        </w:rPr>
        <w:t xml:space="preserve">Day 5 through 7: take one full McKinsey case interview practice case from the </w:t>
      </w:r>
      <w:hyperlink r:id="rId10">
        <w:r>
          <w:rPr>
            <w:rFonts w:ascii="Arial" w:hAnsi="Arial" w:cs="Arial" w:eastAsia="Arial"/>
            <w:sz w:val="22"/>
            <w:color w:val="0563C1"/>
            <w:u w:val="single"/>
          </w:rPr>
          <w:t xml:space="preserve">McKinsey case prep page</w:t>
        </w:r>
      </w:hyperlink>
      <w:r>
        <w:rPr>
          <w:rFonts w:ascii="Arial" w:hAnsi="Arial" w:cs="Arial" w:eastAsia="Arial"/>
          <w:b w:val="0"/>
          <w:color w:val="000000"/>
          <w:sz w:val="22"/>
          <w:u w:val="none"/>
        </w:rPr>
        <w:t>.</w:t>
      </w:r>
    </w:p>
    <w:p>
      <w:pPr>
        <w:spacing w:line="480" w:lineRule="auto" w:before="0" w:after="0"/>
      </w:pPr>
      <w:r>
        <w:rPr>
          <w:rFonts w:ascii="Arial" w:hAnsi="Arial" w:cs="Arial" w:eastAsia="Arial"/>
          <w:b/>
          <w:color w:val="000000"/>
          <w:sz w:val="28"/>
          <w:u w:val="single"/>
        </w:rPr>
        <w:t>Week 2: simulation</w:t>
      </w:r>
    </w:p>
    <w:p>
      <w:pPr>
        <w:spacing w:line="480" w:lineRule="auto" w:before="0" w:after="0"/>
      </w:pPr>
      <w:r>
        <w:rPr>
          <w:rFonts w:ascii="Arial" w:hAnsi="Arial" w:cs="Arial" w:eastAsia="Arial"/>
          <w:b w:val="0"/>
          <w:color w:val="000000"/>
          <w:sz w:val="22"/>
          <w:u w:val="none"/>
        </w:rPr>
        <w:t>Day 8 through 10: run a simulated Solve under timed conditions. Scores from third-party simulators are approximate. The exposure to format under pressure is what matters.</w:t>
      </w:r>
    </w:p>
    <w:p>
      <w:pPr>
        <w:spacing w:line="480" w:lineRule="auto" w:before="0" w:after="0"/>
      </w:pPr>
      <w:r>
        <w:rPr>
          <w:rFonts w:ascii="Arial" w:hAnsi="Arial" w:cs="Arial" w:eastAsia="Arial"/>
          <w:b w:val="0"/>
          <w:color w:val="000000"/>
          <w:sz w:val="22"/>
          <w:u w:val="none"/>
        </w:rPr>
        <w:t>Day 11 and 12: drill Sea Wolf-style constraint satisfaction on paper. Five competing demands, one budget, five minutes.</w:t>
      </w:r>
    </w:p>
    <w:p>
      <w:pPr>
        <w:spacing w:line="480" w:lineRule="auto" w:before="0" w:after="0"/>
      </w:pPr>
      <w:r>
        <w:rPr>
          <w:rFonts w:ascii="Arial" w:hAnsi="Arial" w:cs="Arial" w:eastAsia="Arial"/>
          <w:b w:val="0"/>
          <w:color w:val="000000"/>
          <w:sz w:val="22"/>
          <w:u w:val="none"/>
        </w:rPr>
        <w:t>Day 13: rest. Don't drill the day before. Sleep, eat well, clear tomorrow.</w:t>
      </w:r>
    </w:p>
    <w:p>
      <w:pPr>
        <w:spacing w:line="480" w:lineRule="auto" w:before="0" w:after="0"/>
      </w:pPr>
      <w:r>
        <w:rPr>
          <w:rFonts w:ascii="Arial" w:hAnsi="Arial" w:cs="Arial" w:eastAsia="Arial"/>
          <w:b w:val="0"/>
          <w:color w:val="000000"/>
          <w:sz w:val="22"/>
          <w:u w:val="none"/>
        </w:rPr>
        <w:t>Day 14: take Solve in a closed-door room with a stable internet connection.</w:t>
      </w:r>
    </w:p>
    <w:p>
      <w:pPr>
        <w:spacing w:line="480" w:lineRule="auto" w:before="0" w:after="0"/>
      </w:pPr>
      <w:r>
        <w:rPr>
          <w:rFonts w:ascii="Arial" w:hAnsi="Arial" w:cs="Arial" w:eastAsia="Arial"/>
          <w:b/>
          <w:color w:val="000000"/>
          <w:sz w:val="36"/>
          <w:u w:val="none"/>
        </w:rPr>
        <w:t>Say this, don't say that (when an interviewer asks about Solve)</w:t>
      </w:r>
    </w:p>
    <w:p>
      <w:pPr>
        <w:spacing w:line="480" w:lineRule="auto" w:before="0" w:after="0"/>
      </w:pPr>
      <w:r>
        <w:rPr>
          <w:rFonts w:ascii="Arial" w:hAnsi="Arial" w:cs="Arial" w:eastAsia="Arial"/>
          <w:b/>
          <w:color w:val="000000"/>
          <w:sz w:val="22"/>
          <w:u w:val="none"/>
        </w:rPr>
        <w:t>Why is Solve harder than a traditional aptitude test?</w:t>
      </w:r>
    </w:p>
    <w:p>
      <w:pPr>
        <w:spacing w:line="480" w:lineRule="auto" w:before="0" w:after="0"/>
      </w:pPr>
      <w:r>
        <w:rPr>
          <w:rFonts w:ascii="Arial" w:hAnsi="Arial" w:cs="Arial" w:eastAsia="Arial"/>
          <w:b w:val="0"/>
          <w:color w:val="000000"/>
          <w:sz w:val="22"/>
          <w:u w:val="none"/>
        </w:rPr>
        <w:t>Don't say: "Because it's gamified and harder to game."</w:t>
      </w:r>
    </w:p>
    <w:p>
      <w:pPr>
        <w:spacing w:line="480" w:lineRule="auto" w:before="0" w:after="0"/>
      </w:pPr>
      <w:r>
        <w:rPr>
          <w:rFonts w:ascii="Arial" w:hAnsi="Arial" w:cs="Arial" w:eastAsia="Arial"/>
          <w:b w:val="0"/>
          <w:color w:val="000000"/>
          <w:sz w:val="22"/>
          <w:u w:val="none"/>
        </w:rPr>
        <w:t>Say: "Solve tracks process, not just answers, so it surfaces how I actually make decisions under constraint. A traditional aptitude test rewards the right answer alone. Solve also weighs how I got there."</w:t>
      </w:r>
    </w:p>
    <w:p>
      <w:pPr>
        <w:spacing w:line="480" w:lineRule="auto" w:before="0" w:after="0"/>
      </w:pPr>
      <w:r>
        <w:rPr>
          <w:rFonts w:ascii="Arial" w:hAnsi="Arial" w:cs="Arial" w:eastAsia="Arial"/>
          <w:b/>
          <w:color w:val="000000"/>
          <w:sz w:val="22"/>
          <w:u w:val="none"/>
        </w:rPr>
        <w:t>What did you learn from Solve?</w:t>
      </w:r>
    </w:p>
    <w:p>
      <w:pPr>
        <w:spacing w:line="480" w:lineRule="auto" w:before="0" w:after="0"/>
      </w:pPr>
      <w:r>
        <w:rPr>
          <w:rFonts w:ascii="Arial" w:hAnsi="Arial" w:cs="Arial" w:eastAsia="Arial"/>
          <w:b w:val="0"/>
          <w:color w:val="000000"/>
          <w:sz w:val="22"/>
          <w:u w:val="none"/>
        </w:rPr>
        <w:t>Don't say: "I learned that I'm good at video games."</w:t>
      </w:r>
    </w:p>
    <w:p>
      <w:pPr>
        <w:spacing w:line="480" w:lineRule="auto" w:before="0" w:after="0"/>
      </w:pPr>
      <w:r>
        <w:rPr>
          <w:rFonts w:ascii="Arial" w:hAnsi="Arial" w:cs="Arial" w:eastAsia="Arial"/>
          <w:b w:val="0"/>
          <w:color w:val="000000"/>
          <w:sz w:val="22"/>
          <w:u w:val="none"/>
        </w:rPr>
        <w:t>Say: "I learned how I default under time pressure. I noticed I tend to over-optimize one variable when I should be looking for the highest-leverage move across all three. The game made that visible."</w:t>
      </w:r>
    </w:p>
    <w:p>
      <w:pPr>
        <w:spacing w:line="480" w:lineRule="auto" w:before="0" w:after="0"/>
      </w:pPr>
      <w:r>
        <w:rPr>
          <w:rFonts w:ascii="Arial" w:hAnsi="Arial" w:cs="Arial" w:eastAsia="Arial"/>
          <w:b/>
          <w:color w:val="000000"/>
          <w:sz w:val="36"/>
          <w:u w:val="none"/>
        </w:rPr>
        <w:t>The honest scoring read</w:t>
      </w:r>
    </w:p>
    <w:p>
      <w:pPr>
        <w:spacing w:line="480" w:lineRule="auto" w:before="0" w:after="0"/>
      </w:pPr>
      <w:r>
        <w:rPr>
          <w:rFonts w:ascii="Arial" w:hAnsi="Arial" w:cs="Arial" w:eastAsia="Arial"/>
          <w:b w:val="0"/>
          <w:color w:val="000000"/>
          <w:sz w:val="22"/>
          <w:u w:val="none"/>
        </w:rPr>
        <w:t>A well-prepared candidate with two weeks of focused prep, decent math fluency, and a good test setup passes Solve at roughly 60 to 70 percent. A candidate who walks in cold passes at materially lower rates.</w:t>
      </w:r>
    </w:p>
    <w:p>
      <w:pPr>
        <w:spacing w:line="480" w:lineRule="auto" w:before="0" w:after="0"/>
      </w:pPr>
      <w:r>
        <w:rPr>
          <w:rFonts w:ascii="Arial" w:hAnsi="Arial" w:cs="Arial" w:eastAsia="Arial"/>
          <w:b w:val="0"/>
          <w:color w:val="000000"/>
          <w:sz w:val="22"/>
          <w:u w:val="none"/>
        </w:rPr>
        <w:t>That spread matters. McKinsey on-cycle recruiting is a funnel and Solve is the first cut. Failing usually means a 12 to 24 month reapplication delay.</w:t>
      </w:r>
    </w:p>
    <w:p>
      <w:pPr>
        <w:spacing w:line="480" w:lineRule="auto" w:before="0" w:after="0"/>
      </w:pPr>
      <w:r>
        <w:rPr>
          <w:rFonts w:ascii="Arial" w:hAnsi="Arial" w:cs="Arial" w:eastAsia="Arial"/>
          <w:b/>
          <w:color w:val="000000"/>
          <w:sz w:val="36"/>
          <w:u w:val="none"/>
        </w:rPr>
        <w:t>Frequently asked questions</w:t>
      </w:r>
    </w:p>
    <w:p>
      <w:pPr>
        <w:spacing w:line="480" w:lineRule="auto" w:before="0" w:after="0"/>
      </w:pPr>
      <w:r>
        <w:rPr>
          <w:rFonts w:ascii="Arial" w:hAnsi="Arial" w:cs="Arial" w:eastAsia="Arial"/>
          <w:b/>
          <w:color w:val="000000"/>
          <w:sz w:val="22"/>
          <w:u w:val="none"/>
        </w:rPr>
        <w:t>Can I retake Solve if I fail?</w:t>
      </w:r>
      <w:r>
        <w:rPr>
          <w:rFonts w:ascii="Arial" w:hAnsi="Arial" w:cs="Arial" w:eastAsia="Arial"/>
          <w:b w:val="0"/>
          <w:color w:val="000000"/>
          <w:sz w:val="22"/>
          <w:u w:val="none"/>
        </w:rPr>
        <w:t xml:space="preserve"> No. One attempt per cycle.</w:t>
      </w:r>
    </w:p>
    <w:p>
      <w:pPr>
        <w:spacing w:line="480" w:lineRule="auto" w:before="0" w:after="0"/>
      </w:pPr>
      <w:r>
        <w:rPr>
          <w:rFonts w:ascii="Arial" w:hAnsi="Arial" w:cs="Arial" w:eastAsia="Arial"/>
          <w:b/>
          <w:color w:val="000000"/>
          <w:sz w:val="22"/>
          <w:u w:val="none"/>
        </w:rPr>
        <w:t>Do BCG and Bain use Solve?</w:t>
      </w:r>
      <w:r>
        <w:rPr>
          <w:rFonts w:ascii="Arial" w:hAnsi="Arial" w:cs="Arial" w:eastAsia="Arial"/>
          <w:b w:val="0"/>
          <w:color w:val="000000"/>
          <w:sz w:val="22"/>
          <w:u w:val="none"/>
        </w:rPr>
        <w:t xml:space="preserve"> No. BCG runs Casey, a chatbot-based assessment. Bain runs either the Bain Online Test or the Pymetrics behavioral game depending on the office.</w:t>
      </w:r>
    </w:p>
    <w:p>
      <w:pPr>
        <w:spacing w:line="480" w:lineRule="auto" w:before="0" w:after="0"/>
      </w:pPr>
      <w:r>
        <w:rPr>
          <w:rFonts w:ascii="Arial" w:hAnsi="Arial" w:cs="Arial" w:eastAsia="Arial"/>
          <w:b/>
          <w:color w:val="000000"/>
          <w:sz w:val="22"/>
          <w:u w:val="none"/>
        </w:rPr>
        <w:t>What if I get the 65-minute version and my friend gets the 85-minute version?</w:t>
      </w:r>
      <w:r>
        <w:rPr>
          <w:rFonts w:ascii="Arial" w:hAnsi="Arial" w:cs="Arial" w:eastAsia="Arial"/>
          <w:b w:val="0"/>
          <w:color w:val="000000"/>
          <w:sz w:val="22"/>
          <w:u w:val="none"/>
        </w:rPr>
        <w:t xml:space="preserve"> That happens. Format assignment varies by region and role. The 85-minute version adds the Sustainable Futures Lab.</w:t>
      </w:r>
    </w:p>
    <w:p>
      <w:pPr>
        <w:spacing w:line="480" w:lineRule="auto" w:before="0" w:after="0"/>
      </w:pPr>
      <w:r>
        <w:rPr>
          <w:rFonts w:ascii="Arial" w:hAnsi="Arial" w:cs="Arial" w:eastAsia="Arial"/>
          <w:b/>
          <w:color w:val="000000"/>
          <w:sz w:val="22"/>
          <w:u w:val="none"/>
        </w:rPr>
        <w:t>Should I pay for a Solve simulator?</w:t>
      </w:r>
      <w:r>
        <w:rPr>
          <w:rFonts w:ascii="Arial" w:hAnsi="Arial" w:cs="Arial" w:eastAsia="Arial"/>
          <w:b w:val="0"/>
          <w:color w:val="000000"/>
          <w:sz w:val="22"/>
          <w:u w:val="none"/>
        </w:rPr>
        <w:t xml:space="preserve"> Only if you need the simulation reps to calm your nerves. The free Khan Academy and McKinsey practice cases will get you most of the way there.</w:t>
      </w:r>
    </w:p>
    <w:p>
      <w:pPr>
        <w:spacing w:line="480" w:lineRule="auto" w:before="0" w:after="0"/>
      </w:pPr>
      <w:r>
        <w:rPr>
          <w:rFonts w:ascii="Arial" w:hAnsi="Arial" w:cs="Arial" w:eastAsia="Arial"/>
          <w:b/>
          <w:color w:val="000000"/>
          <w:sz w:val="36"/>
          <w:u w:val="none"/>
        </w:rPr>
        <w:t>What to do this week</w:t>
      </w:r>
    </w:p>
    <w:p>
      <w:pPr>
        <w:spacing w:line="480" w:lineRule="auto" w:before="0" w:after="0"/>
      </w:pPr>
      <w:r>
        <w:rPr>
          <w:rFonts w:ascii="Arial" w:hAnsi="Arial" w:cs="Arial" w:eastAsia="Arial"/>
          <w:b w:val="0"/>
          <w:color w:val="000000"/>
          <w:sz w:val="22"/>
          <w:u w:val="none"/>
        </w:rPr>
        <w:t xml:space="preserve">If you have a Solve invitation already, block 90 minutes on your calendar for the live test, two hours per day for the next ten days for prep, and one day of rest before. </w:t>
      </w:r>
      <w:r>
        <w:rPr>
          <w:rFonts w:ascii="Arial" w:hAnsi="Arial" w:cs="Arial" w:eastAsia="Arial"/>
          <w:b/>
          <w:color w:val="000000"/>
          <w:sz w:val="22"/>
          <w:u w:val="none"/>
        </w:rPr>
        <w:t>The candidates who pass Solve walk in already prepared, not the ones who scramble after the invitation arrives.</w:t>
      </w:r>
    </w:p>
    <w:p>
      <w:pPr>
        <w:spacing w:line="480" w:lineRule="auto" w:before="0" w:after="0"/>
      </w:pPr>
      <w:r>
        <w:rPr>
          <w:rFonts w:ascii="Arial" w:hAnsi="Arial" w:cs="Arial" w:eastAsia="Arial"/>
          <w:b w:val="0"/>
          <w:color w:val="000000"/>
          <w:sz w:val="22"/>
          <w:u w:val="none"/>
        </w:rPr>
        <w:t>You don't beat Solve. You demonstrate that you already think the way a McKinsey BA thinks. The prep is teaching your hands to keep up with your brain under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students/recruiting-process" TargetMode="External"/><Relationship Id="rId10" Type="http://schemas.openxmlformats.org/officeDocument/2006/relationships/hyperlink" Target="https://www.mckinsey.com/careers/intervie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