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before="0" w:after="0"/>
      </w:pPr>
      <w:r>
        <w:rPr>
          <w:rFonts w:ascii="Arial" w:hAnsi="Arial" w:cs="Arial" w:eastAsia="Arial"/>
          <w:b/>
          <w:color w:val="000000"/>
          <w:sz w:val="48"/>
          <w:u w:val="none"/>
        </w:rPr>
        <w:t>Private Credit Salary 2026: Full Breakdown</w:t>
      </w:r>
    </w:p>
    <w:p>
      <w:pPr>
        <w:spacing w:line="480" w:lineRule="auto" w:before="0" w:after="0"/>
      </w:pPr>
      <w:r>
        <w:rPr>
          <w:rFonts w:ascii="Arial" w:hAnsi="Arial" w:cs="Arial" w:eastAsia="Arial"/>
          <w:b/>
          <w:color w:val="000000"/>
          <w:sz w:val="22"/>
          <w:u w:val="none"/>
        </w:rPr>
        <w:t>Meta description:</w:t>
      </w:r>
      <w:r>
        <w:rPr>
          <w:rFonts w:ascii="Arial" w:hAnsi="Arial" w:cs="Arial" w:eastAsia="Arial"/>
          <w:b w:val="0"/>
          <w:color w:val="000000"/>
          <w:sz w:val="22"/>
          <w:u w:val="none"/>
        </w:rPr>
        <w:t xml:space="preserve"> WSG founder Stephen Turban breaks down private credit salary in 2026 by level and firm type, from analyst base and bonus through carry, versus PE and IB pay.</w:t>
      </w:r>
    </w:p>
    <w:p>
      <w:pPr>
        <w:spacing w:line="480" w:lineRule="auto" w:before="0" w:after="0"/>
      </w:pPr>
      <w:r>
        <w:rPr>
          <w:rFonts w:ascii="Arial" w:hAnsi="Arial" w:cs="Arial" w:eastAsia="Arial"/>
          <w:b w:val="0"/>
          <w:color w:val="000000"/>
          <w:sz w:val="22"/>
          <w:u w:val="none"/>
        </w:rPr>
        <w:t>Private credit pays banking-level compensation on roughly two-thirds of banking's hours, and most students never find out because the seats are scarce and the firms don't market to campus the way banks do.</w:t>
      </w:r>
    </w:p>
    <w:p>
      <w:pPr>
        <w:spacing w:line="480" w:lineRule="auto" w:before="0" w:after="0"/>
      </w:pPr>
      <w:r>
        <w:rPr>
          <w:rFonts w:ascii="Arial" w:hAnsi="Arial" w:cs="Arial" w:eastAsia="Arial"/>
          <w:b/>
          <w:color w:val="000000"/>
          <w:sz w:val="22"/>
          <w:u w:val="none"/>
        </w:rPr>
        <w:t>A first-year analyst at a top private credit platform earns $180,000 to $250,000 all-in in 2026, on 60 to 75 hour weeks.</w:t>
      </w:r>
      <w:r>
        <w:rPr>
          <w:rFonts w:ascii="Arial" w:hAnsi="Arial" w:cs="Arial" w:eastAsia="Arial"/>
          <w:b w:val="0"/>
          <w:color w:val="000000"/>
          <w:sz w:val="22"/>
          <w:u w:val="none"/>
        </w:rPr>
        <w:t xml:space="preserve"> [VERIFY: comp and hours.] The numbers below are the full ladder as of mid-2026, level by level and firm type by firm type, with the mechanics underneath them: where bonuses come from, how credit carry differs from PE carry, and what actually moves your number inside a published range. Every figure is a moving target, so treat the ranges as calibration and confirm against current reporting before quoting any of them in an interview [VERIFY: all comp figures].</w:t>
      </w:r>
    </w:p>
    <w:p>
      <w:pPr>
        <w:spacing w:line="480" w:lineRule="auto" w:before="0" w:after="0"/>
      </w:pPr>
      <w:r>
        <w:rPr>
          <w:rFonts w:ascii="Arial" w:hAnsi="Arial" w:cs="Arial" w:eastAsia="Arial"/>
          <w:b/>
          <w:color w:val="000000"/>
          <w:sz w:val="36"/>
          <w:u w:val="none"/>
        </w:rPr>
        <w:t>How much does a private credit analyst make in 2026?</w:t>
      </w:r>
    </w:p>
    <w:p>
      <w:pPr>
        <w:spacing w:line="480" w:lineRule="auto" w:before="0" w:after="0"/>
      </w:pPr>
      <w:r>
        <w:rPr>
          <w:rFonts w:ascii="Arial" w:hAnsi="Arial" w:cs="Arial" w:eastAsia="Arial"/>
          <w:b w:val="0"/>
          <w:color w:val="000000"/>
          <w:sz w:val="22"/>
          <w:u w:val="none"/>
        </w:rPr>
        <w:t>First-year analysts at top private credit platforms earn $130,000 to $150,000 in base salary with performance bonuses of $50,000 to $100,000, for total compensation of $180,000 to $250,000 [VERIFY]. Summer Analysts earn roughly $2,500 per week pro-rated [VERIFY]. Bank credit desks pay their IB scale instead: $110,000 to $125,000 base, $170,000 to $220,000 all-in.</w:t>
      </w:r>
    </w:p>
    <w:p>
      <w:pPr>
        <w:spacing w:line="480" w:lineRule="auto" w:before="0" w:after="0"/>
      </w:pPr>
      <w:r>
        <w:rPr>
          <w:rFonts w:ascii="Arial" w:hAnsi="Arial" w:cs="Arial" w:eastAsia="Arial"/>
          <w:b/>
          <w:color w:val="000000"/>
          <w:sz w:val="36"/>
          <w:u w:val="none"/>
        </w:rPr>
        <w:t>Does private credit pay as much as private equity?</w:t>
      </w:r>
    </w:p>
    <w:p>
      <w:pPr>
        <w:spacing w:line="480" w:lineRule="auto" w:before="0" w:after="0"/>
      </w:pPr>
      <w:r>
        <w:rPr>
          <w:rFonts w:ascii="Arial" w:hAnsi="Arial" w:cs="Arial" w:eastAsia="Arial"/>
          <w:b w:val="0"/>
          <w:color w:val="000000"/>
          <w:sz w:val="22"/>
          <w:u w:val="none"/>
        </w:rPr>
        <w:t>At the analyst and associate levels, effectively yes: the all-in ranges overlap. The gap opens at the senior levels, where PE's carry produces a longer right tail. What credit offers instead is variance: bonuses smoothed by contractual yield, fewer zero years, and senior outcomes clustered tighter around strong medians.</w:t>
      </w:r>
    </w:p>
    <w:p>
      <w:pPr>
        <w:spacing w:line="480" w:lineRule="auto" w:before="0" w:after="0"/>
      </w:pPr>
      <w:r>
        <w:rPr>
          <w:rFonts w:ascii="Arial" w:hAnsi="Arial" w:cs="Arial" w:eastAsia="Arial"/>
          <w:b/>
          <w:color w:val="000000"/>
          <w:sz w:val="36"/>
          <w:u w:val="none"/>
        </w:rPr>
        <w:t>The ladder, level by level</w:t>
      </w:r>
    </w:p>
    <w:p>
      <w:pPr>
        <w:spacing w:line="480" w:lineRule="auto" w:before="0" w:after="0"/>
      </w:pPr>
      <w:r>
        <w:rPr>
          <w:rFonts w:ascii="Arial" w:hAnsi="Arial" w:cs="Arial" w:eastAsia="Arial"/>
          <w:b w:val="0"/>
          <w:color w:val="000000"/>
          <w:sz w:val="22"/>
          <w:u w:val="none"/>
        </w:rPr>
        <w:t>Titles shift across platforms, but the shape holds [VERIFY: every range]:</w:t>
      </w:r>
    </w:p>
    <w:p>
      <w:pPr>
        <w:pStyle w:val="ListBullet"/>
        <w:spacing w:line="480" w:lineRule="auto" w:before="0" w:after="0"/>
      </w:pPr>
      <w:r>
        <w:rPr>
          <w:rFonts w:ascii="Arial" w:hAnsi="Arial" w:cs="Arial" w:eastAsia="Arial"/>
          <w:b w:val="0"/>
          <w:color w:val="000000"/>
          <w:sz w:val="22"/>
          <w:u w:val="none"/>
        </w:rPr>
        <w:t>Summer Analyst: roughly $2,500 per week</w:t>
      </w:r>
    </w:p>
    <w:p>
      <w:pPr>
        <w:pStyle w:val="ListBullet"/>
        <w:spacing w:line="480" w:lineRule="auto" w:before="0" w:after="0"/>
      </w:pPr>
      <w:r>
        <w:rPr>
          <w:rFonts w:ascii="Arial" w:hAnsi="Arial" w:cs="Arial" w:eastAsia="Arial"/>
          <w:b w:val="0"/>
          <w:color w:val="000000"/>
          <w:sz w:val="22"/>
          <w:u w:val="none"/>
        </w:rPr>
        <w:t>Analyst, years 1 to 2: $130K to $150K base, $50K to $100K bonus, $180K to $250K all-in</w:t>
      </w:r>
    </w:p>
    <w:p>
      <w:pPr>
        <w:pStyle w:val="ListBullet"/>
        <w:spacing w:line="480" w:lineRule="auto" w:before="0" w:after="0"/>
      </w:pPr>
      <w:r>
        <w:rPr>
          <w:rFonts w:ascii="Arial" w:hAnsi="Arial" w:cs="Arial" w:eastAsia="Arial"/>
          <w:b w:val="0"/>
          <w:color w:val="000000"/>
          <w:sz w:val="22"/>
          <w:u w:val="none"/>
        </w:rPr>
        <w:t>Associate, years 3 to 5: $150K to $200K base, all-in reaching $250K to $400K</w:t>
      </w:r>
    </w:p>
    <w:p>
      <w:pPr>
        <w:pStyle w:val="ListBullet"/>
        <w:spacing w:line="480" w:lineRule="auto" w:before="0" w:after="0"/>
      </w:pPr>
      <w:r>
        <w:rPr>
          <w:rFonts w:ascii="Arial" w:hAnsi="Arial" w:cs="Arial" w:eastAsia="Arial"/>
          <w:b w:val="0"/>
          <w:color w:val="000000"/>
          <w:sz w:val="22"/>
          <w:u w:val="none"/>
        </w:rPr>
        <w:t>Vice President or Principal, years 5 to 7: $500K to $1M-plus all-in for strong performers, incentive economics beginning</w:t>
      </w:r>
    </w:p>
    <w:p>
      <w:pPr>
        <w:pStyle w:val="ListBullet"/>
        <w:spacing w:line="480" w:lineRule="auto" w:before="0" w:after="0"/>
      </w:pPr>
      <w:r>
        <w:rPr>
          <w:rFonts w:ascii="Arial" w:hAnsi="Arial" w:cs="Arial" w:eastAsia="Arial"/>
          <w:b w:val="0"/>
          <w:color w:val="000000"/>
          <w:sz w:val="22"/>
          <w:u w:val="none"/>
        </w:rPr>
        <w:t>Managing Director or Partner: driven by fund economics; several million in strong vintages at large platforms</w:t>
      </w:r>
    </w:p>
    <w:p>
      <w:pPr>
        <w:spacing w:line="480" w:lineRule="auto" w:before="0" w:after="0"/>
      </w:pPr>
      <w:r>
        <w:rPr>
          <w:rFonts w:ascii="Arial" w:hAnsi="Arial" w:cs="Arial" w:eastAsia="Arial"/>
          <w:b w:val="0"/>
          <w:color w:val="000000"/>
          <w:sz w:val="22"/>
          <w:u w:val="none"/>
        </w:rPr>
        <w:t>Promotion runs on underwriting responsibility. The analyst trusted to run a credit memo end to end moves faster than the analyst who processed more deals at the margins, and platforms deploying capital quickly promote faster than platforms between funds.</w:t>
      </w:r>
    </w:p>
    <w:p>
      <w:pPr>
        <w:spacing w:line="480" w:lineRule="auto" w:before="0" w:after="0"/>
      </w:pPr>
      <w:r>
        <w:rPr>
          <w:rFonts w:ascii="Arial" w:hAnsi="Arial" w:cs="Arial" w:eastAsia="Arial"/>
          <w:b/>
          <w:color w:val="000000"/>
          <w:sz w:val="22"/>
          <w:u w:val="none"/>
        </w:rPr>
        <w:t>The defining feature of the credit ladder is low variance: contractual yield smooths bonuses, and zero years are rare at every level.</w:t>
      </w:r>
    </w:p>
    <w:p>
      <w:pPr>
        <w:spacing w:line="480" w:lineRule="auto" w:before="0" w:after="0"/>
      </w:pPr>
      <w:r>
        <w:rPr>
          <w:rFonts w:ascii="Arial" w:hAnsi="Arial" w:cs="Arial" w:eastAsia="Arial"/>
          <w:b/>
          <w:color w:val="000000"/>
          <w:sz w:val="36"/>
          <w:u w:val="none"/>
        </w:rPr>
        <w:t>Where the money comes from: the fee math</w:t>
      </w:r>
    </w:p>
    <w:p>
      <w:pPr>
        <w:spacing w:line="480" w:lineRule="auto" w:before="0" w:after="0"/>
      </w:pPr>
      <w:r>
        <w:rPr>
          <w:rFonts w:ascii="Arial" w:hAnsi="Arial" w:cs="Arial" w:eastAsia="Arial"/>
          <w:b w:val="0"/>
          <w:color w:val="000000"/>
          <w:sz w:val="22"/>
          <w:u w:val="none"/>
        </w:rPr>
        <w:t>One worked example explains most of private credit compensation.</w:t>
      </w:r>
    </w:p>
    <w:p>
      <w:pPr>
        <w:spacing w:line="480" w:lineRule="auto" w:before="0" w:after="0"/>
      </w:pPr>
      <w:r>
        <w:rPr>
          <w:rFonts w:ascii="Arial" w:hAnsi="Arial" w:cs="Arial" w:eastAsia="Arial"/>
          <w:b w:val="0"/>
          <w:color w:val="000000"/>
          <w:sz w:val="22"/>
          <w:u w:val="none"/>
        </w:rPr>
        <w:t>A direct lending fund managing $10 billion charges a management fee, commonly around 1 to 1.5 percent on deployed capital, call it $125 million a year at the midpoint, plus incentive fees on returns above a hurdle [VERIFY: current fee norms]. That fee stream pays the investment team before any incentive economics arrive. A platform running $100 billion across funds and BDC vehicles is running a billion-dollar-plus annual fee engine, and junior investment professionals are a small line item inside it.</w:t>
      </w:r>
    </w:p>
    <w:p>
      <w:pPr>
        <w:spacing w:line="480" w:lineRule="auto" w:before="0" w:after="0"/>
      </w:pPr>
      <w:r>
        <w:rPr>
          <w:rFonts w:ascii="Arial" w:hAnsi="Arial" w:cs="Arial" w:eastAsia="Arial"/>
          <w:b w:val="0"/>
          <w:color w:val="000000"/>
          <w:sz w:val="22"/>
          <w:u w:val="none"/>
        </w:rPr>
        <w:t>That's why analyst pay holds up: the fee base is large, contractual, and grows with every fund close. It's also why comp tracks fundraising. When you're weighing offers, ask when the platform last closed a flagship fund and how deployment is pacing, because those two answers predict your bonus trajectory better than any published range.</w:t>
      </w:r>
    </w:p>
    <w:p>
      <w:pPr>
        <w:spacing w:line="480" w:lineRule="auto" w:before="0" w:after="0"/>
      </w:pPr>
      <w:r>
        <w:rPr>
          <w:rFonts w:ascii="Arial" w:hAnsi="Arial" w:cs="Arial" w:eastAsia="Arial"/>
          <w:b/>
          <w:color w:val="000000"/>
          <w:sz w:val="36"/>
          <w:u w:val="none"/>
        </w:rPr>
        <w:t>How the bonus actually gets set</w:t>
      </w:r>
    </w:p>
    <w:p>
      <w:pPr>
        <w:spacing w:line="480" w:lineRule="auto" w:before="0" w:after="0"/>
      </w:pPr>
      <w:r>
        <w:rPr>
          <w:rFonts w:ascii="Arial" w:hAnsi="Arial" w:cs="Arial" w:eastAsia="Arial"/>
          <w:b w:val="0"/>
          <w:color w:val="000000"/>
          <w:sz w:val="22"/>
          <w:u w:val="none"/>
        </w:rPr>
        <w:t>Three inputs, at most platforms.</w:t>
      </w:r>
    </w:p>
    <w:p>
      <w:pPr>
        <w:spacing w:line="480" w:lineRule="auto" w:before="0" w:after="0"/>
      </w:pPr>
      <w:r>
        <w:rPr>
          <w:rFonts w:ascii="Arial" w:hAnsi="Arial" w:cs="Arial" w:eastAsia="Arial"/>
          <w:b w:val="0"/>
          <w:color w:val="000000"/>
          <w:sz w:val="22"/>
          <w:u w:val="none"/>
        </w:rPr>
        <w:t>Fund performance sets the pool. Contractual yield makes credit pools steadier than PE's, but deployment pace and credit losses still move them year to year: a vintage with two defaults pays differently than a clean one.</w:t>
      </w:r>
    </w:p>
    <w:p>
      <w:pPr>
        <w:spacing w:line="480" w:lineRule="auto" w:before="0" w:after="0"/>
      </w:pPr>
      <w:r>
        <w:rPr>
          <w:rFonts w:ascii="Arial" w:hAnsi="Arial" w:cs="Arial" w:eastAsia="Arial"/>
          <w:b w:val="0"/>
          <w:color w:val="000000"/>
          <w:sz w:val="22"/>
          <w:u w:val="none"/>
        </w:rPr>
        <w:t>Your review sets your slice. Credit reviews weight underwriting quality, whether your credits performed and whether your downside cases held up, over raw deal count.</w:t>
      </w:r>
    </w:p>
    <w:p>
      <w:pPr>
        <w:spacing w:line="480" w:lineRule="auto" w:before="0" w:after="0"/>
      </w:pPr>
      <w:r>
        <w:rPr>
          <w:rFonts w:ascii="Arial" w:hAnsi="Arial" w:cs="Arial" w:eastAsia="Arial"/>
          <w:b w:val="0"/>
          <w:color w:val="000000"/>
          <w:sz w:val="22"/>
          <w:u w:val="none"/>
        </w:rPr>
        <w:t>Your seniors convert the review into dollars. Advocacy matters in every bonus room, which is a real reason to weight mentor-rich teams over brand-rich ones when choosing between offers.</w:t>
      </w:r>
    </w:p>
    <w:p>
      <w:pPr>
        <w:spacing w:line="480" w:lineRule="auto" w:before="0" w:after="0"/>
      </w:pPr>
      <w:r>
        <w:rPr>
          <w:rFonts w:ascii="Arial" w:hAnsi="Arial" w:cs="Arial" w:eastAsia="Arial"/>
          <w:b/>
          <w:color w:val="000000"/>
          <w:sz w:val="22"/>
          <w:u w:val="none"/>
        </w:rPr>
        <w:t>A first-year whose credit memos stop needing senior rewrites by spring is tracking toward the top of the bonus range, and that bar is learnable.</w:t>
      </w:r>
      <w:r>
        <w:rPr>
          <w:rFonts w:ascii="Arial" w:hAnsi="Arial" w:cs="Arial" w:eastAsia="Arial"/>
          <w:b w:val="0"/>
          <w:color w:val="000000"/>
          <w:sz w:val="22"/>
          <w:u w:val="none"/>
        </w:rPr>
        <w:t xml:space="preserve"> Sharper downside cases than asked for, portfolio issues flagged before the calendar forces them, committee materials that are decision-ready. That's the whole rubric.</w:t>
      </w:r>
    </w:p>
    <w:p>
      <w:pPr>
        <w:spacing w:line="480" w:lineRule="auto" w:before="0" w:after="0"/>
      </w:pPr>
      <w:r>
        <w:rPr>
          <w:rFonts w:ascii="Arial" w:hAnsi="Arial" w:cs="Arial" w:eastAsia="Arial"/>
          <w:b/>
          <w:color w:val="000000"/>
          <w:sz w:val="36"/>
          <w:u w:val="none"/>
        </w:rPr>
        <w:t>Credit carry versus PE carry</w:t>
      </w:r>
    </w:p>
    <w:p>
      <w:pPr>
        <w:spacing w:line="480" w:lineRule="auto" w:before="0" w:after="0"/>
      </w:pPr>
      <w:r>
        <w:rPr>
          <w:rFonts w:ascii="Arial" w:hAnsi="Arial" w:cs="Arial" w:eastAsia="Arial"/>
          <w:b w:val="0"/>
          <w:color w:val="000000"/>
          <w:sz w:val="22"/>
          <w:u w:val="none"/>
        </w:rPr>
        <w:t>PE carry is a share of profits above a hurdle on funds that live or die at exit. A fund that triples makes its VPs wealthy; a fund that returns capital pays carry of zero. The distribution is lumpy by design.</w:t>
      </w:r>
    </w:p>
    <w:p>
      <w:pPr>
        <w:spacing w:line="480" w:lineRule="auto" w:before="0" w:after="0"/>
      </w:pPr>
      <w:r>
        <w:rPr>
          <w:rFonts w:ascii="Arial" w:hAnsi="Arial" w:cs="Arial" w:eastAsia="Arial"/>
          <w:b w:val="0"/>
          <w:color w:val="000000"/>
          <w:sz w:val="22"/>
          <w:u w:val="none"/>
        </w:rPr>
        <w:t>Credit incentive economics come in three structures depending on platform: carried interest on drawdown-style credit funds, incentive fees on BDC vehicles (typically a percentage of income above a hurdle, paid quarterly), and profit-share arrangements at some private partnerships [VERIFY: structures by firm type]. All three pay from yield, which means they pay more often and less spectacularly than PE carry. A strong credit vintage returns its spread; it doesn't triple.</w:t>
      </w:r>
    </w:p>
    <w:p>
      <w:pPr>
        <w:spacing w:line="480" w:lineRule="auto" w:before="0" w:after="0"/>
      </w:pPr>
      <w:r>
        <w:rPr>
          <w:rFonts w:ascii="Arial" w:hAnsi="Arial" w:cs="Arial" w:eastAsia="Arial"/>
          <w:b w:val="0"/>
          <w:color w:val="000000"/>
          <w:sz w:val="22"/>
          <w:u w:val="none"/>
        </w:rPr>
        <w:t>For career math at 20, the practical read: credit compensation rewards tenure and fund growth, PE compensation rewards being at the right fund in the right vintage. Neither is wrong. They select for different risk appetites, which is fitting.</w:t>
      </w:r>
    </w:p>
    <w:p>
      <w:pPr>
        <w:spacing w:line="480" w:lineRule="auto" w:before="0" w:after="0"/>
      </w:pPr>
      <w:r>
        <w:rPr>
          <w:rFonts w:ascii="Arial" w:hAnsi="Arial" w:cs="Arial" w:eastAsia="Arial"/>
          <w:b w:val="0"/>
          <w:color w:val="000000"/>
          <w:sz w:val="22"/>
          <w:u w:val="none"/>
        </w:rPr>
        <w:t>One concrete version of the mechanics, since interviews reward specificity: a typical BDC charges a base management fee on assets plus an incentive fee, commonly 15 to 20 percent of income above an annualized hurdle near 6 to 8 percent [VERIFY: current fee structures]. Income above the hurdle flows to the manager quarter after quarter, in cash, for as long as the portfolio performs. Compare that with PE carry that pays once, years out, if the exits cooperate, and the two career income shapes become obvious: one is an annuity you help build, the other is a lottery ticket you help write.</w:t>
      </w:r>
    </w:p>
    <w:p>
      <w:pPr>
        <w:spacing w:line="480" w:lineRule="auto" w:before="0" w:after="0"/>
      </w:pPr>
      <w:r>
        <w:rPr>
          <w:rFonts w:ascii="Arial" w:hAnsi="Arial" w:cs="Arial" w:eastAsia="Arial"/>
          <w:b/>
          <w:color w:val="000000"/>
          <w:sz w:val="36"/>
          <w:u w:val="none"/>
        </w:rPr>
        <w:t>Pay by firm type</w:t>
      </w:r>
    </w:p>
    <w:p>
      <w:pPr>
        <w:spacing w:line="480" w:lineRule="auto" w:before="0" w:after="0"/>
      </w:pPr>
      <w:r>
        <w:rPr>
          <w:rFonts w:ascii="Arial" w:hAnsi="Arial" w:cs="Arial" w:eastAsia="Arial"/>
          <w:b w:val="0"/>
          <w:color w:val="000000"/>
          <w:sz w:val="22"/>
          <w:u w:val="none"/>
        </w:rPr>
        <w:t>The mega-fund credit arms, Apollo Credit, Blackstone Credit, KKR Credit, Ares, Carlyle Credit, anchor the top of every range above. Their fee engines are the largest and they compete with their own PE arms for juniors.</w:t>
      </w:r>
    </w:p>
    <w:p>
      <w:pPr>
        <w:spacing w:line="480" w:lineRule="auto" w:before="0" w:after="0"/>
      </w:pPr>
      <w:r>
        <w:rPr>
          <w:rFonts w:ascii="Arial" w:hAnsi="Arial" w:cs="Arial" w:eastAsia="Arial"/>
          <w:b w:val="0"/>
          <w:color w:val="000000"/>
          <w:sz w:val="22"/>
          <w:u w:val="none"/>
        </w:rPr>
        <w:t>Dedicated lenders, HPS (now part of BlackRock), Sixth Street, Blue Owl, Golub Capital, Antares Capital, Monroe Capital, pay competitively with the megafunds at the junior level, with more dispersion at the top depending on ownership structure and fund economics [VERIFY].</w:t>
      </w:r>
    </w:p>
    <w:p>
      <w:pPr>
        <w:spacing w:line="480" w:lineRule="auto" w:before="0" w:after="0"/>
      </w:pPr>
      <w:r>
        <w:rPr>
          <w:rFonts w:ascii="Arial" w:hAnsi="Arial" w:cs="Arial" w:eastAsia="Arial"/>
          <w:b w:val="0"/>
          <w:color w:val="000000"/>
          <w:sz w:val="22"/>
          <w:u w:val="none"/>
        </w:rPr>
        <w:t>Bank credit desks at JPMorgan, Goldman Sachs, and Morgan Stanley pay the bank's IB ladder, which trails fund-side comp at every level. The offset is the brand, the training infrastructure, and exits that stay broad.</w:t>
      </w:r>
    </w:p>
    <w:p>
      <w:pPr>
        <w:spacing w:line="480" w:lineRule="auto" w:before="0" w:after="0"/>
      </w:pPr>
      <w:r>
        <w:rPr>
          <w:rFonts w:ascii="Arial" w:hAnsi="Arial" w:cs="Arial" w:eastAsia="Arial"/>
          <w:b w:val="0"/>
          <w:color w:val="000000"/>
          <w:sz w:val="22"/>
          <w:u w:val="none"/>
        </w:rPr>
        <w:t>Geography adjusts everything by 10 to 15 percent: New York anchors the published numbers, regional offices run lighter for identical titles.</w:t>
      </w:r>
    </w:p>
    <w:p>
      <w:pPr>
        <w:spacing w:line="480" w:lineRule="auto" w:before="0" w:after="0"/>
      </w:pPr>
      <w:r>
        <w:rPr>
          <w:rFonts w:ascii="Arial" w:hAnsi="Arial" w:cs="Arial" w:eastAsia="Arial"/>
          <w:b w:val="0"/>
          <w:color w:val="000000"/>
          <w:sz w:val="22"/>
          <w:u w:val="none"/>
        </w:rPr>
        <w:t>Strategy inside the platform moves junior pay less than students expect, direct lending, opportunistic, and asset-based analysts start on the same scale at most large firms, but it moves trajectory later, because incentive economics concentrate where the flagship funds sit. An analyst optimizing the long run should ask which strategy the next flagship raise backs, not which desk sounds most interesting this year [VERIFY: comp parity across strategies].</w:t>
      </w:r>
    </w:p>
    <w:p>
      <w:pPr>
        <w:spacing w:line="480" w:lineRule="auto" w:before="0" w:after="0"/>
      </w:pPr>
      <w:r>
        <w:rPr>
          <w:rFonts w:ascii="Arial" w:hAnsi="Arial" w:cs="Arial" w:eastAsia="Arial"/>
          <w:b/>
          <w:color w:val="000000"/>
          <w:sz w:val="36"/>
          <w:u w:val="none"/>
        </w:rPr>
        <w:t>The three-way comparison students actually want</w:t>
      </w:r>
    </w:p>
    <w:p>
      <w:pPr>
        <w:spacing w:line="480" w:lineRule="auto" w:before="0" w:after="0"/>
      </w:pPr>
      <w:r>
        <w:rPr>
          <w:rFonts w:ascii="Arial" w:hAnsi="Arial" w:cs="Arial" w:eastAsia="Arial"/>
          <w:b w:val="0"/>
          <w:color w:val="000000"/>
          <w:sz w:val="22"/>
          <w:u w:val="none"/>
        </w:rPr>
        <w:t>First-year seats, side by side [VERIFY: all figures]:</w:t>
      </w:r>
    </w:p>
    <w:p>
      <w:pPr>
        <w:pStyle w:val="ListBullet"/>
        <w:spacing w:line="480" w:lineRule="auto" w:before="0" w:after="0"/>
      </w:pPr>
      <w:r>
        <w:rPr>
          <w:rFonts w:ascii="Arial" w:hAnsi="Arial" w:cs="Arial" w:eastAsia="Arial"/>
          <w:b w:val="0"/>
          <w:color w:val="000000"/>
          <w:sz w:val="22"/>
          <w:u w:val="none"/>
        </w:rPr>
        <w:t>Bulge bracket IB analyst: $110K to $125K base, $170K to $220K all-in, 80 to 100 hours</w:t>
      </w:r>
    </w:p>
    <w:p>
      <w:pPr>
        <w:pStyle w:val="ListBullet"/>
        <w:spacing w:line="480" w:lineRule="auto" w:before="0" w:after="0"/>
      </w:pPr>
      <w:r>
        <w:rPr>
          <w:rFonts w:ascii="Arial" w:hAnsi="Arial" w:cs="Arial" w:eastAsia="Arial"/>
          <w:b w:val="0"/>
          <w:color w:val="000000"/>
          <w:sz w:val="22"/>
          <w:u w:val="none"/>
        </w:rPr>
        <w:t>Private credit analyst at a top fund: $130K to $150K base, $180K to $250K all-in, 60 to 75 hours</w:t>
      </w:r>
    </w:p>
    <w:p>
      <w:pPr>
        <w:pStyle w:val="ListBullet"/>
        <w:spacing w:line="480" w:lineRule="auto" w:before="0" w:after="0"/>
      </w:pPr>
      <w:r>
        <w:rPr>
          <w:rFonts w:ascii="Arial" w:hAnsi="Arial" w:cs="Arial" w:eastAsia="Arial"/>
          <w:b w:val="0"/>
          <w:color w:val="000000"/>
          <w:sz w:val="22"/>
          <w:u w:val="none"/>
        </w:rPr>
        <w:t>Mega-fund PE: comparable all-in at entry, the longest senior-level right tail, banking-adjacent hours in deal sprints</w:t>
      </w:r>
    </w:p>
    <w:p>
      <w:pPr>
        <w:spacing w:line="480" w:lineRule="auto" w:before="0" w:after="0"/>
      </w:pPr>
      <w:r>
        <w:rPr>
          <w:rFonts w:ascii="Arial" w:hAnsi="Arial" w:cs="Arial" w:eastAsia="Arial"/>
          <w:b w:val="0"/>
          <w:color w:val="000000"/>
          <w:sz w:val="22"/>
          <w:u w:val="none"/>
        </w:rPr>
        <w:t>Do the per-hour arithmetic once and it sticks: $215,000 at the midpoint over roughly 3,400 banking hours is about $63 an hour, while the same money over 3,000 lending hours is about $72, before counting what the hours themselves cost. Bonus timing is the other mechanical detail first-years miss: most platforms pay the first full bonus after the first complete fiscal year, with stub treatment for off-cycle starts, so the headline all-in arrives on a lag worth planning cash around [VERIFY: payment timing by firm].</w:t>
      </w:r>
    </w:p>
    <w:p>
      <w:pPr>
        <w:spacing w:line="480" w:lineRule="auto" w:before="0" w:after="0"/>
      </w:pPr>
      <w:r>
        <w:rPr>
          <w:rFonts w:ascii="Arial" w:hAnsi="Arial" w:cs="Arial" w:eastAsia="Arial"/>
          <w:b w:val="0"/>
          <w:color w:val="000000"/>
          <w:sz w:val="22"/>
          <w:u w:val="none"/>
        </w:rPr>
        <w:t>On dollars per hour, private credit wins the entry-level comparison outright. The constraint is seat count: credit classes run 15 to 40 against banking classes in the hundreds, which is the entire trade.</w:t>
      </w:r>
    </w:p>
    <w:p>
      <w:pPr>
        <w:spacing w:line="480" w:lineRule="auto" w:before="0" w:after="0"/>
      </w:pPr>
      <w:r>
        <w:rPr>
          <w:rFonts w:ascii="Arial" w:hAnsi="Arial" w:cs="Arial" w:eastAsia="Arial"/>
          <w:b/>
          <w:color w:val="000000"/>
          <w:sz w:val="36"/>
          <w:u w:val="none"/>
        </w:rPr>
        <w:t>Negotiating the offer</w:t>
      </w:r>
    </w:p>
    <w:p>
      <w:pPr>
        <w:spacing w:line="480" w:lineRule="auto" w:before="0" w:after="0"/>
      </w:pPr>
      <w:r>
        <w:rPr>
          <w:rFonts w:ascii="Arial" w:hAnsi="Arial" w:cs="Arial" w:eastAsia="Arial"/>
          <w:b w:val="0"/>
          <w:color w:val="000000"/>
          <w:sz w:val="22"/>
          <w:u w:val="none"/>
        </w:rPr>
        <w:t>Junior comp at large platforms is mostly standardized, so bases rarely move. Three things sometimes do.</w:t>
      </w:r>
    </w:p>
    <w:p>
      <w:pPr>
        <w:spacing w:line="480" w:lineRule="auto" w:before="0" w:after="0"/>
      </w:pPr>
      <w:r>
        <w:rPr>
          <w:rFonts w:ascii="Arial" w:hAnsi="Arial" w:cs="Arial" w:eastAsia="Arial"/>
          <w:b w:val="0"/>
          <w:color w:val="000000"/>
          <w:sz w:val="22"/>
          <w:u w:val="none"/>
        </w:rPr>
        <w:t>Signing bonuses flex when a competing offer exists [VERIFY: current norms]. Start dates move freely. And team placement is the highest-value ask almost nobody makes: at multi-strategy platforms, a polite push toward the direct lending team over a liquid-credit seat changes your two-year skill build more than any signing bonus.</w:t>
      </w:r>
    </w:p>
    <w:p>
      <w:pPr>
        <w:spacing w:line="480" w:lineRule="auto" w:before="0" w:after="0"/>
      </w:pPr>
      <w:r>
        <w:rPr>
          <w:rFonts w:ascii="Arial" w:hAnsi="Arial" w:cs="Arial" w:eastAsia="Arial"/>
          <w:b w:val="0"/>
          <w:color w:val="000000"/>
          <w:sz w:val="22"/>
          <w:u w:val="none"/>
        </w:rPr>
        <w:t>Frame everything as questions before requests. "How is the analyst bonus range determined, and where did last year's class land in it" reads as fund-economics literacy. "Can you increase the number" reads as a candidate who'll be doing this again in a year.</w:t>
      </w:r>
    </w:p>
    <w:p>
      <w:pPr>
        <w:spacing w:line="480" w:lineRule="auto" w:before="0" w:after="0"/>
      </w:pPr>
      <w:r>
        <w:rPr>
          <w:rFonts w:ascii="Arial" w:hAnsi="Arial" w:cs="Arial" w:eastAsia="Arial"/>
          <w:b/>
          <w:color w:val="000000"/>
          <w:sz w:val="36"/>
          <w:u w:val="none"/>
        </w:rPr>
        <w:t>The parts of the package nobody lists</w:t>
      </w:r>
    </w:p>
    <w:p>
      <w:pPr>
        <w:spacing w:line="480" w:lineRule="auto" w:before="0" w:after="0"/>
      </w:pPr>
      <w:r>
        <w:rPr>
          <w:rFonts w:ascii="Arial" w:hAnsi="Arial" w:cs="Arial" w:eastAsia="Arial"/>
          <w:b w:val="0"/>
          <w:color w:val="000000"/>
          <w:sz w:val="22"/>
          <w:u w:val="none"/>
        </w:rPr>
        <w:t>Three line items sit outside the base-and-bonus headline. Signing bonuses for undergrad hires typically run $5,000 to $15,000 and flex with competing offers [VERIFY: current norms]. Relocation support is standard at the large platforms. And starting at the VP level, many platforms offer co-invest access, the right to put personal capital into the funds alongside LPs, which quietly becomes one of the larger wealth-building mechanics of a credit career.</w:t>
      </w:r>
    </w:p>
    <w:p>
      <w:pPr>
        <w:spacing w:line="480" w:lineRule="auto" w:before="0" w:after="0"/>
      </w:pPr>
      <w:r>
        <w:rPr>
          <w:rFonts w:ascii="Arial" w:hAnsi="Arial" w:cs="Arial" w:eastAsia="Arial"/>
          <w:b w:val="0"/>
          <w:color w:val="000000"/>
          <w:sz w:val="22"/>
          <w:u w:val="none"/>
        </w:rPr>
        <w:t>None of these should drive a decision at 22. All of them are worth asking about at the offer stage, because the answers reveal how the platform treats its people when nobody's negotiating.</w:t>
      </w:r>
    </w:p>
    <w:p>
      <w:pPr>
        <w:spacing w:line="480" w:lineRule="auto" w:before="0" w:after="0"/>
      </w:pPr>
      <w:r>
        <w:rPr>
          <w:rFonts w:ascii="Arial" w:hAnsi="Arial" w:cs="Arial" w:eastAsia="Arial"/>
          <w:b w:val="0"/>
          <w:color w:val="000000"/>
          <w:sz w:val="22"/>
          <w:u w:val="none"/>
        </w:rPr>
        <w:t>One more line item with career-length consequences: where the platform sources its capital. Analysts at BDC-heavy shops earn against permanent-capital economics that don't reset with each fundraise. Analysts at drawdown-fund platforms earn against vintage cycles. Neither is better in year one; by year ten they produce different income shapes, and the people who noticed at 22 chose with the whole curve in view.</w:t>
      </w:r>
    </w:p>
    <w:p>
      <w:pPr>
        <w:spacing w:line="480" w:lineRule="auto" w:before="0" w:after="0"/>
      </w:pPr>
      <w:r>
        <w:rPr>
          <w:rFonts w:ascii="Arial" w:hAnsi="Arial" w:cs="Arial" w:eastAsia="Arial"/>
          <w:b/>
          <w:color w:val="000000"/>
          <w:sz w:val="36"/>
          <w:u w:val="none"/>
        </w:rPr>
        <w:t>Four questions to ask before signing</w:t>
      </w:r>
    </w:p>
    <w:p>
      <w:pPr>
        <w:spacing w:line="480" w:lineRule="auto" w:before="0" w:after="0"/>
      </w:pPr>
      <w:r>
        <w:rPr>
          <w:rFonts w:ascii="Arial" w:hAnsi="Arial" w:cs="Arial" w:eastAsia="Arial"/>
          <w:b w:val="0"/>
          <w:color w:val="000000"/>
          <w:sz w:val="22"/>
          <w:u w:val="none"/>
        </w:rPr>
        <w:t>How are bonuses determined, and what was last year's realistic range? When do incentive economics start, and in which structure? When did the platform last close a flagship fund, and how is deployment pacing? What share of analysts were promoted internally over the past three years versus replaced with laterals?</w:t>
      </w:r>
    </w:p>
    <w:p>
      <w:pPr>
        <w:spacing w:line="480" w:lineRule="auto" w:before="0" w:after="0"/>
      </w:pPr>
      <w:r>
        <w:rPr>
          <w:rFonts w:ascii="Arial" w:hAnsi="Arial" w:cs="Arial" w:eastAsia="Arial"/>
          <w:b/>
          <w:color w:val="000000"/>
          <w:sz w:val="22"/>
          <w:u w:val="none"/>
        </w:rPr>
        <w:t>A slightly lower offer at a platform that just closed a fund and promotes from within beats a higher offer at a platform between funds, because the second number decays and the first compounds.</w:t>
      </w:r>
    </w:p>
    <w:p>
      <w:pPr>
        <w:spacing w:line="480" w:lineRule="auto" w:before="0" w:after="0"/>
      </w:pPr>
      <w:r>
        <w:rPr>
          <w:rFonts w:ascii="Arial" w:hAnsi="Arial" w:cs="Arial" w:eastAsia="Arial"/>
          <w:b/>
          <w:color w:val="000000"/>
          <w:sz w:val="36"/>
          <w:u w:val="none"/>
        </w:rPr>
        <w:t>Say this, don't say that</w:t>
      </w:r>
    </w:p>
    <w:p>
      <w:pPr>
        <w:spacing w:line="480" w:lineRule="auto" w:before="0" w:after="0"/>
      </w:pPr>
      <w:r>
        <w:rPr>
          <w:rFonts w:ascii="Arial" w:hAnsi="Arial" w:cs="Arial" w:eastAsia="Arial"/>
          <w:b/>
          <w:color w:val="000000"/>
          <w:sz w:val="22"/>
          <w:u w:val="none"/>
        </w:rPr>
        <w:t>What are your compensation expectations?</w:t>
      </w:r>
    </w:p>
    <w:p>
      <w:pPr>
        <w:spacing w:line="480" w:lineRule="auto" w:before="0" w:after="0"/>
      </w:pPr>
      <w:r>
        <w:rPr>
          <w:rFonts w:ascii="Arial" w:hAnsi="Arial" w:cs="Arial" w:eastAsia="Arial"/>
          <w:b w:val="0"/>
          <w:color w:val="000000"/>
          <w:sz w:val="22"/>
          <w:u w:val="none"/>
        </w:rPr>
        <w:t>Don't say: "I know private credit pays close to PE, so I'd expect that range."</w:t>
      </w:r>
    </w:p>
    <w:p>
      <w:pPr>
        <w:spacing w:line="480" w:lineRule="auto" w:before="0" w:after="0"/>
      </w:pPr>
      <w:r>
        <w:rPr>
          <w:rFonts w:ascii="Arial" w:hAnsi="Arial" w:cs="Arial" w:eastAsia="Arial"/>
          <w:b w:val="0"/>
          <w:color w:val="000000"/>
          <w:sz w:val="22"/>
          <w:u w:val="none"/>
        </w:rPr>
        <w:t>Say: "I expect the standard analyst structure for the platform. I'm choosing on the underwriting reps and the team, and the economics follow from that."</w:t>
      </w:r>
    </w:p>
    <w:p>
      <w:pPr>
        <w:spacing w:line="480" w:lineRule="auto" w:before="0" w:after="0"/>
      </w:pPr>
      <w:r>
        <w:rPr>
          <w:rFonts w:ascii="Arial" w:hAnsi="Arial" w:cs="Arial" w:eastAsia="Arial"/>
          <w:b/>
          <w:color w:val="000000"/>
          <w:sz w:val="22"/>
          <w:u w:val="none"/>
        </w:rPr>
        <w:t>Why credit and not PE, if the pay is similar?</w:t>
      </w:r>
    </w:p>
    <w:p>
      <w:pPr>
        <w:spacing w:line="480" w:lineRule="auto" w:before="0" w:after="0"/>
      </w:pPr>
      <w:r>
        <w:rPr>
          <w:rFonts w:ascii="Arial" w:hAnsi="Arial" w:cs="Arial" w:eastAsia="Arial"/>
          <w:b w:val="0"/>
          <w:color w:val="000000"/>
          <w:sz w:val="22"/>
          <w:u w:val="none"/>
        </w:rPr>
        <w:t>Don't say: "The pay is basically the same with better hours."</w:t>
      </w:r>
    </w:p>
    <w:p>
      <w:pPr>
        <w:spacing w:line="480" w:lineRule="auto" w:before="0" w:after="0"/>
      </w:pPr>
      <w:r>
        <w:rPr>
          <w:rFonts w:ascii="Arial" w:hAnsi="Arial" w:cs="Arial" w:eastAsia="Arial"/>
          <w:b w:val="0"/>
          <w:color w:val="000000"/>
          <w:sz w:val="22"/>
          <w:u w:val="none"/>
        </w:rPr>
        <w:t>Say: "Comp parity means the work itself gets to decide, and the work I want is pricing downside risk and structuring around it."</w:t>
      </w:r>
    </w:p>
    <w:p>
      <w:pPr>
        <w:spacing w:line="480" w:lineRule="auto" w:before="0" w:after="0"/>
      </w:pPr>
      <w:r>
        <w:rPr>
          <w:rFonts w:ascii="Arial" w:hAnsi="Arial" w:cs="Arial" w:eastAsia="Arial"/>
          <w:b/>
          <w:color w:val="000000"/>
          <w:sz w:val="36"/>
          <w:u w:val="none"/>
        </w:rPr>
        <w:t>The bottom line</w:t>
      </w:r>
    </w:p>
    <w:p>
      <w:pPr>
        <w:spacing w:line="480" w:lineRule="auto" w:before="0" w:after="0"/>
      </w:pPr>
      <w:r>
        <w:rPr>
          <w:rFonts w:ascii="Arial" w:hAnsi="Arial" w:cs="Arial" w:eastAsia="Arial"/>
          <w:b w:val="0"/>
          <w:color w:val="000000"/>
          <w:sz w:val="22"/>
          <w:u w:val="none"/>
        </w:rPr>
        <w:t>$180K to $250K all-in at 22, parity with PE through the associate years, senior economics that trade PE's lottery tickets for reliability, and a fee engine underneath it all that has grown every year for a decade [VERIFY: ranges]. The scarcity is seats, not money. A sophomore deciding between funnels should weigh that scarcity honestly: the pay case for private credit is easy, and the seat still has to be won against a small class. Our Top 10 Private Credit Firms for Undergraduates covers where the seats are, and our Beginner's Guide to Private Credit covers the interview that wins 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