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pPr>
      <w:r>
        <w:rPr>
          <w:rFonts w:ascii="Arial" w:hAnsi="Arial" w:cs="Arial" w:eastAsia="Arial"/>
          <w:b/>
          <w:color w:val="000000"/>
          <w:sz w:val="48"/>
          <w:u w:val="none"/>
        </w:rPr>
        <w:t>Private Credit vs Private Equity: Which Should You Pick?</w:t>
      </w:r>
    </w:p>
    <w:p>
      <w:pPr>
        <w:spacing w:line="480" w:lineRule="auto" w:before="0" w:after="0"/>
      </w:pPr>
      <w:r>
        <w:rPr>
          <w:rFonts w:ascii="Arial" w:hAnsi="Arial" w:cs="Arial" w:eastAsia="Arial"/>
          <w:b/>
          <w:color w:val="000000"/>
          <w:sz w:val="22"/>
          <w:u w:val="none"/>
        </w:rPr>
        <w:t>Meta description:</w:t>
      </w:r>
      <w:r>
        <w:rPr>
          <w:rFonts w:ascii="Arial" w:hAnsi="Arial" w:cs="Arial" w:eastAsia="Arial"/>
          <w:b w:val="0"/>
          <w:color w:val="000000"/>
          <w:sz w:val="22"/>
          <w:u w:val="none"/>
        </w:rPr>
        <w:t xml:space="preserve"> WSG founder Stephen Turban compares private credit vs private equity on the work, pay, hours, recruiting odds, and exits, with a worked deal example.</w:t>
      </w:r>
    </w:p>
    <w:p>
      <w:pPr>
        <w:spacing w:line="480" w:lineRule="auto" w:before="0" w:after="0"/>
      </w:pPr>
      <w:r>
        <w:rPr>
          <w:rFonts w:ascii="Arial" w:hAnsi="Arial" w:cs="Arial" w:eastAsia="Arial"/>
          <w:b w:val="0"/>
          <w:color w:val="000000"/>
          <w:sz w:val="22"/>
          <w:u w:val="none"/>
        </w:rPr>
        <w:t>Both funds might look at the same company in the same month. A PE fund asks what the business could be worth in five years under better management and more leverage. A private credit fund asks whether the business can cover its interest payments if everything goes slightly wrong. Same company, opposite questions, and two different careers built around each question.</w:t>
      </w:r>
    </w:p>
    <w:p>
      <w:pPr>
        <w:spacing w:line="480" w:lineRule="auto" w:before="0" w:after="0"/>
      </w:pPr>
      <w:r>
        <w:rPr>
          <w:rFonts w:ascii="Arial" w:hAnsi="Arial" w:cs="Arial" w:eastAsia="Arial"/>
          <w:b w:val="0"/>
          <w:color w:val="000000"/>
          <w:sz w:val="22"/>
          <w:u w:val="none"/>
        </w:rPr>
        <w:t xml:space="preserve">Most students pick PE by default because it's famous. Some of them are right. A meaningful number discover two years in that their instincts were credit instincts the whole time, and that the seat they wanted had a smaller applicant pool and comparable pay. </w:t>
      </w:r>
      <w:r>
        <w:rPr>
          <w:rFonts w:ascii="Arial" w:hAnsi="Arial" w:cs="Arial" w:eastAsia="Arial"/>
          <w:b/>
          <w:color w:val="000000"/>
          <w:sz w:val="22"/>
          <w:u w:val="none"/>
        </w:rPr>
        <w:t>The comparison below exists so you can make the call at 20 instead of discovering it at 24.</w:t>
      </w:r>
    </w:p>
    <w:p>
      <w:pPr>
        <w:spacing w:line="480" w:lineRule="auto" w:before="0" w:after="0"/>
      </w:pPr>
      <w:r>
        <w:rPr>
          <w:rFonts w:ascii="Arial" w:hAnsi="Arial" w:cs="Arial" w:eastAsia="Arial"/>
          <w:b/>
          <w:color w:val="000000"/>
          <w:sz w:val="36"/>
          <w:u w:val="none"/>
        </w:rPr>
        <w:t>What's the actual difference between private credit and private equity?</w:t>
      </w:r>
    </w:p>
    <w:p>
      <w:pPr>
        <w:spacing w:line="480" w:lineRule="auto" w:before="0" w:after="0"/>
      </w:pPr>
      <w:r>
        <w:rPr>
          <w:rFonts w:ascii="Arial" w:hAnsi="Arial" w:cs="Arial" w:eastAsia="Arial"/>
          <w:b w:val="0"/>
          <w:color w:val="000000"/>
          <w:sz w:val="22"/>
          <w:u w:val="none"/>
        </w:rPr>
        <w:t>PE funds buy control of companies using equity plus borrowed money, improve the business over roughly three to seven years, and earn their return at exit. Private credit funds are frequently the ones lending that borrowed money: they originate loans, hold them, collect contractual interest, and get repaid at maturity. PE's return depends on what the business becomes. Credit's return is negotiated up front and defended with covenants and collateral.</w:t>
      </w:r>
    </w:p>
    <w:p>
      <w:pPr>
        <w:spacing w:line="480" w:lineRule="auto" w:before="0" w:after="0"/>
      </w:pPr>
      <w:r>
        <w:rPr>
          <w:rFonts w:ascii="Arial" w:hAnsi="Arial" w:cs="Arial" w:eastAsia="Arial"/>
          <w:b/>
          <w:color w:val="000000"/>
          <w:sz w:val="36"/>
          <w:u w:val="none"/>
        </w:rPr>
        <w:t>Is private credit easier to get into than private equity?</w:t>
      </w:r>
    </w:p>
    <w:p>
      <w:pPr>
        <w:spacing w:line="480" w:lineRule="auto" w:before="0" w:after="0"/>
      </w:pPr>
      <w:r>
        <w:rPr>
          <w:rFonts w:ascii="Arial" w:hAnsi="Arial" w:cs="Arial" w:eastAsia="Arial"/>
          <w:b w:val="0"/>
          <w:color w:val="000000"/>
          <w:sz w:val="22"/>
          <w:u w:val="none"/>
        </w:rPr>
        <w:t>At the undergrad level, meaningfully. Top private credit Summer Analyst programs accept roughly 1.5 to 3 percent of applicants against sub-1 percent at mega-fund PE, on the same sophomore-fall timeline, largely because most students never apply [VERIFY: acceptance estimates]. The overlap in application materials runs about 80 percent, which is why applying to both costs almost nothing extra.</w:t>
      </w:r>
    </w:p>
    <w:p>
      <w:pPr>
        <w:spacing w:line="480" w:lineRule="auto" w:before="0" w:after="0"/>
      </w:pPr>
      <w:r>
        <w:rPr>
          <w:rFonts w:ascii="Arial" w:hAnsi="Arial" w:cs="Arial" w:eastAsia="Arial"/>
          <w:b/>
          <w:color w:val="000000"/>
          <w:sz w:val="36"/>
          <w:u w:val="none"/>
        </w:rPr>
        <w:t>1. Run the same deal through both seats and the difference gets concrete</w:t>
      </w:r>
    </w:p>
    <w:p>
      <w:pPr>
        <w:spacing w:line="480" w:lineRule="auto" w:before="0" w:after="0"/>
      </w:pPr>
      <w:r>
        <w:rPr>
          <w:rFonts w:ascii="Arial" w:hAnsi="Arial" w:cs="Arial" w:eastAsia="Arial"/>
          <w:b w:val="0"/>
          <w:color w:val="000000"/>
          <w:sz w:val="22"/>
          <w:u w:val="none"/>
        </w:rPr>
        <w:t>Take a real shape: a sponsor buys a software company doing $50 million of EBITDA for $500 million, financed with $300 million of debt from a direct lender and $200 million of equity.</w:t>
      </w:r>
    </w:p>
    <w:p>
      <w:pPr>
        <w:spacing w:line="480" w:lineRule="auto" w:before="0" w:after="0"/>
      </w:pPr>
      <w:r>
        <w:rPr>
          <w:rFonts w:ascii="Arial" w:hAnsi="Arial" w:cs="Arial" w:eastAsia="Arial"/>
          <w:b w:val="0"/>
          <w:color w:val="000000"/>
          <w:sz w:val="22"/>
          <w:u w:val="none"/>
        </w:rPr>
        <w:t>The PE associate's model asks: can we grow EBITDA to $75 million through pricing changes and two tuck-in acquisitions, and exit at the same 10x multiple for $750 million? If yes, the $200 million of equity becomes roughly $450 million after debt paydown, better than a double. Their diligence lives in the upside: market growth, pricing power, the operational plan.</w:t>
      </w:r>
    </w:p>
    <w:p>
      <w:pPr>
        <w:spacing w:line="480" w:lineRule="auto" w:before="0" w:after="0"/>
      </w:pPr>
      <w:r>
        <w:rPr>
          <w:rFonts w:ascii="Arial" w:hAnsi="Arial" w:cs="Arial" w:eastAsia="Arial"/>
          <w:b w:val="0"/>
          <w:color w:val="000000"/>
          <w:sz w:val="22"/>
          <w:u w:val="none"/>
        </w:rPr>
        <w:t>The credit analyst's model asks: at $300 million of debt, the company carries 6x leverage, and at roughly SOFR plus 550 the interest bill runs near $30 million a year [VERIFY: current spread ranges]. Does $50 million of EBITDA cover $30 million of interest with room for capex and a downturn? What happens at $40 million of EBITDA? Their diligence lives in the downside: customer churn, margin durability, the covenant levels that force a conversation before the cushion is gone.</w:t>
      </w:r>
    </w:p>
    <w:p>
      <w:pPr>
        <w:spacing w:line="480" w:lineRule="auto" w:before="0" w:after="0"/>
      </w:pPr>
      <w:r>
        <w:rPr>
          <w:rFonts w:ascii="Arial" w:hAnsi="Arial" w:cs="Arial" w:eastAsia="Arial"/>
          <w:b w:val="0"/>
          <w:color w:val="000000"/>
          <w:sz w:val="22"/>
          <w:u w:val="none"/>
        </w:rPr>
        <w:t xml:space="preserve">Both seats analyzed the same company. The PE associate is underwriting what could go right. The credit analyst is pricing what could go wrong. </w:t>
      </w:r>
      <w:r>
        <w:rPr>
          <w:rFonts w:ascii="Arial" w:hAnsi="Arial" w:cs="Arial" w:eastAsia="Arial"/>
          <w:b/>
          <w:color w:val="000000"/>
          <w:sz w:val="22"/>
          <w:u w:val="none"/>
        </w:rPr>
        <w:t>Which model you'd rather own is the most honest version of this entire decision.</w:t>
      </w:r>
    </w:p>
    <w:p>
      <w:pPr>
        <w:spacing w:line="480" w:lineRule="auto" w:before="0" w:after="0"/>
      </w:pPr>
      <w:r>
        <w:rPr>
          <w:rFonts w:ascii="Arial" w:hAnsi="Arial" w:cs="Arial" w:eastAsia="Arial"/>
          <w:b/>
          <w:color w:val="000000"/>
          <w:sz w:val="36"/>
          <w:u w:val="none"/>
        </w:rPr>
        <w:t>2. The daily work diverges more than the job titles suggest</w:t>
      </w:r>
    </w:p>
    <w:p>
      <w:pPr>
        <w:spacing w:line="480" w:lineRule="auto" w:before="0" w:after="0"/>
      </w:pPr>
      <w:r>
        <w:rPr>
          <w:rFonts w:ascii="Arial" w:hAnsi="Arial" w:cs="Arial" w:eastAsia="Arial"/>
          <w:b w:val="0"/>
          <w:color w:val="000000"/>
          <w:sz w:val="22"/>
          <w:u w:val="none"/>
        </w:rPr>
        <w:t>A PE associate's calendar is transaction-shaped: live-deal sprints with diligence workstreams and hundred-tab models, then portfolio work between deals, board decks, hundred-day plans, add-on evaluations. The rhythm is waves.</w:t>
      </w:r>
    </w:p>
    <w:p>
      <w:pPr>
        <w:spacing w:line="480" w:lineRule="auto" w:before="0" w:after="0"/>
      </w:pPr>
      <w:r>
        <w:rPr>
          <w:rFonts w:ascii="Arial" w:hAnsi="Arial" w:cs="Arial" w:eastAsia="Arial"/>
          <w:b w:val="0"/>
          <w:color w:val="000000"/>
          <w:sz w:val="22"/>
          <w:u w:val="none"/>
        </w:rPr>
        <w:t>A credit analyst's calendar is portfolio-shaped: a base load of monitoring, every borrower reports monthly or quarterly, with originations layered on top as sponsors bring new deals. When a borrower trips a covenant, the analyst runs the amendment analysis. The rhythm is a heartbeat with spikes.</w:t>
      </w:r>
    </w:p>
    <w:p>
      <w:pPr>
        <w:spacing w:line="480" w:lineRule="auto" w:before="0" w:after="0"/>
      </w:pPr>
      <w:r>
        <w:rPr>
          <w:rFonts w:ascii="Arial" w:hAnsi="Arial" w:cs="Arial" w:eastAsia="Arial"/>
          <w:b w:val="0"/>
          <w:color w:val="000000"/>
          <w:sz w:val="22"/>
          <w:u w:val="none"/>
        </w:rPr>
        <w:t>Hours follow the shapes. Credit runs 60 to 75 in a typical week. PE runs harder, and mega-fund associates touch banking hours during live deals. Neither is a lifestyle job; one is streakier than the other.</w:t>
      </w:r>
    </w:p>
    <w:p>
      <w:pPr>
        <w:spacing w:line="480" w:lineRule="auto" w:before="0" w:after="0"/>
      </w:pPr>
      <w:r>
        <w:rPr>
          <w:rFonts w:ascii="Arial" w:hAnsi="Arial" w:cs="Arial" w:eastAsia="Arial"/>
          <w:b/>
          <w:color w:val="000000"/>
          <w:sz w:val="36"/>
          <w:u w:val="none"/>
        </w:rPr>
        <w:t>3. Comp starts equal and the tails diverge</w:t>
      </w:r>
    </w:p>
    <w:p>
      <w:pPr>
        <w:spacing w:line="480" w:lineRule="auto" w:before="0" w:after="0"/>
      </w:pPr>
      <w:r>
        <w:rPr>
          <w:rFonts w:ascii="Arial" w:hAnsi="Arial" w:cs="Arial" w:eastAsia="Arial"/>
          <w:b w:val="0"/>
          <w:color w:val="000000"/>
          <w:sz w:val="22"/>
          <w:u w:val="none"/>
        </w:rPr>
        <w:t>First-year numbers at top platforms [VERIFY: 2026 figures]:</w:t>
      </w:r>
    </w:p>
    <w:p>
      <w:pPr>
        <w:pStyle w:val="ListBullet"/>
        <w:spacing w:line="480" w:lineRule="auto" w:before="0" w:after="0"/>
      </w:pPr>
      <w:r>
        <w:rPr>
          <w:rFonts w:ascii="Arial" w:hAnsi="Arial" w:cs="Arial" w:eastAsia="Arial"/>
          <w:b w:val="0"/>
          <w:color w:val="000000"/>
          <w:sz w:val="22"/>
          <w:u w:val="none"/>
        </w:rPr>
        <w:t>Private credit analyst: $130,000 to $150,000 base, $50,000 to $100,000 bonus, roughly $180,000 to $250,000 all-in</w:t>
      </w:r>
    </w:p>
    <w:p>
      <w:pPr>
        <w:pStyle w:val="ListBullet"/>
        <w:spacing w:line="480" w:lineRule="auto" w:before="0" w:after="0"/>
      </w:pPr>
      <w:r>
        <w:rPr>
          <w:rFonts w:ascii="Arial" w:hAnsi="Arial" w:cs="Arial" w:eastAsia="Arial"/>
          <w:b w:val="0"/>
          <w:color w:val="000000"/>
          <w:sz w:val="22"/>
          <w:u w:val="none"/>
        </w:rPr>
        <w:t>Mega-fund PE (typically entered post-banking, some direct programs): comparable all-in at entry</w:t>
      </w:r>
    </w:p>
    <w:p>
      <w:pPr>
        <w:spacing w:line="480" w:lineRule="auto" w:before="0" w:after="0"/>
      </w:pPr>
      <w:r>
        <w:rPr>
          <w:rFonts w:ascii="Arial" w:hAnsi="Arial" w:cs="Arial" w:eastAsia="Arial"/>
          <w:b w:val="0"/>
          <w:color w:val="000000"/>
          <w:sz w:val="22"/>
          <w:u w:val="none"/>
        </w:rPr>
        <w:t>Parity holds through the associate years. The divergence is in the incentive economics that arrive at VP and above. PE carry is a share of profits above a hurdle: a fund that triples produces life-changing carry checks, a fund that limps produces zero. Credit's incentive economics, carry on credit funds and incentive fees on BDC vehicles, pay smaller and far more reliably, because contractual yield doesn't produce 3x vintages or zeros.</w:t>
      </w:r>
    </w:p>
    <w:p>
      <w:pPr>
        <w:spacing w:line="480" w:lineRule="auto" w:before="0" w:after="0"/>
      </w:pPr>
      <w:r>
        <w:rPr>
          <w:rFonts w:ascii="Arial" w:hAnsi="Arial" w:cs="Arial" w:eastAsia="Arial"/>
          <w:b w:val="0"/>
          <w:color w:val="000000"/>
          <w:sz w:val="22"/>
          <w:u w:val="none"/>
        </w:rPr>
        <w:t xml:space="preserve">By year five to seven, top credit professionals earn $500,000 to $1 million-plus all-in, with tighter clustering around those numbers than their PE counterparts see [VERIFY]. </w:t>
      </w:r>
      <w:r>
        <w:rPr>
          <w:rFonts w:ascii="Arial" w:hAnsi="Arial" w:cs="Arial" w:eastAsia="Arial"/>
          <w:b/>
          <w:color w:val="000000"/>
          <w:sz w:val="22"/>
          <w:u w:val="none"/>
        </w:rPr>
        <w:t>Private credit pays the higher floor and private equity pays the higher ceiling, and the medians sit closer together than students assume.</w:t>
      </w:r>
    </w:p>
    <w:p>
      <w:pPr>
        <w:spacing w:line="480" w:lineRule="auto" w:before="0" w:after="0"/>
      </w:pPr>
      <w:r>
        <w:rPr>
          <w:rFonts w:ascii="Arial" w:hAnsi="Arial" w:cs="Arial" w:eastAsia="Arial"/>
          <w:b/>
          <w:color w:val="000000"/>
          <w:sz w:val="36"/>
          <w:u w:val="none"/>
        </w:rPr>
        <w:t>4. Recruiting overlaps until the interview room, where the tests split</w:t>
      </w:r>
    </w:p>
    <w:p>
      <w:pPr>
        <w:spacing w:line="480" w:lineRule="auto" w:before="0" w:after="0"/>
      </w:pPr>
      <w:r>
        <w:rPr>
          <w:rFonts w:ascii="Arial" w:hAnsi="Arial" w:cs="Arial" w:eastAsia="Arial"/>
          <w:b w:val="0"/>
          <w:color w:val="000000"/>
          <w:sz w:val="22"/>
          <w:u w:val="none"/>
        </w:rPr>
        <w:t>Same sophomore-fall applications, same resume, and roughly 70 percent shared technical prep: accounting, three-statement mechanics, valuation basics.</w:t>
      </w:r>
    </w:p>
    <w:p>
      <w:pPr>
        <w:spacing w:line="480" w:lineRule="auto" w:before="0" w:after="0"/>
      </w:pPr>
      <w:r>
        <w:rPr>
          <w:rFonts w:ascii="Arial" w:hAnsi="Arial" w:cs="Arial" w:eastAsia="Arial"/>
          <w:b w:val="0"/>
          <w:color w:val="000000"/>
          <w:sz w:val="22"/>
          <w:u w:val="none"/>
        </w:rPr>
        <w:t>Then the split. PE interviews center on the LBO: paper LBOs, model tests, deal judgment, "walk me through a deal you'd do." Credit interviews center on the loan: reading a cap table, leverage and coverage ratios, covenant mechanics, and the would-you-lend question where the winning answer is a structured framework, cash flow durability, leverage versus peers, asset coverage, the covenant package you'd demand, the scenario that makes you pass. Our 20 Private Credit Interview Questions maps that side in detail.</w:t>
      </w:r>
    </w:p>
    <w:p>
      <w:pPr>
        <w:spacing w:line="480" w:lineRule="auto" w:before="0" w:after="0"/>
      </w:pPr>
      <w:r>
        <w:rPr>
          <w:rFonts w:ascii="Arial" w:hAnsi="Arial" w:cs="Arial" w:eastAsia="Arial"/>
          <w:b w:val="0"/>
          <w:color w:val="000000"/>
          <w:sz w:val="22"/>
          <w:u w:val="none"/>
        </w:rPr>
        <w:t>One sequencing note for anyone considering the banking detour first: PE recruits banking analysts through a compressed on-cycle sprint months into their first year, while credit funds hire year-round. The RX or LevFin analyst targeting credit recruits on a calendar that allows sleep.</w:t>
      </w:r>
    </w:p>
    <w:p>
      <w:pPr>
        <w:spacing w:line="480" w:lineRule="auto" w:before="0" w:after="0"/>
      </w:pPr>
      <w:r>
        <w:rPr>
          <w:rFonts w:ascii="Arial" w:hAnsi="Arial" w:cs="Arial" w:eastAsia="Arial"/>
          <w:b/>
          <w:color w:val="000000"/>
          <w:sz w:val="36"/>
          <w:u w:val="none"/>
        </w:rPr>
        <w:t>What each seat builds by year three</w:t>
      </w:r>
    </w:p>
    <w:p>
      <w:pPr>
        <w:spacing w:line="480" w:lineRule="auto" w:before="0" w:after="0"/>
      </w:pPr>
      <w:r>
        <w:rPr>
          <w:rFonts w:ascii="Arial" w:hAnsi="Arial" w:cs="Arial" w:eastAsia="Arial"/>
          <w:b w:val="0"/>
          <w:color w:val="000000"/>
          <w:sz w:val="22"/>
          <w:u w:val="none"/>
        </w:rPr>
        <w:t>Three years of PE builds LBO modeling at reflex speed, diligence management across parallel workstreams, board-material fluency, and operational pattern recognition across a portfolio. The associate who leaves at 25 is a transaction athlete who evaluates businesses as an owner.</w:t>
      </w:r>
    </w:p>
    <w:p>
      <w:pPr>
        <w:spacing w:line="480" w:lineRule="auto" w:before="0" w:after="0"/>
      </w:pPr>
      <w:r>
        <w:rPr>
          <w:rFonts w:ascii="Arial" w:hAnsi="Arial" w:cs="Arial" w:eastAsia="Arial"/>
          <w:b w:val="0"/>
          <w:color w:val="000000"/>
          <w:sz w:val="22"/>
          <w:u w:val="none"/>
        </w:rPr>
        <w:t>Three years of credit builds downside-case construction, covenant design, capital structure fluency from revolver through PIK, portfolio triage under stress, and the discipline of documenting a no. The analyst who leaves at 25 is an underwriter who prices risk wherever it appears.</w:t>
      </w:r>
    </w:p>
    <w:p>
      <w:pPr>
        <w:spacing w:line="480" w:lineRule="auto" w:before="0" w:after="0"/>
      </w:pPr>
      <w:r>
        <w:rPr>
          <w:rFonts w:ascii="Arial" w:hAnsi="Arial" w:cs="Arial" w:eastAsia="Arial"/>
          <w:b w:val="0"/>
          <w:color w:val="000000"/>
          <w:sz w:val="22"/>
          <w:u w:val="none"/>
        </w:rPr>
        <w:t>The stacks overlap less than the job titles suggest, which is why mid-career switches between the asset classes are rarer than students assume. The seat you take at 22 is a bet on which stack compounds toward the career you actually want.</w:t>
      </w:r>
    </w:p>
    <w:p>
      <w:pPr>
        <w:spacing w:line="480" w:lineRule="auto" w:before="0" w:after="0"/>
      </w:pPr>
      <w:r>
        <w:rPr>
          <w:rFonts w:ascii="Arial" w:hAnsi="Arial" w:cs="Arial" w:eastAsia="Arial"/>
          <w:b/>
          <w:color w:val="000000"/>
          <w:sz w:val="36"/>
          <w:u w:val="none"/>
        </w:rPr>
        <w:t>5. Exits: one seat buys breadth, the other buys depth</w:t>
      </w:r>
    </w:p>
    <w:p>
      <w:pPr>
        <w:spacing w:line="480" w:lineRule="auto" w:before="0" w:after="0"/>
      </w:pPr>
      <w:r>
        <w:rPr>
          <w:rFonts w:ascii="Arial" w:hAnsi="Arial" w:cs="Arial" w:eastAsia="Arial"/>
          <w:b w:val="0"/>
          <w:color w:val="000000"/>
          <w:sz w:val="22"/>
          <w:u w:val="none"/>
        </w:rPr>
        <w:t>Two years of PE reads as a universal credential: other funds, growth equity, hedge funds, corporate development, startups, business school. The exit map is wide because the skill set, evaluating and improving businesses, is legible everywhere.</w:t>
      </w:r>
    </w:p>
    <w:p>
      <w:pPr>
        <w:spacing w:line="480" w:lineRule="auto" w:before="0" w:after="0"/>
      </w:pPr>
      <w:r>
        <w:rPr>
          <w:rFonts w:ascii="Arial" w:hAnsi="Arial" w:cs="Arial" w:eastAsia="Arial"/>
          <w:b w:val="0"/>
          <w:color w:val="000000"/>
          <w:sz w:val="22"/>
          <w:u w:val="none"/>
        </w:rPr>
        <w:t>Two years of credit reads as a specialist credential that the credit world prizes: larger platforms, distressed funds like Elliott and Davidson Kempner, BDC tracks, and the stressed-credit seats that multiplied through the 2024 to 2026 LME wave. Moving from credit into PE or corporate strategy is possible and uphill, because you're re-proving skills the PE associate gets presumed.</w:t>
      </w:r>
    </w:p>
    <w:p>
      <w:pPr>
        <w:spacing w:line="480" w:lineRule="auto" w:before="0" w:after="0"/>
      </w:pPr>
      <w:r>
        <w:rPr>
          <w:rFonts w:ascii="Arial" w:hAnsi="Arial" w:cs="Arial" w:eastAsia="Arial"/>
          <w:b/>
          <w:color w:val="000000"/>
          <w:sz w:val="22"/>
          <w:u w:val="none"/>
        </w:rPr>
        <w:t>Pick PE when you can't yet name your destination, and pick credit when the destination is already credit, because starting the career at 22 beats starting the credential.</w:t>
      </w:r>
      <w:r>
        <w:rPr>
          <w:rFonts w:ascii="Arial" w:hAnsi="Arial" w:cs="Arial" w:eastAsia="Arial"/>
          <w:b w:val="0"/>
          <w:color w:val="000000"/>
          <w:sz w:val="22"/>
          <w:u w:val="none"/>
        </w:rPr>
        <w:t xml:space="preserve"> The passport is worth its price only to travelers who haven't chosen a country.</w:t>
      </w:r>
    </w:p>
    <w:p>
      <w:pPr>
        <w:spacing w:line="480" w:lineRule="auto" w:before="0" w:after="0"/>
      </w:pPr>
      <w:r>
        <w:rPr>
          <w:rFonts w:ascii="Arial" w:hAnsi="Arial" w:cs="Arial" w:eastAsia="Arial"/>
          <w:b/>
          <w:color w:val="000000"/>
          <w:sz w:val="36"/>
          <w:u w:val="none"/>
        </w:rPr>
        <w:t>6. The market backdrop, stated without the sales pitch</w:t>
      </w:r>
    </w:p>
    <w:p>
      <w:pPr>
        <w:spacing w:line="480" w:lineRule="auto" w:before="0" w:after="0"/>
      </w:pPr>
      <w:r>
        <w:rPr>
          <w:rFonts w:ascii="Arial" w:hAnsi="Arial" w:cs="Arial" w:eastAsia="Arial"/>
          <w:b w:val="0"/>
          <w:color w:val="000000"/>
          <w:sz w:val="22"/>
          <w:u w:val="none"/>
        </w:rPr>
        <w:t>Private credit grew from a niche to $1.7 trillion, with a commonly cited trajectory toward $2.6 trillion by 2029, and platforms like Ares, Apollo, Blackstone, and HPS (now part of BlackRock) built credit businesses rivaling their equity franchises. Growth creates junior seats and promotion room.</w:t>
      </w:r>
    </w:p>
    <w:p>
      <w:pPr>
        <w:spacing w:line="480" w:lineRule="auto" w:before="0" w:after="0"/>
      </w:pPr>
      <w:r>
        <w:rPr>
          <w:rFonts w:ascii="Arial" w:hAnsi="Arial" w:cs="Arial" w:eastAsia="Arial"/>
          <w:b w:val="0"/>
          <w:color w:val="000000"/>
          <w:sz w:val="22"/>
          <w:u w:val="none"/>
        </w:rPr>
        <w:t>The stress is real too, and interviewers respect candidates who can name it: higher-for-longer rates squeezed borrowers, amendments and defaults picked up, and the line between performing credit and workout work blurred as LMEs spread. PE, meanwhile, is a mature industry with slow seat growth and permanently saturated recruiting. Neither picture is a reason to choose a career. The work is.</w:t>
      </w:r>
    </w:p>
    <w:p>
      <w:pPr>
        <w:spacing w:line="480" w:lineRule="auto" w:before="0" w:after="0"/>
      </w:pPr>
      <w:r>
        <w:rPr>
          <w:rFonts w:ascii="Arial" w:hAnsi="Arial" w:cs="Arial" w:eastAsia="Arial"/>
          <w:b w:val="0"/>
          <w:color w:val="000000"/>
          <w:sz w:val="22"/>
          <w:u w:val="none"/>
        </w:rPr>
        <w:t>The allocator view explains the durability of the shift. Pensions and insurers moved money into private credit because contractual yield matches their liabilities better than exit-dependent equity returns, and insurance capital in particular keeps flowing to platforms like Apollo's at structural scale. That demand is why credit headcount keeps growing through cycles that freeze PE hiring. A sophomore doesn't need to hold a macro view to notice which side has been adding analyst seats every year for a decade.</w:t>
      </w:r>
    </w:p>
    <w:p>
      <w:pPr>
        <w:spacing w:line="480" w:lineRule="auto" w:before="0" w:after="0"/>
      </w:pPr>
      <w:r>
        <w:rPr>
          <w:rFonts w:ascii="Arial" w:hAnsi="Arial" w:cs="Arial" w:eastAsia="Arial"/>
          <w:b/>
          <w:color w:val="000000"/>
          <w:sz w:val="36"/>
          <w:u w:val="none"/>
        </w:rPr>
        <w:t>Say this, don't say that</w:t>
      </w:r>
    </w:p>
    <w:p>
      <w:pPr>
        <w:spacing w:line="480" w:lineRule="auto" w:before="0" w:after="0"/>
      </w:pPr>
      <w:r>
        <w:rPr>
          <w:rFonts w:ascii="Arial" w:hAnsi="Arial" w:cs="Arial" w:eastAsia="Arial"/>
          <w:b/>
          <w:color w:val="000000"/>
          <w:sz w:val="22"/>
          <w:u w:val="none"/>
        </w:rPr>
        <w:t>Why private credit over private equity?</w:t>
      </w:r>
    </w:p>
    <w:p>
      <w:pPr>
        <w:spacing w:line="480" w:lineRule="auto" w:before="0" w:after="0"/>
      </w:pPr>
      <w:r>
        <w:rPr>
          <w:rFonts w:ascii="Arial" w:hAnsi="Arial" w:cs="Arial" w:eastAsia="Arial"/>
          <w:b w:val="0"/>
          <w:color w:val="000000"/>
          <w:sz w:val="22"/>
          <w:u w:val="none"/>
        </w:rPr>
        <w:t>Don't say: "Private credit is the fastest-growing asset class in finance."</w:t>
      </w:r>
    </w:p>
    <w:p>
      <w:pPr>
        <w:spacing w:line="480" w:lineRule="auto" w:before="0" w:after="0"/>
      </w:pPr>
      <w:r>
        <w:rPr>
          <w:rFonts w:ascii="Arial" w:hAnsi="Arial" w:cs="Arial" w:eastAsia="Arial"/>
          <w:b w:val="0"/>
          <w:color w:val="000000"/>
          <w:sz w:val="22"/>
          <w:u w:val="none"/>
        </w:rPr>
        <w:t>Say: "I'd rather price the downside than project the upside. When I built the model both ways on a practice deal, the covenant-structuring problem was the one I didn't want to put down."</w:t>
      </w:r>
    </w:p>
    <w:p>
      <w:pPr>
        <w:spacing w:line="480" w:lineRule="auto" w:before="0" w:after="0"/>
      </w:pPr>
      <w:r>
        <w:rPr>
          <w:rFonts w:ascii="Arial" w:hAnsi="Arial" w:cs="Arial" w:eastAsia="Arial"/>
          <w:b/>
          <w:color w:val="000000"/>
          <w:sz w:val="22"/>
          <w:u w:val="none"/>
        </w:rPr>
        <w:t>Why private equity over private credit?</w:t>
      </w:r>
    </w:p>
    <w:p>
      <w:pPr>
        <w:spacing w:line="480" w:lineRule="auto" w:before="0" w:after="0"/>
      </w:pPr>
      <w:r>
        <w:rPr>
          <w:rFonts w:ascii="Arial" w:hAnsi="Arial" w:cs="Arial" w:eastAsia="Arial"/>
          <w:b w:val="0"/>
          <w:color w:val="000000"/>
          <w:sz w:val="22"/>
          <w:u w:val="none"/>
        </w:rPr>
        <w:t>Don't say: "PE is the top of the pyramid."</w:t>
      </w:r>
    </w:p>
    <w:p>
      <w:pPr>
        <w:spacing w:line="480" w:lineRule="auto" w:before="0" w:after="0"/>
      </w:pPr>
      <w:r>
        <w:rPr>
          <w:rFonts w:ascii="Arial" w:hAnsi="Arial" w:cs="Arial" w:eastAsia="Arial"/>
          <w:b w:val="0"/>
          <w:color w:val="000000"/>
          <w:sz w:val="22"/>
          <w:u w:val="none"/>
        </w:rPr>
        <w:t>Say: "I want to own the operational outcome. On the deal I followed, the decisions that created value were pricing and the two add-ons, and only the equity gets to make those calls."</w:t>
      </w:r>
    </w:p>
    <w:p>
      <w:pPr>
        <w:spacing w:line="480" w:lineRule="auto" w:before="0" w:after="0"/>
      </w:pPr>
      <w:r>
        <w:rPr>
          <w:rFonts w:ascii="Arial" w:hAnsi="Arial" w:cs="Arial" w:eastAsia="Arial"/>
          <w:b/>
          <w:color w:val="000000"/>
          <w:sz w:val="36"/>
          <w:u w:val="none"/>
        </w:rPr>
        <w:t>Making the call</w:t>
      </w:r>
    </w:p>
    <w:p>
      <w:pPr>
        <w:spacing w:line="480" w:lineRule="auto" w:before="0" w:after="0"/>
      </w:pPr>
      <w:r>
        <w:rPr>
          <w:rFonts w:ascii="Arial" w:hAnsi="Arial" w:cs="Arial" w:eastAsia="Arial"/>
          <w:b w:val="0"/>
          <w:color w:val="000000"/>
          <w:sz w:val="22"/>
          <w:u w:val="none"/>
        </w:rPr>
        <w:t>Three tests, in order of reliability.</w:t>
      </w:r>
    </w:p>
    <w:p>
      <w:pPr>
        <w:spacing w:line="480" w:lineRule="auto" w:before="0" w:after="0"/>
      </w:pPr>
      <w:r>
        <w:rPr>
          <w:rFonts w:ascii="Arial" w:hAnsi="Arial" w:cs="Arial" w:eastAsia="Arial"/>
          <w:b w:val="0"/>
          <w:color w:val="000000"/>
          <w:sz w:val="22"/>
          <w:u w:val="none"/>
        </w:rPr>
        <w:t>The instinct test: when you read about a struggling company, is your first thought how to fix it or whether it pays you back? The tail test: would you rather have the higher ceiling or the higher floor, answered honestly rather than aspirationally. The seat-at-30 test: name the specific job you want at 30, then work backward to which asset class owns it, because credit leads to credit and PE leads to more places at lower probability each.</w:t>
      </w:r>
    </w:p>
    <w:p>
      <w:pPr>
        <w:spacing w:line="480" w:lineRule="auto" w:before="0" w:after="0"/>
      </w:pPr>
      <w:r>
        <w:rPr>
          <w:rFonts w:ascii="Arial" w:hAnsi="Arial" w:cs="Arial" w:eastAsia="Arial"/>
          <w:b w:val="0"/>
          <w:color w:val="000000"/>
          <w:sz w:val="22"/>
          <w:u w:val="none"/>
        </w:rPr>
        <w:t>Then, if you're a sophomore, apply to both anyway. The materials overlap, the interviews are free information about your own preferences, and an offer in hand outranks a preference in theory. One student I worked with through WSG ran both processes in the same fall, took the credit seat after comparing the actual day-to-day in her superday conversations, and the deciding data point wasn't comp or prestige. It was which interview felt like work she'd volunteer for.</w:t>
      </w:r>
    </w:p>
    <w:p>
      <w:pPr>
        <w:spacing w:line="480" w:lineRule="auto" w:before="0" w:after="0"/>
      </w:pPr>
      <w:r>
        <w:rPr>
          <w:rFonts w:ascii="Arial" w:hAnsi="Arial" w:cs="Arial" w:eastAsia="Arial"/>
          <w:b w:val="0"/>
          <w:color w:val="000000"/>
          <w:sz w:val="22"/>
          <w:u w:val="none"/>
        </w:rPr>
        <w:t>One practical way to generate that same data before any interview: build both models on the same practice deal. Take a public middle-market company, spend one weekend on the equity case and the next on the credit case, and notice which weekend went faster. Nobody needs to see the output. The point is the vote your own attention casts.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