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The Ultimate Guide to Break Into Restructuring</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how to break into restructuring banking: which firms recruit undergrads, what the interview actually tests, and what the work looks like day-to-day.</w:t>
      </w:r>
    </w:p>
    <w:p>
      <w:pPr>
        <w:spacing w:line="480" w:lineRule="auto" w:before="0" w:after="0"/>
      </w:pPr>
      <w:r>
        <w:rPr>
          <w:rFonts w:ascii="Arial" w:hAnsi="Arial" w:cs="Arial" w:eastAsia="Arial"/>
          <w:b w:val="0"/>
          <w:color w:val="000000"/>
          <w:sz w:val="22"/>
          <w:u w:val="none"/>
        </w:rPr>
        <w:t xml:space="preserve">Restructuring is the most competitive group in investment banking, and unlike every other coverage group, </w:t>
      </w:r>
      <w:r>
        <w:rPr>
          <w:rFonts w:ascii="Arial" w:hAnsi="Arial" w:cs="Arial" w:eastAsia="Arial"/>
          <w:b/>
          <w:color w:val="000000"/>
          <w:sz w:val="22"/>
          <w:u w:val="none"/>
        </w:rPr>
        <w:t>it doesn't live at the bulge brackets at all.</w:t>
      </w:r>
      <w:r>
        <w:rPr>
          <w:rFonts w:ascii="Arial" w:hAnsi="Arial" w:cs="Arial" w:eastAsia="Arial"/>
          <w:b w:val="0"/>
          <w:color w:val="000000"/>
          <w:sz w:val="22"/>
          <w:u w:val="none"/>
        </w:rPr>
        <w:t xml:space="preserve"> PJT, Evercore, Houlihan Lokey, Lazard, and Moelis run the Tier 1 mandates. Goldman, JPMorgan, and Morgan Stanley sit it out, not because they don't want the fees, but because their balance sheets and their equity research desks create conflicts that a distressed company can't accept.</w:t>
      </w:r>
    </w:p>
    <w:p>
      <w:pPr>
        <w:spacing w:line="480" w:lineRule="auto" w:before="0" w:after="0"/>
      </w:pPr>
      <w:r>
        <w:rPr>
          <w:rFonts w:ascii="Arial" w:hAnsi="Arial" w:cs="Arial" w:eastAsia="Arial"/>
          <w:b w:val="0"/>
          <w:color w:val="000000"/>
          <w:sz w:val="22"/>
          <w:u w:val="none"/>
        </w:rPr>
        <w:t>That single structural fact shapes everything about how you break in. The seats are smaller than M&amp;A, the interview tests something most candidates never prepare for, and the exits are narrower but pay just as well at the top. This guide breaks down which firms hire undergrads, what the interview actually filters for, what the work looks like in practice, and the five things to do this week if you're a sophomore who's already decided RX is the goal.</w:t>
      </w:r>
    </w:p>
    <w:p>
      <w:pPr>
        <w:spacing w:line="480" w:lineRule="auto" w:before="0" w:after="0"/>
      </w:pPr>
      <w:r>
        <w:rPr>
          <w:rFonts w:ascii="Arial" w:hAnsi="Arial" w:cs="Arial" w:eastAsia="Arial"/>
          <w:b w:val="0"/>
          <w:color w:val="000000"/>
          <w:sz w:val="22"/>
          <w:u w:val="none"/>
        </w:rPr>
        <w:t>As a Harvard alum who went through McKinsey's on-cycle recruiting and now runs WSG watching sophomores attempt the RX route every cycle, this is the playbook I'd hand a sophomore who walked in today and said they wanted PJT Restructuring for Summer 2028.</w:t>
      </w:r>
    </w:p>
    <w:p>
      <w:pPr>
        <w:spacing w:line="480" w:lineRule="auto" w:before="0" w:after="0"/>
      </w:pPr>
      <w:r>
        <w:rPr>
          <w:rFonts w:ascii="Arial" w:hAnsi="Arial" w:cs="Arial" w:eastAsia="Arial"/>
          <w:b/>
          <w:color w:val="000000"/>
          <w:sz w:val="36"/>
          <w:u w:val="none"/>
        </w:rPr>
        <w:t>Which firms have actual restructuring groups for undergrads?</w:t>
      </w:r>
    </w:p>
    <w:p>
      <w:pPr>
        <w:spacing w:line="480" w:lineRule="auto" w:before="0" w:after="0"/>
      </w:pPr>
      <w:r>
        <w:rPr>
          <w:rFonts w:ascii="Arial" w:hAnsi="Arial" w:cs="Arial" w:eastAsia="Arial"/>
          <w:b w:val="0"/>
          <w:color w:val="000000"/>
          <w:sz w:val="22"/>
          <w:u w:val="none"/>
        </w:rPr>
        <w:t>Tier 1 is five firms: PJT Partners, Evercore, Houlihan Lokey, Lazard, and Moelis. Tier 2 sits below: Perella Weinberg, Ducera, Guggenheim, Rothschild, and Centerview's generalist program that staffs RX selectively. Tier 3 covers Greenhill, Jefferies, Miller Buckfire, and Piper Sandler. The bulge brackets don't run independent RX groups, so the question "should I do RX at Goldman or PJT" isn't a real choice.</w:t>
      </w:r>
    </w:p>
    <w:p>
      <w:pPr>
        <w:spacing w:line="480" w:lineRule="auto" w:before="0" w:after="0"/>
      </w:pPr>
      <w:r>
        <w:rPr>
          <w:rFonts w:ascii="Arial" w:hAnsi="Arial" w:cs="Arial" w:eastAsia="Arial"/>
          <w:b/>
          <w:color w:val="000000"/>
          <w:sz w:val="36"/>
          <w:u w:val="none"/>
        </w:rPr>
        <w:t>How hard is it to break into restructuring, realistically?</w:t>
      </w:r>
    </w:p>
    <w:p>
      <w:pPr>
        <w:spacing w:line="480" w:lineRule="auto" w:before="0" w:after="0"/>
      </w:pPr>
      <w:r>
        <w:rPr>
          <w:rFonts w:ascii="Arial" w:hAnsi="Arial" w:cs="Arial" w:eastAsia="Arial"/>
          <w:b w:val="0"/>
          <w:color w:val="000000"/>
          <w:sz w:val="22"/>
          <w:u w:val="none"/>
        </w:rPr>
        <w:t xml:space="preserve">Brutal, but not random. Tier 1 RX class sizes have expanded materially over the past five years, but the popularity of RX has expanded faster. The 2025 Chapter 11 wave (Marelli, First Brands, Spirit Airlines' second filing, Wolfspeed, ModivCare) has pushed RX into the most fee-rich environment in a decade, and student interest has followed. The implied acceptance rate at PJT RX and Houlihan RX runs below 1.5%. </w:t>
      </w:r>
      <w:r>
        <w:rPr>
          <w:rFonts w:ascii="Arial" w:hAnsi="Arial" w:cs="Arial" w:eastAsia="Arial"/>
          <w:b/>
          <w:color w:val="000000"/>
          <w:sz w:val="22"/>
          <w:u w:val="none"/>
        </w:rPr>
        <w:t>The candidates who land Tier 1 RX seats almost always started building their RX story in sophomore fall, not junior year.</w:t>
      </w:r>
    </w:p>
    <w:p>
      <w:pPr>
        <w:spacing w:line="480" w:lineRule="auto" w:before="0" w:after="0"/>
      </w:pPr>
      <w:r>
        <w:rPr>
          <w:rFonts w:ascii="Arial" w:hAnsi="Arial" w:cs="Arial" w:eastAsia="Arial"/>
          <w:b/>
          <w:color w:val="000000"/>
          <w:sz w:val="36"/>
          <w:u w:val="none"/>
        </w:rPr>
        <w:t>1. Restructuring lives at Elite Boutiques because bulge brackets are structurally conflicted</w:t>
      </w:r>
    </w:p>
    <w:p>
      <w:pPr>
        <w:spacing w:line="480" w:lineRule="auto" w:before="0" w:after="0"/>
      </w:pPr>
      <w:r>
        <w:rPr>
          <w:rFonts w:ascii="Arial" w:hAnsi="Arial" w:cs="Arial" w:eastAsia="Arial"/>
          <w:b w:val="0"/>
          <w:color w:val="000000"/>
          <w:sz w:val="22"/>
          <w:u w:val="none"/>
        </w:rPr>
        <w:t>The reason RX doesn't exist at Goldman or JPM is the cleanest fact in all of investment banking. When XYZ Company raises $500m of debt through JPM, that debt syndicates across the balance sheets of every full-service bank. Equity research desks at those same banks then publish buy / sell / hold ratings on the company. When XYZ later needs to restructure, every one of those banks is conflicted, real or perceived. The company's creditors will sue the moment they see advice from a bank that helped raise the debt in the first place.</w:t>
      </w:r>
    </w:p>
    <w:p>
      <w:pPr>
        <w:spacing w:line="480" w:lineRule="auto" w:before="0" w:after="0"/>
      </w:pPr>
      <w:r>
        <w:rPr>
          <w:rFonts w:ascii="Arial" w:hAnsi="Arial" w:cs="Arial" w:eastAsia="Arial"/>
          <w:b w:val="0"/>
          <w:color w:val="000000"/>
          <w:sz w:val="22"/>
          <w:u w:val="none"/>
        </w:rPr>
        <w:t xml:space="preserve">So distressed companies hire pure independent advisors. </w:t>
      </w:r>
      <w:r>
        <w:rPr>
          <w:rFonts w:ascii="Arial" w:hAnsi="Arial" w:cs="Arial" w:eastAsia="Arial"/>
          <w:b/>
          <w:color w:val="000000"/>
          <w:sz w:val="22"/>
          <w:u w:val="none"/>
        </w:rPr>
        <w:t>The "Why RX?" answer that wins names the structural reason RX exists at EBs, not the generic "I want to learn about distressed credit" line that every candidate gives.</w:t>
      </w:r>
    </w:p>
    <w:p>
      <w:pPr>
        <w:spacing w:line="480" w:lineRule="auto" w:before="0" w:after="0"/>
      </w:pPr>
      <w:r>
        <w:rPr>
          <w:rFonts w:ascii="Arial" w:hAnsi="Arial" w:cs="Arial" w:eastAsia="Arial"/>
          <w:b/>
          <w:color w:val="000000"/>
          <w:sz w:val="36"/>
          <w:u w:val="none"/>
        </w:rPr>
        <w:t>2. The Tier 1 RX shops are five firms, and the gap to Tier 2 is real</w:t>
      </w:r>
    </w:p>
    <w:p>
      <w:pPr>
        <w:spacing w:line="480" w:lineRule="auto" w:before="0" w:after="0"/>
      </w:pPr>
      <w:r>
        <w:rPr>
          <w:rFonts w:ascii="Arial" w:hAnsi="Arial" w:cs="Arial" w:eastAsia="Arial"/>
          <w:b w:val="0"/>
          <w:color w:val="000000"/>
          <w:sz w:val="22"/>
          <w:u w:val="none"/>
        </w:rPr>
        <w:t>The canonical Tier 1 list:</w:t>
      </w:r>
    </w:p>
    <w:p>
      <w:pPr>
        <w:pStyle w:val="ListBullet"/>
        <w:spacing w:line="480" w:lineRule="auto" w:before="0" w:after="0"/>
      </w:pPr>
      <w:r>
        <w:rPr>
          <w:rFonts w:ascii="Arial" w:hAnsi="Arial" w:cs="Arial" w:eastAsia="Arial"/>
          <w:b/>
          <w:color w:val="000000"/>
          <w:sz w:val="22"/>
          <w:u w:val="none"/>
        </w:rPr>
        <w:t>PJT Partners.</w:t>
      </w:r>
      <w:r>
        <w:rPr>
          <w:rFonts w:ascii="Arial" w:hAnsi="Arial" w:cs="Arial" w:eastAsia="Arial"/>
          <w:b w:val="0"/>
          <w:color w:val="000000"/>
          <w:sz w:val="22"/>
          <w:u w:val="none"/>
        </w:rPr>
        <w:t xml:space="preserve"> The most prestigious RX group on the Street. Run by Paul Taubman, spun out of Blackstone's M&amp;A advisory. Heavy debtor-side league table presence; debtor-side advisor on Marelli (June 2025) and Spirit Airlines' second Chapter 11 (August 2025).</w:t>
      </w:r>
    </w:p>
    <w:p>
      <w:pPr>
        <w:pStyle w:val="ListBullet"/>
        <w:spacing w:line="480" w:lineRule="auto" w:before="0" w:after="0"/>
      </w:pPr>
      <w:r>
        <w:rPr>
          <w:rFonts w:ascii="Arial" w:hAnsi="Arial" w:cs="Arial" w:eastAsia="Arial"/>
          <w:b/>
          <w:color w:val="000000"/>
          <w:sz w:val="22"/>
          <w:u w:val="none"/>
        </w:rPr>
        <w:t>Evercore.</w:t>
      </w:r>
      <w:r>
        <w:rPr>
          <w:rFonts w:ascii="Arial" w:hAnsi="Arial" w:cs="Arial" w:eastAsia="Arial"/>
          <w:b w:val="0"/>
          <w:color w:val="000000"/>
          <w:sz w:val="22"/>
          <w:u w:val="none"/>
        </w:rPr>
        <w:t xml:space="preserve"> Strong both sides, deep bench of distressed bankers. RX and M&amp;A are largely separate analyst pools. Recent example: advising the ad hoc creditor group on the First Brands Chapter 11 (September 2025).</w:t>
      </w:r>
    </w:p>
    <w:p>
      <w:pPr>
        <w:pStyle w:val="ListBullet"/>
        <w:spacing w:line="480" w:lineRule="auto" w:before="0" w:after="0"/>
      </w:pPr>
      <w:r>
        <w:rPr>
          <w:rFonts w:ascii="Arial" w:hAnsi="Arial" w:cs="Arial" w:eastAsia="Arial"/>
          <w:b/>
          <w:color w:val="000000"/>
          <w:sz w:val="22"/>
          <w:u w:val="none"/>
        </w:rPr>
        <w:t>Houlihan Lokey.</w:t>
      </w:r>
      <w:r>
        <w:rPr>
          <w:rFonts w:ascii="Arial" w:hAnsi="Arial" w:cs="Arial" w:eastAsia="Arial"/>
          <w:b w:val="0"/>
          <w:color w:val="000000"/>
          <w:sz w:val="22"/>
          <w:u w:val="none"/>
        </w:rPr>
        <w:t xml:space="preserve"> Largest by headcount, dominant creditor-side franchise, but routinely wins big debtor-side mandates. Advised the ad hoc lender group on Marelli alongside Akin Gump in 2025.</w:t>
      </w:r>
    </w:p>
    <w:p>
      <w:pPr>
        <w:pStyle w:val="ListBullet"/>
        <w:spacing w:line="480" w:lineRule="auto" w:before="0" w:after="0"/>
      </w:pPr>
      <w:r>
        <w:rPr>
          <w:rFonts w:ascii="Arial" w:hAnsi="Arial" w:cs="Arial" w:eastAsia="Arial"/>
          <w:b/>
          <w:color w:val="000000"/>
          <w:sz w:val="22"/>
          <w:u w:val="none"/>
        </w:rPr>
        <w:t>Lazard.</w:t>
      </w:r>
      <w:r>
        <w:rPr>
          <w:rFonts w:ascii="Arial" w:hAnsi="Arial" w:cs="Arial" w:eastAsia="Arial"/>
          <w:b w:val="0"/>
          <w:color w:val="000000"/>
          <w:sz w:val="22"/>
          <w:u w:val="none"/>
        </w:rPr>
        <w:t xml:space="preserve"> The legacy RX shop with the deepest European RX bench. Debtor-side advisor on the First Brands Chapter 11 in 2025.</w:t>
      </w:r>
    </w:p>
    <w:p>
      <w:pPr>
        <w:pStyle w:val="ListBullet"/>
        <w:spacing w:line="480" w:lineRule="auto" w:before="0" w:after="0"/>
      </w:pPr>
      <w:r>
        <w:rPr>
          <w:rFonts w:ascii="Arial" w:hAnsi="Arial" w:cs="Arial" w:eastAsia="Arial"/>
          <w:b/>
          <w:color w:val="000000"/>
          <w:sz w:val="22"/>
          <w:u w:val="none"/>
        </w:rPr>
        <w:t>Moelis.</w:t>
      </w:r>
      <w:r>
        <w:rPr>
          <w:rFonts w:ascii="Arial" w:hAnsi="Arial" w:cs="Arial" w:eastAsia="Arial"/>
          <w:b w:val="0"/>
          <w:color w:val="000000"/>
          <w:sz w:val="22"/>
          <w:u w:val="none"/>
        </w:rPr>
        <w:t xml:space="preserve"> Smaller RX group, but works across M&amp;A and RX more fluidly than the others, so a smart generalist can land here and still rotate into restructuring.</w:t>
      </w:r>
    </w:p>
    <w:p>
      <w:pPr>
        <w:spacing w:line="480" w:lineRule="auto" w:before="0" w:after="0"/>
      </w:pPr>
      <w:r>
        <w:rPr>
          <w:rFonts w:ascii="Arial" w:hAnsi="Arial" w:cs="Arial" w:eastAsia="Arial"/>
          <w:b w:val="0"/>
          <w:color w:val="000000"/>
          <w:sz w:val="22"/>
          <w:u w:val="none"/>
        </w:rPr>
        <w:t>Tier 2: Perella Weinberg, Ducera, Guggenheim, Rothschild, and Centerview's generalist program. Tier 3: Greenhill, Jefferies, Miller Buckfire, Piper Sandler.</w:t>
      </w:r>
    </w:p>
    <w:p>
      <w:pPr>
        <w:spacing w:line="480" w:lineRule="auto" w:before="0" w:after="0"/>
      </w:pPr>
      <w:r>
        <w:rPr>
          <w:rFonts w:ascii="Arial" w:hAnsi="Arial" w:cs="Arial" w:eastAsia="Arial"/>
          <w:b w:val="0"/>
          <w:color w:val="000000"/>
          <w:sz w:val="22"/>
          <w:u w:val="none"/>
        </w:rPr>
        <w:t>The honest filter: if you're a sophomore reading this, your odds of landing a Tier 1 RX seat directly are below 1.5%. Your odds of landing a Tier 2 or Tier 3 seat and lateralling up after 12 to 18 months are materially higher. We come back to that in section 8.</w:t>
      </w:r>
    </w:p>
    <w:p>
      <w:pPr>
        <w:spacing w:line="480" w:lineRule="auto" w:before="0" w:after="0"/>
      </w:pPr>
      <w:r>
        <w:rPr>
          <w:rFonts w:ascii="Arial" w:hAnsi="Arial" w:cs="Arial" w:eastAsia="Arial"/>
          <w:b/>
          <w:color w:val="000000"/>
          <w:sz w:val="36"/>
          <w:u w:val="none"/>
        </w:rPr>
        <w:t>3. RX has its own dedicated recruiting pipeline now, and that pipeline didn't exist a decade ago</w:t>
      </w:r>
    </w:p>
    <w:p>
      <w:pPr>
        <w:spacing w:line="480" w:lineRule="auto" w:before="0" w:after="0"/>
      </w:pPr>
      <w:r>
        <w:rPr>
          <w:rFonts w:ascii="Arial" w:hAnsi="Arial" w:cs="Arial" w:eastAsia="Arial"/>
          <w:b w:val="0"/>
          <w:color w:val="000000"/>
          <w:sz w:val="22"/>
          <w:u w:val="none"/>
        </w:rPr>
        <w:t>A decade ago, you broke into RX one of two ways. You did a generalist Summer Analyst program (Centerview was the classic) and lobbied to land in the RX staffing pool. Or you skipped summer recruiting entirely and went through full-time recruiting after a generalist internship somewhere else (Evercore staffed a meaningful share of its analyst class this way).</w:t>
      </w:r>
    </w:p>
    <w:p>
      <w:pPr>
        <w:spacing w:line="480" w:lineRule="auto" w:before="0" w:after="0"/>
      </w:pPr>
      <w:r>
        <w:rPr>
          <w:rFonts w:ascii="Arial" w:hAnsi="Arial" w:cs="Arial" w:eastAsia="Arial"/>
          <w:b w:val="0"/>
          <w:color w:val="000000"/>
          <w:sz w:val="22"/>
          <w:u w:val="none"/>
        </w:rPr>
        <w:t xml:space="preserve">That has changed. PJT, Evercore, Houlihan Lokey, Lazard, and Moelis now all run dedicated RX SA pipelines. Applications open in the standard sophomore-fall window for junior-summer internships. </w:t>
      </w:r>
      <w:r>
        <w:rPr>
          <w:rFonts w:ascii="Arial" w:hAnsi="Arial" w:cs="Arial" w:eastAsia="Arial"/>
          <w:b/>
          <w:color w:val="000000"/>
          <w:sz w:val="22"/>
          <w:u w:val="none"/>
        </w:rPr>
        <w:t>The good news for you is that the pipeline exists; the bad news is that the seats are still small in absolute terms and the candidates competing for them have spent six months on dedicated RX prep before applying.</w:t>
      </w:r>
    </w:p>
    <w:p>
      <w:pPr>
        <w:spacing w:line="480" w:lineRule="auto" w:before="0" w:after="0"/>
      </w:pPr>
      <w:r>
        <w:rPr>
          <w:rFonts w:ascii="Arial" w:hAnsi="Arial" w:cs="Arial" w:eastAsia="Arial"/>
          <w:b/>
          <w:color w:val="000000"/>
          <w:sz w:val="36"/>
          <w:u w:val="none"/>
        </w:rPr>
        <w:t>4. The RX interview tests three things, and the third is what separates winners</w:t>
      </w:r>
    </w:p>
    <w:p>
      <w:pPr>
        <w:spacing w:line="480" w:lineRule="auto" w:before="0" w:after="0"/>
      </w:pPr>
      <w:r>
        <w:rPr>
          <w:rFonts w:ascii="Arial" w:hAnsi="Arial" w:cs="Arial" w:eastAsia="Arial"/>
          <w:b w:val="0"/>
          <w:color w:val="000000"/>
          <w:sz w:val="22"/>
          <w:u w:val="none"/>
        </w:rPr>
        <w:t>Every modern RX interview filters on three components. Most candidates only prepare for two.</w:t>
      </w:r>
    </w:p>
    <w:p>
      <w:pPr>
        <w:spacing w:line="480" w:lineRule="auto" w:before="0" w:after="0"/>
      </w:pPr>
      <w:r>
        <w:rPr>
          <w:rFonts w:ascii="Arial" w:hAnsi="Arial" w:cs="Arial" w:eastAsia="Arial"/>
          <w:b w:val="0"/>
          <w:color w:val="000000"/>
          <w:sz w:val="22"/>
          <w:u w:val="none"/>
        </w:rPr>
        <w:t>The first is traditional accounting and valuation. The same questions you'd see in an M&amp;A first round, but harder. You need the three-statement walk cold. You need to understand how depreciation flows. You need a working DCF and to be able to defend WACC assumptions.</w:t>
      </w:r>
    </w:p>
    <w:p>
      <w:pPr>
        <w:spacing w:line="480" w:lineRule="auto" w:before="0" w:after="0"/>
      </w:pPr>
      <w:r>
        <w:rPr>
          <w:rFonts w:ascii="Arial" w:hAnsi="Arial" w:cs="Arial" w:eastAsia="Arial"/>
          <w:b w:val="0"/>
          <w:color w:val="000000"/>
          <w:sz w:val="22"/>
          <w:u w:val="none"/>
        </w:rPr>
        <w:t xml:space="preserve">The second is RX-specific technicals. Waterfalls (recovery analysis through a capital structure), cap table reading, debt instrument mechanics (Senior Secured, 2L, Senior Unsecured, mezz, PIK, springers, cramdowns), Chapter 11 mechanics, and 363 sales. The strongest prep stack is </w:t>
      </w:r>
      <w:hyperlink r:id="rId9">
        <w:r>
          <w:rPr>
            <w:rFonts w:ascii="Arial" w:hAnsi="Arial" w:cs="Arial" w:eastAsia="Arial"/>
            <w:sz w:val="22"/>
            <w:color w:val="0563C1"/>
            <w:u w:val="single"/>
          </w:rPr>
          <w:t xml:space="preserve">Distressed Debt Analysis by Stephen Moyer</w:t>
        </w:r>
      </w:hyperlink>
      <w:r>
        <w:rPr>
          <w:rFonts w:ascii="Arial" w:hAnsi="Arial" w:cs="Arial" w:eastAsia="Arial"/>
          <w:b w:val="0"/>
          <w:color w:val="000000"/>
          <w:sz w:val="22"/>
          <w:u w:val="none"/>
        </w:rPr>
        <w:t xml:space="preserve">, </w:t>
      </w:r>
      <w:hyperlink r:id="rId10">
        <w:r>
          <w:rPr>
            <w:rFonts w:ascii="Arial" w:hAnsi="Arial" w:cs="Arial" w:eastAsia="Arial"/>
            <w:sz w:val="22"/>
            <w:color w:val="0563C1"/>
            <w:u w:val="single"/>
          </w:rPr>
          <w:t xml:space="preserve">A Pragmatist's Guide to Leveraged Finance by Robert Kricheff</w:t>
        </w:r>
      </w:hyperlink>
      <w:r>
        <w:rPr>
          <w:rFonts w:ascii="Arial" w:hAnsi="Arial" w:cs="Arial" w:eastAsia="Arial"/>
          <w:b w:val="0"/>
          <w:color w:val="000000"/>
          <w:sz w:val="22"/>
          <w:u w:val="none"/>
        </w:rPr>
        <w:t xml:space="preserve">, </w:t>
      </w:r>
      <w:hyperlink r:id="rId11">
        <w:r>
          <w:rPr>
            <w:rFonts w:ascii="Arial" w:hAnsi="Arial" w:cs="Arial" w:eastAsia="Arial"/>
            <w:sz w:val="22"/>
            <w:color w:val="0563C1"/>
            <w:u w:val="single"/>
          </w:rPr>
          <w:t xml:space="preserve">The Credit Investor's Handbook by Michael Gatto</w:t>
        </w:r>
      </w:hyperlink>
      <w:r>
        <w:rPr>
          <w:rFonts w:ascii="Arial" w:hAnsi="Arial" w:cs="Arial" w:eastAsia="Arial"/>
          <w:b w:val="0"/>
          <w:color w:val="000000"/>
          <w:sz w:val="22"/>
          <w:u w:val="none"/>
        </w:rPr>
        <w:t xml:space="preserve"> (Silver Point partner, came out in late 2023 and is the freshest distressed and direct-lending text on the shelf), and the </w:t>
      </w:r>
      <w:hyperlink r:id="rId12">
        <w:r>
          <w:rPr>
            <w:rFonts w:ascii="Arial" w:hAnsi="Arial" w:cs="Arial" w:eastAsia="Arial"/>
            <w:sz w:val="22"/>
            <w:color w:val="0563C1"/>
            <w:u w:val="single"/>
          </w:rPr>
          <w:t xml:space="preserve">Wall Street Prep</w:t>
        </w:r>
      </w:hyperlink>
      <w:r>
        <w:rPr>
          <w:rFonts w:ascii="Arial" w:hAnsi="Arial" w:cs="Arial" w:eastAsia="Arial"/>
          <w:b w:val="0"/>
          <w:color w:val="000000"/>
          <w:sz w:val="22"/>
          <w:u w:val="none"/>
        </w:rPr>
        <w:t xml:space="preserve"> restructuring modeling course.</w:t>
      </w:r>
    </w:p>
    <w:p>
      <w:pPr>
        <w:spacing w:line="480" w:lineRule="auto" w:before="0" w:after="0"/>
      </w:pPr>
      <w:r>
        <w:rPr>
          <w:rFonts w:ascii="Arial" w:hAnsi="Arial" w:cs="Arial" w:eastAsia="Arial"/>
          <w:b w:val="0"/>
          <w:color w:val="000000"/>
          <w:sz w:val="22"/>
          <w:u w:val="none"/>
        </w:rPr>
        <w:t xml:space="preserve">The third is contextual understanding. Do you actually grasp what restructuring is and why it lives at EBs, or are you here for the prestige? This is what gets candidates cut even when they nail the technicals. </w:t>
      </w:r>
      <w:r>
        <w:rPr>
          <w:rFonts w:ascii="Arial" w:hAnsi="Arial" w:cs="Arial" w:eastAsia="Arial"/>
          <w:b/>
          <w:color w:val="000000"/>
          <w:sz w:val="22"/>
          <w:u w:val="none"/>
        </w:rPr>
        <w:t>The interviewer can tell within two minutes whether you've thought about RX as a system or whether you've memorized 200 flashcards.</w:t>
      </w:r>
    </w:p>
    <w:p>
      <w:pPr>
        <w:spacing w:line="480" w:lineRule="auto" w:before="0" w:after="0"/>
      </w:pPr>
      <w:r>
        <w:rPr>
          <w:rFonts w:ascii="Arial" w:hAnsi="Arial" w:cs="Arial" w:eastAsia="Arial"/>
          <w:b/>
          <w:color w:val="000000"/>
          <w:sz w:val="36"/>
          <w:u w:val="none"/>
        </w:rPr>
        <w:t>5. The "Why RX?" answer that wins names the structural reason RX exists at EBs</w:t>
      </w:r>
    </w:p>
    <w:p>
      <w:pPr>
        <w:spacing w:line="480" w:lineRule="auto" w:before="0" w:after="0"/>
      </w:pPr>
      <w:r>
        <w:rPr>
          <w:rFonts w:ascii="Arial" w:hAnsi="Arial" w:cs="Arial" w:eastAsia="Arial"/>
          <w:b w:val="0"/>
          <w:color w:val="000000"/>
          <w:sz w:val="22"/>
          <w:u w:val="none"/>
        </w:rPr>
        <w:t>The most common interview question in RX is "Why restructuring?" Almost every candidate answers it the same way: distressed credit is interesting, the work is intellectually rigorous, I want to learn about Chapter 11. That answer is fine. It's also forgettable.</w:t>
      </w:r>
    </w:p>
    <w:p>
      <w:pPr>
        <w:spacing w:line="480" w:lineRule="auto" w:before="0" w:after="0"/>
      </w:pPr>
      <w:r>
        <w:rPr>
          <w:rFonts w:ascii="Arial" w:hAnsi="Arial" w:cs="Arial" w:eastAsia="Arial"/>
          <w:b w:val="0"/>
          <w:color w:val="000000"/>
          <w:sz w:val="22"/>
          <w:u w:val="none"/>
        </w:rPr>
        <w:t xml:space="preserve">The answer that lands names the structural fact. RX is the most meritocratic group in banking because the institutional brand matters less. In M&amp;A, Goldman wins mandates partly on the name. In RX, the MD's pitch and the actual restructuring solution proposed win the mandate, and the company often has no prior relationship with any advisor before the bake-off. </w:t>
      </w:r>
      <w:r>
        <w:rPr>
          <w:rFonts w:ascii="Arial" w:hAnsi="Arial" w:cs="Arial" w:eastAsia="Arial"/>
          <w:b/>
          <w:color w:val="000000"/>
          <w:sz w:val="22"/>
          <w:u w:val="none"/>
        </w:rPr>
        <w:t>The candidate who can explain in two sentences why a CEO chooses PJT over Goldman has already separated from 80% of the field.</w:t>
      </w:r>
    </w:p>
    <w:p>
      <w:pPr>
        <w:spacing w:line="480" w:lineRule="auto" w:before="0" w:after="0"/>
      </w:pPr>
      <w:r>
        <w:rPr>
          <w:rFonts w:ascii="Arial" w:hAnsi="Arial" w:cs="Arial" w:eastAsia="Arial"/>
          <w:b w:val="0"/>
          <w:color w:val="000000"/>
          <w:sz w:val="22"/>
          <w:u w:val="none"/>
        </w:rPr>
        <w:t xml:space="preserve">Pair that with a real motivation, ideally a recent deal you've read about. The Marelli Chapter 11 where KKR effectively lost control of a $4.9B portfolio company, the First Brands Chapter 11 that hit Wall Street in September 2025, the Quest Software five-tranche uptier LME (where Clearlake subordinated its own sponsor position to push through the May 2025 exchange), or Spirit Airlines' second Chapter 11 filing in August 2025. Pick one, read the docket on </w:t>
      </w:r>
      <w:hyperlink r:id="rId13">
        <w:r>
          <w:rPr>
            <w:rFonts w:ascii="Arial" w:hAnsi="Arial" w:cs="Arial" w:eastAsia="Arial"/>
            <w:sz w:val="22"/>
            <w:color w:val="0563C1"/>
            <w:u w:val="single"/>
          </w:rPr>
          <w:t xml:space="preserve">PACER</w:t>
        </w:r>
      </w:hyperlink>
      <w:r>
        <w:rPr>
          <w:rFonts w:ascii="Arial" w:hAnsi="Arial" w:cs="Arial" w:eastAsia="Arial"/>
          <w:b w:val="0"/>
          <w:color w:val="000000"/>
          <w:sz w:val="22"/>
          <w:u w:val="none"/>
        </w:rPr>
        <w:t xml:space="preserve"> or the </w:t>
      </w:r>
      <w:hyperlink r:id="rId14">
        <w:r>
          <w:rPr>
            <w:rFonts w:ascii="Arial" w:hAnsi="Arial" w:cs="Arial" w:eastAsia="Arial"/>
            <w:sz w:val="22"/>
            <w:color w:val="0563C1"/>
            <w:u w:val="single"/>
          </w:rPr>
          <w:t xml:space="preserve">Pari Passu</w:t>
        </w:r>
      </w:hyperlink>
      <w:r>
        <w:rPr>
          <w:rFonts w:ascii="Arial" w:hAnsi="Arial" w:cs="Arial" w:eastAsia="Arial"/>
          <w:b w:val="0"/>
          <w:color w:val="000000"/>
          <w:sz w:val="22"/>
          <w:u w:val="none"/>
        </w:rPr>
        <w:t xml:space="preserve"> writeup, and have a view on whether the transaction was a win for the debtor or the creditors. RX interviewers love a candidate with a view.</w:t>
      </w:r>
    </w:p>
    <w:p>
      <w:pPr>
        <w:spacing w:line="480" w:lineRule="auto" w:before="0" w:after="0"/>
      </w:pPr>
      <w:r>
        <w:rPr>
          <w:rFonts w:ascii="Arial" w:hAnsi="Arial" w:cs="Arial" w:eastAsia="Arial"/>
          <w:b/>
          <w:color w:val="000000"/>
          <w:sz w:val="36"/>
          <w:u w:val="none"/>
        </w:rPr>
        <w:t>6. You need to know waterfalls cold before you walk into a first round</w:t>
      </w:r>
    </w:p>
    <w:p>
      <w:pPr>
        <w:spacing w:line="480" w:lineRule="auto" w:before="0" w:after="0"/>
      </w:pPr>
      <w:r>
        <w:rPr>
          <w:rFonts w:ascii="Arial" w:hAnsi="Arial" w:cs="Arial" w:eastAsia="Arial"/>
          <w:b w:val="0"/>
          <w:color w:val="000000"/>
          <w:sz w:val="22"/>
          <w:u w:val="none"/>
        </w:rPr>
        <w:t>The technical work in RX differs from M&amp;A in shape, not in difficulty. Two model archetypes matter.</w:t>
      </w:r>
    </w:p>
    <w:p>
      <w:pPr>
        <w:spacing w:line="480" w:lineRule="auto" w:before="0" w:after="0"/>
      </w:pPr>
      <w:r>
        <w:rPr>
          <w:rFonts w:ascii="Arial" w:hAnsi="Arial" w:cs="Arial" w:eastAsia="Arial"/>
          <w:b w:val="0"/>
          <w:color w:val="000000"/>
          <w:sz w:val="22"/>
          <w:u w:val="none"/>
        </w:rPr>
        <w:t>For out-of-court situations (liability management exercises, also called LMEs, which include debt exchanges, non-pro rata uptiers, drop-down financings, and maturity extensions), the deliverable is a recap model. You start with a standard operating model and layer in toggles for different restructuring solutions. The point isn't to derive the "right" enterprise value, it's to flow through how a given LME changes leverage and liquidity over the projection period. The post-Serta LME wave that produced deals like Better Health, Quest Software, and RSA Security in 2025 and 2026 is the dominant out-of-court playbook now.</w:t>
      </w:r>
    </w:p>
    <w:p>
      <w:pPr>
        <w:spacing w:line="480" w:lineRule="auto" w:before="0" w:after="0"/>
      </w:pPr>
      <w:r>
        <w:rPr>
          <w:rFonts w:ascii="Arial" w:hAnsi="Arial" w:cs="Arial" w:eastAsia="Arial"/>
          <w:b w:val="0"/>
          <w:color w:val="000000"/>
          <w:sz w:val="22"/>
          <w:u w:val="none"/>
        </w:rPr>
        <w:t>For in-court situations (Chapter 11), the deliverable is a post-reorg DCF plus comps analysis to support the Plan of Reorganization. This is closer to a traditional M&amp;A valuation, but with a critical wrinkle: every creditor class has a financial incentive to fight your number, and the bankruptcy court is the arbiter.</w:t>
      </w:r>
    </w:p>
    <w:p>
      <w:pPr>
        <w:spacing w:line="480" w:lineRule="auto" w:before="0" w:after="0"/>
      </w:pPr>
      <w:r>
        <w:rPr>
          <w:rFonts w:ascii="Arial" w:hAnsi="Arial" w:cs="Arial" w:eastAsia="Arial"/>
          <w:b w:val="0"/>
          <w:color w:val="000000"/>
          <w:sz w:val="22"/>
          <w:u w:val="none"/>
        </w:rPr>
        <w:t xml:space="preserve">The interview rarely asks you to build either model from scratch. </w:t>
      </w:r>
      <w:r>
        <w:rPr>
          <w:rFonts w:ascii="Arial" w:hAnsi="Arial" w:cs="Arial" w:eastAsia="Arial"/>
          <w:b/>
          <w:color w:val="000000"/>
          <w:sz w:val="22"/>
          <w:u w:val="none"/>
        </w:rPr>
        <w:t>What it does ask is whether you can walk through a waterfall: given a capital structure of $1.2B Senior Secured, $400m Senior Unsecured, $200m equity, and an enterprise value of $1.0B, where does the value break, who's the fulcrum, and what does each class recover?</w:t>
      </w:r>
      <w:r>
        <w:rPr>
          <w:rFonts w:ascii="Arial" w:hAnsi="Arial" w:cs="Arial" w:eastAsia="Arial"/>
          <w:b w:val="0"/>
          <w:color w:val="000000"/>
          <w:sz w:val="22"/>
          <w:u w:val="none"/>
        </w:rPr>
        <w:t xml:space="preserve"> If you can do that on a whiteboard in three minutes, you've cleared the technical bar at most Tier 1 shops.</w:t>
      </w:r>
    </w:p>
    <w:p>
      <w:pPr>
        <w:spacing w:line="480" w:lineRule="auto" w:before="0" w:after="0"/>
      </w:pPr>
      <w:r>
        <w:rPr>
          <w:rFonts w:ascii="Arial" w:hAnsi="Arial" w:cs="Arial" w:eastAsia="Arial"/>
          <w:b w:val="0"/>
          <w:color w:val="000000"/>
          <w:sz w:val="22"/>
          <w:u w:val="none"/>
        </w:rPr>
        <w:t xml:space="preserve">A student I mentored at WSG, call her J, was a junior at a non-target who'd done a generalist Summer Analyst stint at a middle-market M&amp;A boutique. She spent the fall doing 40 hours on Moyer, 20 hours on Kricheff, and 60 hours building waterfall reps from real public cap tables, working through Marelli, First Brands, and Spirit Airlines from the live 2025 dockets. She landed Houlihan RX through a lateral pathway that opened mid-cycle, in part because her first-round interviewer asked her to walk the Marelli waterfall and she did it without hesitating. </w:t>
      </w:r>
      <w:r>
        <w:rPr>
          <w:rFonts w:ascii="Arial" w:hAnsi="Arial" w:cs="Arial" w:eastAsia="Arial"/>
          <w:b/>
          <w:color w:val="000000"/>
          <w:sz w:val="22"/>
          <w:u w:val="none"/>
        </w:rPr>
        <w:t>The candidates who land Tier 1 RX seats have done waterfall reps until they're automatic. There's no faking it.</w:t>
      </w:r>
    </w:p>
    <w:p>
      <w:pPr>
        <w:spacing w:line="480" w:lineRule="auto" w:before="0" w:after="0"/>
      </w:pPr>
      <w:r>
        <w:rPr>
          <w:rFonts w:ascii="Arial" w:hAnsi="Arial" w:cs="Arial" w:eastAsia="Arial"/>
          <w:b/>
          <w:color w:val="000000"/>
          <w:sz w:val="36"/>
          <w:u w:val="none"/>
        </w:rPr>
        <w:t>7. Exits in RX are narrower than M&amp;A, but pay just as well at the top</w:t>
      </w:r>
    </w:p>
    <w:p>
      <w:pPr>
        <w:spacing w:line="480" w:lineRule="auto" w:before="0" w:after="0"/>
      </w:pPr>
      <w:r>
        <w:rPr>
          <w:rFonts w:ascii="Arial" w:hAnsi="Arial" w:cs="Arial" w:eastAsia="Arial"/>
          <w:b w:val="0"/>
          <w:color w:val="000000"/>
          <w:sz w:val="22"/>
          <w:u w:val="none"/>
        </w:rPr>
        <w:t>RX exits cluster in three buckets, and the trade-off relative to M&amp;A is worth understanding.</w:t>
      </w:r>
    </w:p>
    <w:p>
      <w:pPr>
        <w:spacing w:line="480" w:lineRule="auto" w:before="0" w:after="0"/>
      </w:pPr>
      <w:r>
        <w:rPr>
          <w:rFonts w:ascii="Arial" w:hAnsi="Arial" w:cs="Arial" w:eastAsia="Arial"/>
          <w:b w:val="0"/>
          <w:color w:val="000000"/>
          <w:sz w:val="22"/>
          <w:u w:val="none"/>
        </w:rPr>
        <w:t>Credit funds are the most common destination. Oaktree, Apollo Credit, Blackstone Credit (the old GSO), KKR Credit, Ares, HPS, Sixth Street, Silver Point, Centerbridge. These are large pools of capital that lend into distressed and stressed situations and routinely hire from Tier 1 RX. Compensation at the top credit funds matches or exceeds mega-fund PE.</w:t>
      </w:r>
    </w:p>
    <w:p>
      <w:pPr>
        <w:spacing w:line="480" w:lineRule="auto" w:before="0" w:after="0"/>
      </w:pPr>
      <w:r>
        <w:rPr>
          <w:rFonts w:ascii="Arial" w:hAnsi="Arial" w:cs="Arial" w:eastAsia="Arial"/>
          <w:b w:val="0"/>
          <w:color w:val="000000"/>
          <w:sz w:val="22"/>
          <w:u w:val="none"/>
        </w:rPr>
        <w:t>Distressed hedge funds are the second bucket. Elliott, Davidson Kempner, Anchorage, Marathon, Monarch, Whitebox. These are smaller funds with sharper investment theses and tend to hire fewer, more senior candidates.</w:t>
      </w:r>
    </w:p>
    <w:p>
      <w:pPr>
        <w:spacing w:line="480" w:lineRule="auto" w:before="0" w:after="0"/>
      </w:pPr>
      <w:r>
        <w:rPr>
          <w:rFonts w:ascii="Arial" w:hAnsi="Arial" w:cs="Arial" w:eastAsia="Arial"/>
          <w:b w:val="0"/>
          <w:color w:val="000000"/>
          <w:sz w:val="22"/>
          <w:u w:val="none"/>
        </w:rPr>
        <w:t>Mega-fund PE is the third, and it's the bucket that's grown the fastest in the past five years. KKR, Apollo, Blackstone, Bain Capital, and Carlyle all interview RX analysts for regular-way PE seats now. This used to be rare. The reason it changed is that MF PE firms recognized that the strongest IB candidates were increasingly choosing RX over M&amp;A, and the firms followed the talent.</w:t>
      </w:r>
    </w:p>
    <w:p>
      <w:pPr>
        <w:spacing w:line="480" w:lineRule="auto" w:before="0" w:after="0"/>
      </w:pPr>
      <w:r>
        <w:rPr>
          <w:rFonts w:ascii="Arial" w:hAnsi="Arial" w:cs="Arial" w:eastAsia="Arial"/>
          <w:b w:val="0"/>
          <w:color w:val="000000"/>
          <w:sz w:val="22"/>
          <w:u w:val="none"/>
        </w:rPr>
        <w:t xml:space="preserve">The trade-off relative to M&amp;A is real: a top M&amp;A analyst has more optionality across PE, corporate development, growth equity, and corporate strategy. A top RX analyst has narrower optionality, but the salary at any of the destinations above is among the highest in finance. </w:t>
      </w:r>
      <w:r>
        <w:rPr>
          <w:rFonts w:ascii="Arial" w:hAnsi="Arial" w:cs="Arial" w:eastAsia="Arial"/>
          <w:b/>
          <w:color w:val="000000"/>
          <w:sz w:val="22"/>
          <w:u w:val="none"/>
        </w:rPr>
        <w:t>There's also one quiet advantage: RX analysts face less on-cycle time pressure than M&amp;A analysts.</w:t>
      </w:r>
      <w:r>
        <w:rPr>
          <w:rFonts w:ascii="Arial" w:hAnsi="Arial" w:cs="Arial" w:eastAsia="Arial"/>
          <w:b w:val="0"/>
          <w:color w:val="000000"/>
          <w:sz w:val="22"/>
          <w:u w:val="none"/>
        </w:rPr>
        <w:t xml:space="preserve"> The MF PE on-cycle window for M&amp;A analysts is brutal and compressed. RX analysts can recruit into credit on a more relaxed timeline because credit funds hire year-round and don't run a single coordinated cycle.</w:t>
      </w:r>
    </w:p>
    <w:p>
      <w:pPr>
        <w:spacing w:line="480" w:lineRule="auto" w:before="0" w:after="0"/>
      </w:pPr>
      <w:r>
        <w:rPr>
          <w:rFonts w:ascii="Arial" w:hAnsi="Arial" w:cs="Arial" w:eastAsia="Arial"/>
          <w:b/>
          <w:color w:val="000000"/>
          <w:sz w:val="36"/>
          <w:u w:val="none"/>
        </w:rPr>
        <w:t>8. The lateral market in RX is the cheat code most sophomores don't know about</w:t>
      </w:r>
    </w:p>
    <w:p>
      <w:pPr>
        <w:spacing w:line="480" w:lineRule="auto" w:before="0" w:after="0"/>
      </w:pPr>
      <w:r>
        <w:rPr>
          <w:rFonts w:ascii="Arial" w:hAnsi="Arial" w:cs="Arial" w:eastAsia="Arial"/>
          <w:b w:val="0"/>
          <w:color w:val="000000"/>
          <w:sz w:val="22"/>
          <w:u w:val="none"/>
        </w:rPr>
        <w:t>This is the section every sophomore should read twice.</w:t>
      </w:r>
    </w:p>
    <w:p>
      <w:pPr>
        <w:spacing w:line="480" w:lineRule="auto" w:before="0" w:after="0"/>
      </w:pPr>
      <w:r>
        <w:rPr>
          <w:rFonts w:ascii="Arial" w:hAnsi="Arial" w:cs="Arial" w:eastAsia="Arial"/>
          <w:b w:val="0"/>
          <w:color w:val="000000"/>
          <w:sz w:val="22"/>
          <w:u w:val="none"/>
        </w:rPr>
        <w:t>The RX world is small. Every MD in Tier 1 knows every senior analyst in Tier 2 and Tier 3. When a Tier 1 RX group has an analyst seat open mid-cycle, the first calls go to RX analysts at Tier 2 and Tier 3 shops, not to lateral M&amp;A analysts at bulge brackets. The reason is simple: any RX exposure means you can read a waterfall, you know the vocabulary, and you've sat in a deal team that's worked a distressed situation. That's worth more than another year at Goldman M&amp;A.</w:t>
      </w:r>
    </w:p>
    <w:p>
      <w:pPr>
        <w:spacing w:line="480" w:lineRule="auto" w:before="0" w:after="0"/>
      </w:pPr>
      <w:r>
        <w:rPr>
          <w:rFonts w:ascii="Arial" w:hAnsi="Arial" w:cs="Arial" w:eastAsia="Arial"/>
          <w:b w:val="0"/>
          <w:color w:val="000000"/>
          <w:sz w:val="22"/>
          <w:u w:val="none"/>
        </w:rPr>
        <w:t xml:space="preserve">This matters for one reason. </w:t>
      </w:r>
      <w:r>
        <w:rPr>
          <w:rFonts w:ascii="Arial" w:hAnsi="Arial" w:cs="Arial" w:eastAsia="Arial"/>
          <w:b/>
          <w:color w:val="000000"/>
          <w:sz w:val="22"/>
          <w:u w:val="none"/>
        </w:rPr>
        <w:t>If you're a sophomore and you can't land a Tier 1 RX seat directly, getting any RX seat at a Tier 2 or Tier 3 shop puts you at the front of the line for a lateral move after 12 to 18 months.</w:t>
      </w:r>
      <w:r>
        <w:rPr>
          <w:rFonts w:ascii="Arial" w:hAnsi="Arial" w:cs="Arial" w:eastAsia="Arial"/>
          <w:b w:val="0"/>
          <w:color w:val="000000"/>
          <w:sz w:val="22"/>
          <w:u w:val="none"/>
        </w:rPr>
        <w:t xml:space="preserve"> A Greenhill RX analyst who wants PJT RX has a clearer path than a Goldman M&amp;A analyst who wants the same seat. The Greenhill analyst already speaks the language. The Goldman analyst has to convince the MD they can learn it.</w:t>
      </w:r>
    </w:p>
    <w:p>
      <w:pPr>
        <w:spacing w:line="480" w:lineRule="auto" w:before="0" w:after="0"/>
      </w:pPr>
      <w:r>
        <w:rPr>
          <w:rFonts w:ascii="Arial" w:hAnsi="Arial" w:cs="Arial" w:eastAsia="Arial"/>
          <w:b w:val="0"/>
          <w:color w:val="000000"/>
          <w:sz w:val="22"/>
          <w:u w:val="none"/>
        </w:rPr>
        <w:t>The implication for your sophomore-year recruiting is that a Tier 2 or Tier 3 RX seat is not a consolation prize. It's the second-best move on the board, and the gap between it and a Tier 1 seat narrows significantly after 12 to 18 months.</w:t>
      </w:r>
    </w:p>
    <w:p>
      <w:pPr>
        <w:spacing w:line="480" w:lineRule="auto" w:before="0" w:after="0"/>
      </w:pPr>
      <w:r>
        <w:rPr>
          <w:rFonts w:ascii="Arial" w:hAnsi="Arial" w:cs="Arial" w:eastAsia="Arial"/>
          <w:b/>
          <w:color w:val="000000"/>
          <w:sz w:val="36"/>
          <w:u w:val="none"/>
        </w:rPr>
        <w:t>What to do this week if you're a sophomore targeting RX</w:t>
      </w:r>
    </w:p>
    <w:p>
      <w:pPr>
        <w:pStyle w:val="ListNumber"/>
        <w:spacing w:line="480" w:lineRule="auto" w:before="0" w:after="0"/>
      </w:pPr>
      <w:r>
        <w:rPr>
          <w:rFonts w:ascii="Arial" w:hAnsi="Arial" w:cs="Arial" w:eastAsia="Arial"/>
          <w:b/>
          <w:color w:val="000000"/>
          <w:sz w:val="22"/>
          <w:u w:val="none"/>
        </w:rPr>
        <w:t>Apply to PJT, Evercore, Houlihan Lokey, Lazard, and Moelis SA programs the day applications open.</w:t>
      </w:r>
      <w:r>
        <w:rPr>
          <w:rFonts w:ascii="Arial" w:hAnsi="Arial" w:cs="Arial" w:eastAsia="Arial"/>
          <w:b w:val="0"/>
          <w:color w:val="000000"/>
          <w:sz w:val="22"/>
          <w:u w:val="none"/>
        </w:rPr>
        <w:t xml:space="preserve"> For the 2027 cycle (Summer 2028 internships), the standard window opens in fall 2026. Do not wait to polish your resume one more week.</w:t>
      </w:r>
    </w:p>
    <w:p>
      <w:pPr>
        <w:pStyle w:val="ListNumber"/>
        <w:spacing w:line="480" w:lineRule="auto" w:before="0" w:after="0"/>
      </w:pPr>
      <w:r>
        <w:rPr>
          <w:rFonts w:ascii="Arial" w:hAnsi="Arial" w:cs="Arial" w:eastAsia="Arial"/>
          <w:b/>
          <w:color w:val="000000"/>
          <w:sz w:val="22"/>
          <w:u w:val="none"/>
        </w:rPr>
        <w:t>Buy Moyer's *Distressed Debt Analysis* and Kricheff's *Pragmatist's Guide to Leveraged Finance* this weekend.</w:t>
      </w:r>
      <w:r>
        <w:rPr>
          <w:rFonts w:ascii="Arial" w:hAnsi="Arial" w:cs="Arial" w:eastAsia="Arial"/>
          <w:b w:val="0"/>
          <w:color w:val="000000"/>
          <w:sz w:val="22"/>
          <w:u w:val="none"/>
        </w:rPr>
        <w:t xml:space="preserve"> Read Moyer chapters 1 through 6. Drill the waterfall mechanics. These two books cover 80% of the RX-specific technical questions you'll see.</w:t>
      </w:r>
    </w:p>
    <w:p>
      <w:pPr>
        <w:pStyle w:val="ListNumber"/>
        <w:spacing w:line="480" w:lineRule="auto" w:before="0" w:after="0"/>
      </w:pPr>
      <w:r>
        <w:rPr>
          <w:rFonts w:ascii="Arial" w:hAnsi="Arial" w:cs="Arial" w:eastAsia="Arial"/>
          <w:b/>
          <w:color w:val="000000"/>
          <w:sz w:val="22"/>
          <w:u w:val="none"/>
        </w:rPr>
        <w:t>Build five waterfall reps using real public cap tables.</w:t>
      </w:r>
      <w:r>
        <w:rPr>
          <w:rFonts w:ascii="Arial" w:hAnsi="Arial" w:cs="Arial" w:eastAsia="Arial"/>
          <w:b w:val="0"/>
          <w:color w:val="000000"/>
          <w:sz w:val="22"/>
          <w:u w:val="none"/>
        </w:rPr>
        <w:t xml:space="preserve"> Marelli, First Brands, Spirit Airlines, Wolfspeed, and Quest Software all have public 2025 cap tables. Pull them from the 10-K or the bankruptcy docket on </w:t>
      </w:r>
      <w:hyperlink r:id="rId13">
        <w:r>
          <w:rPr>
            <w:rFonts w:ascii="Arial" w:hAnsi="Arial" w:cs="Arial" w:eastAsia="Arial"/>
            <w:sz w:val="22"/>
            <w:color w:val="0563C1"/>
            <w:u w:val="single"/>
          </w:rPr>
          <w:t xml:space="preserve">PACER</w:t>
        </w:r>
      </w:hyperlink>
      <w:r>
        <w:rPr>
          <w:rFonts w:ascii="Arial" w:hAnsi="Arial" w:cs="Arial" w:eastAsia="Arial"/>
          <w:b w:val="0"/>
          <w:color w:val="000000"/>
          <w:sz w:val="22"/>
          <w:u w:val="none"/>
        </w:rPr>
        <w:t>. Walk the recovery through a range of enterprise values.</w:t>
      </w:r>
    </w:p>
    <w:p>
      <w:pPr>
        <w:pStyle w:val="ListNumber"/>
        <w:spacing w:line="480" w:lineRule="auto" w:before="0" w:after="0"/>
      </w:pPr>
      <w:r>
        <w:rPr>
          <w:rFonts w:ascii="Arial" w:hAnsi="Arial" w:cs="Arial" w:eastAsia="Arial"/>
          <w:b/>
          <w:color w:val="000000"/>
          <w:sz w:val="22"/>
          <w:u w:val="none"/>
        </w:rPr>
        <w:t>Network three current RX analysts before you submit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mazon.com/Distressed-Debt-Analysis-Strategies-Speculative/dp/1932159185" TargetMode="External"/><Relationship Id="rId10" Type="http://schemas.openxmlformats.org/officeDocument/2006/relationships/hyperlink" Target="https://www.amazon.com/Pragmatists-Guide-Leveraged-Finance-Below-Investment-Grade/dp/0857198491" TargetMode="External"/><Relationship Id="rId11" Type="http://schemas.openxmlformats.org/officeDocument/2006/relationships/hyperlink" Target="https://www.amazon.com/Credit-Investors-Handbook-Leveraged-Distressed/dp/1394196059" TargetMode="External"/><Relationship Id="rId12" Type="http://schemas.openxmlformats.org/officeDocument/2006/relationships/hyperlink" Target="https://www.wallstreetprep.com" TargetMode="External"/><Relationship Id="rId13" Type="http://schemas.openxmlformats.org/officeDocument/2006/relationships/hyperlink" Target="https://pacer.uscourts.gov" TargetMode="External"/><Relationship Id="rId14" Type="http://schemas.openxmlformats.org/officeDocument/2006/relationships/hyperlink" Target="https://restructuringnewsle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