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The Ultimate Guide to Landing a Private Equity Internship as an Undergrad</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how to land a private equity internship as an undergrad: which firms hire, the timeline, and what separates winners.</w:t>
      </w:r>
    </w:p>
    <w:p>
      <w:pPr>
        <w:spacing w:line="480" w:lineRule="auto" w:before="0" w:after="0"/>
      </w:pPr>
      <w:r>
        <w:rPr>
          <w:rFonts w:ascii="Arial" w:hAnsi="Arial" w:cs="Arial" w:eastAsia="Arial"/>
          <w:b/>
          <w:color w:val="000000"/>
          <w:sz w:val="22"/>
          <w:u w:val="none"/>
        </w:rPr>
        <w:t>Most private equity firms do not hire undergraduate interns.</w:t>
      </w:r>
      <w:r>
        <w:rPr>
          <w:rFonts w:ascii="Arial" w:hAnsi="Arial" w:cs="Arial" w:eastAsia="Arial"/>
          <w:b w:val="0"/>
          <w:color w:val="000000"/>
          <w:sz w:val="22"/>
          <w:u w:val="none"/>
        </w:rPr>
        <w:t xml:space="preserve"> The standard PE path runs through investment banking first: two years as an IB analyst, then on-cycle PE recruiting kicks off in the summer between your first and second analyst year. The buy-side hop is the norm.</w:t>
      </w:r>
    </w:p>
    <w:p>
      <w:pPr>
        <w:spacing w:line="480" w:lineRule="auto" w:before="0" w:after="0"/>
      </w:pPr>
      <w:r>
        <w:rPr>
          <w:rFonts w:ascii="Arial" w:hAnsi="Arial" w:cs="Arial" w:eastAsia="Arial"/>
          <w:b w:val="0"/>
          <w:color w:val="000000"/>
          <w:sz w:val="22"/>
          <w:u w:val="none"/>
        </w:rPr>
        <w:t xml:space="preserve">But a small set of firms run real undergrad summer internships, and a meaningful number of students land at those programs every year. Blackstone, KKR, Apollo, Carlyle, Bain Capital, and Insight Partners all hire undergrad summer interns directly onto their investment teams. </w:t>
      </w:r>
      <w:r>
        <w:rPr>
          <w:rFonts w:ascii="Arial" w:hAnsi="Arial" w:cs="Arial" w:eastAsia="Arial"/>
          <w:b/>
          <w:color w:val="000000"/>
          <w:sz w:val="22"/>
          <w:u w:val="none"/>
        </w:rPr>
        <w:t>The acceptance rates are brutal (Blackstone PE is below 1.5 percent), the recruiting timeline is moving earlier every year, and the candidates who actually convert do six specific things in their sophomore and junior years.</w:t>
      </w:r>
      <w:r>
        <w:rPr>
          <w:rFonts w:ascii="Arial" w:hAnsi="Arial" w:cs="Arial" w:eastAsia="Arial"/>
          <w:b w:val="0"/>
          <w:color w:val="000000"/>
          <w:sz w:val="22"/>
          <w:u w:val="none"/>
        </w:rPr>
        <w:t xml:space="preserve"> This guide lays out the playbook.</w:t>
      </w:r>
    </w:p>
    <w:p>
      <w:pPr>
        <w:spacing w:line="480" w:lineRule="auto" w:before="0" w:after="0"/>
      </w:pPr>
      <w:r>
        <w:rPr>
          <w:rFonts w:ascii="Arial" w:hAnsi="Arial" w:cs="Arial" w:eastAsia="Arial"/>
          <w:b w:val="0"/>
          <w:color w:val="000000"/>
          <w:sz w:val="22"/>
          <w:u w:val="none"/>
        </w:rPr>
        <w:t>As a Harvard alum who went through McKinsey's on-cycle recruiting and now runs WSG watching sophomores attempt the PE route every cycle, this is what I would tell a sophomore who walked into my office today and said they wanted Blackstone PE for Summer 2027.</w:t>
      </w:r>
    </w:p>
    <w:p>
      <w:pPr>
        <w:spacing w:line="480" w:lineRule="auto" w:before="0" w:after="0"/>
      </w:pPr>
      <w:r>
        <w:rPr>
          <w:rFonts w:ascii="Arial" w:hAnsi="Arial" w:cs="Arial" w:eastAsia="Arial"/>
          <w:b/>
          <w:color w:val="000000"/>
          <w:sz w:val="36"/>
          <w:u w:val="none"/>
        </w:rPr>
        <w:t>Which PE firms actually hire undergrad summer interns?</w:t>
      </w:r>
    </w:p>
    <w:p>
      <w:pPr>
        <w:spacing w:line="480" w:lineRule="auto" w:before="0" w:after="0"/>
      </w:pPr>
      <w:r>
        <w:rPr>
          <w:rFonts w:ascii="Arial" w:hAnsi="Arial" w:cs="Arial" w:eastAsia="Arial"/>
          <w:b w:val="0"/>
          <w:color w:val="000000"/>
          <w:sz w:val="22"/>
          <w:u w:val="none"/>
        </w:rPr>
        <w:t>Two categories. The first is mega-fund and large-cap firms that run dedicated undergrad summer programs. The second is growth equity firms that hire undergrads onto investment teams because the work translates more naturally from a student background.</w:t>
      </w:r>
    </w:p>
    <w:p>
      <w:pPr>
        <w:spacing w:line="480" w:lineRule="auto" w:before="0" w:after="0"/>
      </w:pPr>
      <w:r>
        <w:rPr>
          <w:rFonts w:ascii="Arial" w:hAnsi="Arial" w:cs="Arial" w:eastAsia="Arial"/>
          <w:b w:val="0"/>
          <w:color w:val="000000"/>
          <w:sz w:val="22"/>
          <w:u w:val="none"/>
        </w:rPr>
        <w:t>The mega-fund undergrad programs to know:</w:t>
      </w:r>
    </w:p>
    <w:p>
      <w:pPr>
        <w:pStyle w:val="ListBullet"/>
        <w:spacing w:line="480" w:lineRule="auto" w:before="0" w:after="0"/>
      </w:pPr>
      <w:r>
        <w:rPr>
          <w:rFonts w:ascii="Arial" w:hAnsi="Arial" w:cs="Arial" w:eastAsia="Arial"/>
          <w:b/>
          <w:color w:val="000000"/>
          <w:sz w:val="22"/>
          <w:u w:val="none"/>
        </w:rPr>
        <w:t>Blackstone Summer Analyst Program.</w:t>
      </w:r>
      <w:r>
        <w:rPr>
          <w:rFonts w:ascii="Arial" w:hAnsi="Arial" w:cs="Arial" w:eastAsia="Arial"/>
          <w:b w:val="0"/>
          <w:color w:val="000000"/>
          <w:sz w:val="22"/>
          <w:u w:val="none"/>
        </w:rPr>
        <w:t xml:space="preserve"> Roughly 200 PE spots from 30,000 applications. Below 1.5 percent acceptance rate. The most competitive undergrad PE internship in the world.</w:t>
      </w:r>
    </w:p>
    <w:p>
      <w:pPr>
        <w:pStyle w:val="ListBullet"/>
        <w:spacing w:line="480" w:lineRule="auto" w:before="0" w:after="0"/>
      </w:pPr>
      <w:r>
        <w:rPr>
          <w:rFonts w:ascii="Arial" w:hAnsi="Arial" w:cs="Arial" w:eastAsia="Arial"/>
          <w:b/>
          <w:color w:val="000000"/>
          <w:sz w:val="22"/>
          <w:u w:val="none"/>
        </w:rPr>
        <w:t>KKR Private Equity Internship.</w:t>
      </w:r>
      <w:r>
        <w:rPr>
          <w:rFonts w:ascii="Arial" w:hAnsi="Arial" w:cs="Arial" w:eastAsia="Arial"/>
          <w:b w:val="0"/>
          <w:color w:val="000000"/>
          <w:sz w:val="22"/>
          <w:u w:val="none"/>
        </w:rPr>
        <w:t xml:space="preserve"> Interns work directly with deal teams on sourcing, diligence, and portfolio support across healthcare, tech, and industrials.</w:t>
      </w:r>
    </w:p>
    <w:p>
      <w:pPr>
        <w:pStyle w:val="ListBullet"/>
        <w:spacing w:line="480" w:lineRule="auto" w:before="0" w:after="0"/>
      </w:pPr>
      <w:r>
        <w:rPr>
          <w:rFonts w:ascii="Arial" w:hAnsi="Arial" w:cs="Arial" w:eastAsia="Arial"/>
          <w:b/>
          <w:color w:val="000000"/>
          <w:sz w:val="22"/>
          <w:u w:val="none"/>
        </w:rPr>
        <w:t>Apollo Sophomore Summer Internship.</w:t>
      </w:r>
      <w:r>
        <w:rPr>
          <w:rFonts w:ascii="Arial" w:hAnsi="Arial" w:cs="Arial" w:eastAsia="Arial"/>
          <w:b w:val="0"/>
          <w:color w:val="000000"/>
          <w:sz w:val="22"/>
          <w:u w:val="none"/>
        </w:rPr>
        <w:t xml:space="preserve"> Confirmed sophomore-specific program at Apollo. Less visible than Blackstone but a real seat.</w:t>
      </w:r>
    </w:p>
    <w:p>
      <w:pPr>
        <w:pStyle w:val="ListBullet"/>
        <w:spacing w:line="480" w:lineRule="auto" w:before="0" w:after="0"/>
      </w:pPr>
      <w:r>
        <w:rPr>
          <w:rFonts w:ascii="Arial" w:hAnsi="Arial" w:cs="Arial" w:eastAsia="Arial"/>
          <w:b/>
          <w:color w:val="000000"/>
          <w:sz w:val="22"/>
          <w:u w:val="none"/>
        </w:rPr>
        <w:t>Bain Capital.</w:t>
      </w:r>
      <w:r>
        <w:rPr>
          <w:rFonts w:ascii="Arial" w:hAnsi="Arial" w:cs="Arial" w:eastAsia="Arial"/>
          <w:b w:val="0"/>
          <w:color w:val="000000"/>
          <w:sz w:val="22"/>
          <w:u w:val="none"/>
        </w:rPr>
        <w:t xml:space="preserve"> Apprentice-style model. Interns build models, run diligence, evaluate investments across asset classes.</w:t>
      </w:r>
    </w:p>
    <w:p>
      <w:pPr>
        <w:pStyle w:val="ListBullet"/>
        <w:spacing w:line="480" w:lineRule="auto" w:before="0" w:after="0"/>
      </w:pPr>
      <w:r>
        <w:rPr>
          <w:rFonts w:ascii="Arial" w:hAnsi="Arial" w:cs="Arial" w:eastAsia="Arial"/>
          <w:b/>
          <w:color w:val="000000"/>
          <w:sz w:val="22"/>
          <w:u w:val="none"/>
        </w:rPr>
        <w:t>Carlyle Group Summer Analyst.</w:t>
      </w:r>
      <w:r>
        <w:rPr>
          <w:rFonts w:ascii="Arial" w:hAnsi="Arial" w:cs="Arial" w:eastAsia="Arial"/>
          <w:b w:val="0"/>
          <w:color w:val="000000"/>
          <w:sz w:val="22"/>
          <w:u w:val="none"/>
        </w:rPr>
        <w:t xml:space="preserve"> Real investment-team exposure across sectors.</w:t>
      </w:r>
    </w:p>
    <w:p>
      <w:pPr>
        <w:spacing w:line="480" w:lineRule="auto" w:before="0" w:after="0"/>
      </w:pPr>
      <w:r>
        <w:rPr>
          <w:rFonts w:ascii="Arial" w:hAnsi="Arial" w:cs="Arial" w:eastAsia="Arial"/>
          <w:b w:val="0"/>
          <w:color w:val="000000"/>
          <w:sz w:val="22"/>
          <w:u w:val="none"/>
        </w:rPr>
        <w:t>The growth equity programs that hire undergrads directly:</w:t>
      </w:r>
    </w:p>
    <w:p>
      <w:pPr>
        <w:pStyle w:val="ListBullet"/>
        <w:spacing w:line="480" w:lineRule="auto" w:before="0" w:after="0"/>
      </w:pPr>
      <w:r>
        <w:rPr>
          <w:rFonts w:ascii="Arial" w:hAnsi="Arial" w:cs="Arial" w:eastAsia="Arial"/>
          <w:b/>
          <w:color w:val="000000"/>
          <w:sz w:val="22"/>
          <w:u w:val="none"/>
        </w:rPr>
        <w:t>Insight Partners Summer Investment Analyst.</w:t>
      </w:r>
      <w:r>
        <w:rPr>
          <w:rFonts w:ascii="Arial" w:hAnsi="Arial" w:cs="Arial" w:eastAsia="Arial"/>
          <w:b w:val="0"/>
          <w:color w:val="000000"/>
          <w:sz w:val="22"/>
          <w:u w:val="none"/>
        </w:rPr>
        <w:t xml:space="preserve"> $90B+ growth equity firm in New York. Most credible undergrad-to-VC/GE pipeline on Wall Street.</w:t>
      </w:r>
    </w:p>
    <w:p>
      <w:pPr>
        <w:pStyle w:val="ListBullet"/>
        <w:spacing w:line="480" w:lineRule="auto" w:before="0" w:after="0"/>
      </w:pPr>
      <w:r>
        <w:rPr>
          <w:rFonts w:ascii="Arial" w:hAnsi="Arial" w:cs="Arial" w:eastAsia="Arial"/>
          <w:b/>
          <w:color w:val="000000"/>
          <w:sz w:val="22"/>
          <w:u w:val="none"/>
        </w:rPr>
        <w:t>General Atlantic.</w:t>
      </w:r>
      <w:r>
        <w:rPr>
          <w:rFonts w:ascii="Arial" w:hAnsi="Arial" w:cs="Arial" w:eastAsia="Arial"/>
          <w:b w:val="0"/>
          <w:color w:val="000000"/>
          <w:sz w:val="22"/>
          <w:u w:val="none"/>
        </w:rPr>
        <w:t xml:space="preserve"> Pre-MBA Associate program; selective undergrad summer hiring.</w:t>
      </w:r>
    </w:p>
    <w:p>
      <w:pPr>
        <w:pStyle w:val="ListBullet"/>
        <w:spacing w:line="480" w:lineRule="auto" w:before="0" w:after="0"/>
      </w:pPr>
      <w:r>
        <w:rPr>
          <w:rFonts w:ascii="Arial" w:hAnsi="Arial" w:cs="Arial" w:eastAsia="Arial"/>
          <w:b/>
          <w:color w:val="000000"/>
          <w:sz w:val="22"/>
          <w:u w:val="none"/>
        </w:rPr>
        <w:t>TA Associates.</w:t>
      </w:r>
      <w:r>
        <w:rPr>
          <w:rFonts w:ascii="Arial" w:hAnsi="Arial" w:cs="Arial" w:eastAsia="Arial"/>
          <w:b w:val="0"/>
          <w:color w:val="000000"/>
          <w:sz w:val="22"/>
          <w:u w:val="none"/>
        </w:rPr>
        <w:t xml:space="preserve"> Limited undergrad slots; very strong placement record.</w:t>
      </w:r>
    </w:p>
    <w:p>
      <w:pPr>
        <w:spacing w:line="480" w:lineRule="auto" w:before="0" w:after="0"/>
      </w:pPr>
      <w:r>
        <w:rPr>
          <w:rFonts w:ascii="Arial" w:hAnsi="Arial" w:cs="Arial" w:eastAsia="Arial"/>
          <w:b/>
          <w:color w:val="000000"/>
          <w:sz w:val="22"/>
          <w:u w:val="none"/>
        </w:rPr>
        <w:t>The honest filter: if you're a sophomore reading this, your odds of landing a Blackstone PE Summer Analyst seat in 2027 are below 1 percent. Your odds of landing an Insight Partners Summer Investment Analyst seat are materially higher.</w:t>
      </w:r>
    </w:p>
    <w:p>
      <w:pPr>
        <w:spacing w:line="480" w:lineRule="auto" w:before="0" w:after="0"/>
      </w:pPr>
      <w:r>
        <w:rPr>
          <w:rFonts w:ascii="Arial" w:hAnsi="Arial" w:cs="Arial" w:eastAsia="Arial"/>
          <w:b/>
          <w:color w:val="000000"/>
          <w:sz w:val="36"/>
          <w:u w:val="none"/>
        </w:rPr>
        <w:t>The on-cycle recruiting timeline has collapsed to under 18 months from internship start</w:t>
      </w:r>
    </w:p>
    <w:p>
      <w:pPr>
        <w:spacing w:line="480" w:lineRule="auto" w:before="0" w:after="0"/>
      </w:pPr>
      <w:r>
        <w:rPr>
          <w:rFonts w:ascii="Arial" w:hAnsi="Arial" w:cs="Arial" w:eastAsia="Arial"/>
          <w:b w:val="0"/>
          <w:color w:val="000000"/>
          <w:sz w:val="22"/>
          <w:u w:val="none"/>
        </w:rPr>
        <w:t xml:space="preserve">Private equity recruiting for the 2026 analyst class kicked off </w:t>
      </w:r>
      <w:r>
        <w:rPr>
          <w:rFonts w:ascii="Arial" w:hAnsi="Arial" w:cs="Arial" w:eastAsia="Arial"/>
          <w:b/>
          <w:color w:val="000000"/>
          <w:sz w:val="22"/>
          <w:u w:val="none"/>
        </w:rPr>
        <w:t>on June 24, 2024, the earliest on-cycle kickoff in history.</w:t>
      </w:r>
      <w:r>
        <w:rPr>
          <w:rFonts w:ascii="Arial" w:hAnsi="Arial" w:cs="Arial" w:eastAsia="Arial"/>
          <w:b w:val="0"/>
          <w:color w:val="000000"/>
          <w:sz w:val="22"/>
          <w:u w:val="none"/>
        </w:rPr>
        <w:t xml:space="preserve"> That timeline has continued to compress. Firms now reach out to first-year IB analysts as early as July, with applications opening in August and strict deadlines often by mid-September.</w:t>
      </w:r>
    </w:p>
    <w:p>
      <w:pPr>
        <w:spacing w:line="480" w:lineRule="auto" w:before="0" w:after="0"/>
      </w:pPr>
      <w:r>
        <w:rPr>
          <w:rFonts w:ascii="Arial" w:hAnsi="Arial" w:cs="Arial" w:eastAsia="Arial"/>
          <w:b w:val="0"/>
          <w:color w:val="000000"/>
          <w:sz w:val="22"/>
          <w:u w:val="none"/>
        </w:rPr>
        <w:t>For undergrads, the implications are:</w:t>
      </w:r>
    </w:p>
    <w:p>
      <w:pPr>
        <w:pStyle w:val="ListBullet"/>
        <w:spacing w:line="480" w:lineRule="auto" w:before="0" w:after="0"/>
      </w:pPr>
      <w:r>
        <w:rPr>
          <w:rFonts w:ascii="Arial" w:hAnsi="Arial" w:cs="Arial" w:eastAsia="Arial"/>
          <w:b/>
          <w:color w:val="000000"/>
          <w:sz w:val="22"/>
          <w:u w:val="none"/>
        </w:rPr>
        <w:t>Sophomore-year programs at Blackstone, KKR, and Apollo open in fall of sophomore year for the following summer.</w:t>
      </w:r>
      <w:r>
        <w:rPr>
          <w:rFonts w:ascii="Arial" w:hAnsi="Arial" w:cs="Arial" w:eastAsia="Arial"/>
          <w:b w:val="0"/>
          <w:color w:val="000000"/>
          <w:sz w:val="22"/>
          <w:u w:val="none"/>
        </w:rPr>
        <w:t xml:space="preserve"> A sophomore applying for Summer 2027 needs to submit by November 2026 at the latest.</w:t>
      </w:r>
    </w:p>
    <w:p>
      <w:pPr>
        <w:pStyle w:val="ListBullet"/>
        <w:spacing w:line="480" w:lineRule="auto" w:before="0" w:after="0"/>
      </w:pPr>
      <w:r>
        <w:rPr>
          <w:rFonts w:ascii="Arial" w:hAnsi="Arial" w:cs="Arial" w:eastAsia="Arial"/>
          <w:b/>
          <w:color w:val="000000"/>
          <w:sz w:val="22"/>
          <w:u w:val="none"/>
        </w:rPr>
        <w:t>Apollo and General Atlantic have pulled back from the most aggressive 2027 recruiting</w:t>
      </w:r>
      <w:r>
        <w:rPr>
          <w:rFonts w:ascii="Arial" w:hAnsi="Arial" w:cs="Arial" w:eastAsia="Arial"/>
          <w:b w:val="0"/>
          <w:color w:val="000000"/>
          <w:sz w:val="22"/>
          <w:u w:val="none"/>
        </w:rPr>
        <w:t>, and JPMorgan has threatened to fire analysts who participate. The industry is pushing back.</w:t>
      </w:r>
    </w:p>
    <w:p>
      <w:pPr>
        <w:pStyle w:val="ListBullet"/>
        <w:spacing w:line="480" w:lineRule="auto" w:before="0" w:after="0"/>
      </w:pPr>
      <w:r>
        <w:rPr>
          <w:rFonts w:ascii="Arial" w:hAnsi="Arial" w:cs="Arial" w:eastAsia="Arial"/>
          <w:b/>
          <w:color w:val="000000"/>
          <w:sz w:val="22"/>
          <w:u w:val="none"/>
        </w:rPr>
        <w:t>You cannot wait until junior year to start.</w:t>
      </w:r>
      <w:r>
        <w:rPr>
          <w:rFonts w:ascii="Arial" w:hAnsi="Arial" w:cs="Arial" w:eastAsia="Arial"/>
          <w:b w:val="0"/>
          <w:color w:val="000000"/>
          <w:sz w:val="22"/>
          <w:u w:val="none"/>
        </w:rPr>
        <w:t xml:space="preserve"> Sophomores who hadn't engaged by junior fall typically miss the on-cycle window entirely.</w:t>
      </w:r>
    </w:p>
    <w:p>
      <w:pPr>
        <w:spacing w:line="480" w:lineRule="auto" w:before="0" w:after="0"/>
      </w:pPr>
      <w:r>
        <w:rPr>
          <w:rFonts w:ascii="Arial" w:hAnsi="Arial" w:cs="Arial" w:eastAsia="Arial"/>
          <w:b/>
          <w:color w:val="000000"/>
          <w:sz w:val="22"/>
          <w:u w:val="none"/>
        </w:rPr>
        <w:t>The students who land mega-fund PE seats started building their PE story in sophomore fall.</w:t>
      </w:r>
    </w:p>
    <w:p>
      <w:pPr>
        <w:spacing w:line="480" w:lineRule="auto" w:before="0" w:after="0"/>
      </w:pPr>
      <w:r>
        <w:rPr>
          <w:rFonts w:ascii="Arial" w:hAnsi="Arial" w:cs="Arial" w:eastAsia="Arial"/>
          <w:b/>
          <w:color w:val="000000"/>
          <w:sz w:val="36"/>
          <w:u w:val="none"/>
        </w:rPr>
        <w:t>Networking matters more in PE recruiting than in IB recruiting</w:t>
      </w:r>
    </w:p>
    <w:p>
      <w:pPr>
        <w:spacing w:line="480" w:lineRule="auto" w:before="0" w:after="0"/>
      </w:pPr>
      <w:r>
        <w:rPr>
          <w:rFonts w:ascii="Arial" w:hAnsi="Arial" w:cs="Arial" w:eastAsia="Arial"/>
          <w:b w:val="0"/>
          <w:color w:val="000000"/>
          <w:sz w:val="22"/>
          <w:u w:val="none"/>
        </w:rPr>
        <w:t>In IB, networking is necessary but the application portal is real. In PE, the portals barely matter.</w:t>
      </w:r>
    </w:p>
    <w:p>
      <w:pPr>
        <w:pStyle w:val="ListBullet"/>
        <w:spacing w:line="480" w:lineRule="auto" w:before="0" w:after="0"/>
      </w:pPr>
      <w:r>
        <w:rPr>
          <w:rFonts w:ascii="Arial" w:hAnsi="Arial" w:cs="Arial" w:eastAsia="Arial"/>
          <w:b/>
          <w:color w:val="000000"/>
          <w:sz w:val="22"/>
          <w:u w:val="none"/>
        </w:rPr>
        <w:t>Funnel size.</w:t>
      </w:r>
      <w:r>
        <w:rPr>
          <w:rFonts w:ascii="Arial" w:hAnsi="Arial" w:cs="Arial" w:eastAsia="Arial"/>
          <w:b w:val="0"/>
          <w:color w:val="000000"/>
          <w:sz w:val="22"/>
          <w:u w:val="none"/>
        </w:rPr>
        <w:t xml:space="preserve"> A Blackstone PE SA class is 30 to 40. An order of magnitude smaller than IB.</w:t>
      </w:r>
    </w:p>
    <w:p>
      <w:pPr>
        <w:pStyle w:val="ListBullet"/>
        <w:spacing w:line="480" w:lineRule="auto" w:before="0" w:after="0"/>
      </w:pPr>
      <w:r>
        <w:rPr>
          <w:rFonts w:ascii="Arial" w:hAnsi="Arial" w:cs="Arial" w:eastAsia="Arial"/>
          <w:b/>
          <w:color w:val="000000"/>
          <w:sz w:val="22"/>
          <w:u w:val="none"/>
        </w:rPr>
        <w:t>Cultural fit weighting.</w:t>
      </w:r>
      <w:r>
        <w:rPr>
          <w:rFonts w:ascii="Arial" w:hAnsi="Arial" w:cs="Arial" w:eastAsia="Arial"/>
          <w:b w:val="0"/>
          <w:color w:val="000000"/>
          <w:sz w:val="22"/>
          <w:u w:val="none"/>
        </w:rPr>
        <w:t xml:space="preserve"> PE firms are smaller and more partnership-driven. Senior bankers have direct hiring veto.</w:t>
      </w:r>
    </w:p>
    <w:p>
      <w:pPr>
        <w:pStyle w:val="ListBullet"/>
        <w:spacing w:line="480" w:lineRule="auto" w:before="0" w:after="0"/>
      </w:pPr>
      <w:r>
        <w:rPr>
          <w:rFonts w:ascii="Arial" w:hAnsi="Arial" w:cs="Arial" w:eastAsia="Arial"/>
          <w:b/>
          <w:color w:val="000000"/>
          <w:sz w:val="22"/>
          <w:u w:val="none"/>
        </w:rPr>
        <w:t>Headhunter gatekeeping.</w:t>
      </w:r>
      <w:r>
        <w:rPr>
          <w:rFonts w:ascii="Arial" w:hAnsi="Arial" w:cs="Arial" w:eastAsia="Arial"/>
          <w:b w:val="0"/>
          <w:color w:val="000000"/>
          <w:sz w:val="22"/>
          <w:u w:val="none"/>
        </w:rPr>
        <w:t xml:space="preserve"> Most PE recruiting flows through a small set of headhunters (Henkel, CPI, Amity, SG, Ratio Advisors).</w:t>
      </w:r>
    </w:p>
    <w:p>
      <w:pPr>
        <w:spacing w:line="480" w:lineRule="auto" w:before="0" w:after="0"/>
      </w:pPr>
      <w:r>
        <w:rPr>
          <w:rFonts w:ascii="Arial" w:hAnsi="Arial" w:cs="Arial" w:eastAsia="Arial"/>
          <w:b/>
          <w:color w:val="000000"/>
          <w:sz w:val="22"/>
          <w:u w:val="none"/>
        </w:rPr>
        <w:t>To compete for a PE undergrad seat, you need to know at least three current PE associates or analysts at the firm you're targeting before you submit the application.</w:t>
      </w:r>
    </w:p>
    <w:p>
      <w:pPr>
        <w:spacing w:line="480" w:lineRule="auto" w:before="0" w:after="0"/>
      </w:pPr>
      <w:r>
        <w:rPr>
          <w:rFonts w:ascii="Arial" w:hAnsi="Arial" w:cs="Arial" w:eastAsia="Arial"/>
          <w:b/>
          <w:color w:val="000000"/>
          <w:sz w:val="36"/>
          <w:u w:val="none"/>
        </w:rPr>
        <w:t>You need to know modeling cold before you apply</w:t>
      </w:r>
    </w:p>
    <w:p>
      <w:pPr>
        <w:spacing w:line="480" w:lineRule="auto" w:before="0" w:after="0"/>
      </w:pPr>
      <w:r>
        <w:rPr>
          <w:rFonts w:ascii="Arial" w:hAnsi="Arial" w:cs="Arial" w:eastAsia="Arial"/>
          <w:b w:val="0"/>
          <w:color w:val="000000"/>
          <w:sz w:val="22"/>
          <w:u w:val="none"/>
        </w:rPr>
        <w:t>The PE interview filter is the case study, not the behavioral round. The case study runs from 60 minutes to four hours and asks you to build an LBO model from scratch.</w:t>
      </w:r>
    </w:p>
    <w:p>
      <w:pPr>
        <w:spacing w:line="480" w:lineRule="auto" w:before="0" w:after="0"/>
      </w:pPr>
      <w:r>
        <w:rPr>
          <w:rFonts w:ascii="Arial" w:hAnsi="Arial" w:cs="Arial" w:eastAsia="Arial"/>
          <w:b/>
          <w:color w:val="000000"/>
          <w:sz w:val="22"/>
          <w:u w:val="none"/>
        </w:rPr>
        <w:t>You cannot fake modeling proficiency in a live case study.</w:t>
      </w:r>
      <w:r>
        <w:rPr>
          <w:rFonts w:ascii="Arial" w:hAnsi="Arial" w:cs="Arial" w:eastAsia="Arial"/>
          <w:b w:val="0"/>
          <w:color w:val="000000"/>
          <w:sz w:val="22"/>
          <w:u w:val="none"/>
        </w:rPr>
        <w:t xml:space="preserve"> The interviewer will watch you build, flex assumptions, and stress-test your debt schedule. Memorizing templates without understanding the mechanics gets you exposed within 20 minutes.</w:t>
      </w:r>
    </w:p>
    <w:p>
      <w:pPr>
        <w:pStyle w:val="ListBullet"/>
        <w:spacing w:line="480" w:lineRule="auto" w:before="0" w:after="0"/>
      </w:pPr>
      <w:r>
        <w:rPr>
          <w:rFonts w:ascii="Arial" w:hAnsi="Arial" w:cs="Arial" w:eastAsia="Arial"/>
          <w:b/>
          <w:color w:val="000000"/>
          <w:sz w:val="22"/>
          <w:u w:val="none"/>
        </w:rPr>
        <w:t>You can build an LBO from a blank Excel in 30 minutes.</w:t>
      </w:r>
    </w:p>
    <w:p>
      <w:pPr>
        <w:pStyle w:val="ListBullet"/>
        <w:spacing w:line="480" w:lineRule="auto" w:before="0" w:after="0"/>
      </w:pPr>
      <w:r>
        <w:rPr>
          <w:rFonts w:ascii="Arial" w:hAnsi="Arial" w:cs="Arial" w:eastAsia="Arial"/>
          <w:b/>
          <w:color w:val="000000"/>
          <w:sz w:val="22"/>
          <w:u w:val="none"/>
        </w:rPr>
        <w:t>You understand sources and uses, financing structure, and how covenants flex.</w:t>
      </w:r>
    </w:p>
    <w:p>
      <w:pPr>
        <w:pStyle w:val="ListBullet"/>
        <w:spacing w:line="480" w:lineRule="auto" w:before="0" w:after="0"/>
      </w:pPr>
      <w:r>
        <w:rPr>
          <w:rFonts w:ascii="Arial" w:hAnsi="Arial" w:cs="Arial" w:eastAsia="Arial"/>
          <w:b/>
          <w:color w:val="000000"/>
          <w:sz w:val="22"/>
          <w:u w:val="none"/>
        </w:rPr>
        <w:t>You can defend every assumption in your model.</w:t>
      </w:r>
    </w:p>
    <w:p>
      <w:pPr>
        <w:pStyle w:val="ListBullet"/>
        <w:spacing w:line="480" w:lineRule="auto" w:before="0" w:after="0"/>
      </w:pPr>
      <w:r>
        <w:rPr>
          <w:rFonts w:ascii="Arial" w:hAnsi="Arial" w:cs="Arial" w:eastAsia="Arial"/>
          <w:b/>
          <w:color w:val="000000"/>
          <w:sz w:val="22"/>
          <w:u w:val="none"/>
        </w:rPr>
        <w:t>You've practiced with at least 10 real case studies.</w:t>
      </w:r>
    </w:p>
    <w:p>
      <w:pPr>
        <w:spacing w:line="480" w:lineRule="auto" w:before="0" w:after="0"/>
      </w:pPr>
      <w:r>
        <w:rPr>
          <w:rFonts w:ascii="Arial" w:hAnsi="Arial" w:cs="Arial" w:eastAsia="Arial"/>
          <w:b w:val="0"/>
          <w:color w:val="000000"/>
          <w:sz w:val="22"/>
          <w:u w:val="none"/>
        </w:rPr>
        <w:t xml:space="preserve">The students who land PE summer offers typically spend 200+ hours over sophomore fall and spring building modeling reps. </w:t>
      </w:r>
      <w:r>
        <w:rPr>
          <w:rFonts w:ascii="Arial" w:hAnsi="Arial" w:cs="Arial" w:eastAsia="Arial"/>
          <w:b/>
          <w:color w:val="000000"/>
          <w:sz w:val="22"/>
          <w:u w:val="none"/>
        </w:rPr>
        <w:t>The students who get cut realize too late that one weekend of BIWS practice isn't enough.</w:t>
      </w:r>
    </w:p>
    <w:p>
      <w:pPr>
        <w:spacing w:line="480" w:lineRule="auto" w:before="0" w:after="0"/>
      </w:pPr>
      <w:r>
        <w:rPr>
          <w:rFonts w:ascii="Arial" w:hAnsi="Arial" w:cs="Arial" w:eastAsia="Arial"/>
          <w:b/>
          <w:color w:val="000000"/>
          <w:sz w:val="36"/>
          <w:u w:val="none"/>
        </w:rPr>
        <w:t>The case study is the actual filter, not the behavioral</w:t>
      </w:r>
    </w:p>
    <w:p>
      <w:pPr>
        <w:spacing w:line="480" w:lineRule="auto" w:before="0" w:after="0"/>
      </w:pPr>
      <w:r>
        <w:rPr>
          <w:rFonts w:ascii="Arial" w:hAnsi="Arial" w:cs="Arial" w:eastAsia="Arial"/>
          <w:b w:val="0"/>
          <w:color w:val="000000"/>
          <w:sz w:val="22"/>
          <w:u w:val="none"/>
        </w:rPr>
        <w:t>PE firms hire on technical horsepower and judgment. The behavioral round filters out candidates who would obviously fail to function. The case study filters for who can actually think through an investment.</w:t>
      </w:r>
    </w:p>
    <w:p>
      <w:pPr>
        <w:pStyle w:val="ListBullet"/>
        <w:spacing w:line="480" w:lineRule="auto" w:before="0" w:after="0"/>
      </w:pPr>
      <w:r>
        <w:rPr>
          <w:rFonts w:ascii="Arial" w:hAnsi="Arial" w:cs="Arial" w:eastAsia="Arial"/>
          <w:b/>
          <w:color w:val="000000"/>
          <w:sz w:val="22"/>
          <w:u w:val="none"/>
        </w:rPr>
        <w:t>Can you build a defensible operating case?</w:t>
      </w:r>
      <w:r>
        <w:rPr>
          <w:rFonts w:ascii="Arial" w:hAnsi="Arial" w:cs="Arial" w:eastAsia="Arial"/>
          <w:b w:val="0"/>
          <w:color w:val="000000"/>
          <w:sz w:val="22"/>
          <w:u w:val="none"/>
        </w:rPr>
        <w:t xml:space="preserve"> Not "5 percent forever." Real drivers.</w:t>
      </w:r>
    </w:p>
    <w:p>
      <w:pPr>
        <w:pStyle w:val="ListBullet"/>
        <w:spacing w:line="480" w:lineRule="auto" w:before="0" w:after="0"/>
      </w:pPr>
      <w:r>
        <w:rPr>
          <w:rFonts w:ascii="Arial" w:hAnsi="Arial" w:cs="Arial" w:eastAsia="Arial"/>
          <w:b/>
          <w:color w:val="000000"/>
          <w:sz w:val="22"/>
          <w:u w:val="none"/>
        </w:rPr>
        <w:t>Do you understand what makes a good LBO target?</w:t>
      </w:r>
      <w:r>
        <w:rPr>
          <w:rFonts w:ascii="Arial" w:hAnsi="Arial" w:cs="Arial" w:eastAsia="Arial"/>
          <w:b w:val="0"/>
          <w:color w:val="000000"/>
          <w:sz w:val="22"/>
          <w:u w:val="none"/>
        </w:rPr>
        <w:t xml:space="preserve"> Stable cash flows, low capex, operational improvement, downside protection.</w:t>
      </w:r>
    </w:p>
    <w:p>
      <w:pPr>
        <w:pStyle w:val="ListBullet"/>
        <w:spacing w:line="480" w:lineRule="auto" w:before="0" w:after="0"/>
      </w:pPr>
      <w:r>
        <w:rPr>
          <w:rFonts w:ascii="Arial" w:hAnsi="Arial" w:cs="Arial" w:eastAsia="Arial"/>
          <w:b/>
          <w:color w:val="000000"/>
          <w:sz w:val="22"/>
          <w:u w:val="none"/>
        </w:rPr>
        <w:t>Can you stress-test assumptions and reach the right answer?</w:t>
      </w:r>
    </w:p>
    <w:p>
      <w:pPr>
        <w:pStyle w:val="ListBullet"/>
        <w:spacing w:line="480" w:lineRule="auto" w:before="0" w:after="0"/>
      </w:pPr>
      <w:r>
        <w:rPr>
          <w:rFonts w:ascii="Arial" w:hAnsi="Arial" w:cs="Arial" w:eastAsia="Arial"/>
          <w:b/>
          <w:color w:val="000000"/>
          <w:sz w:val="22"/>
          <w:u w:val="none"/>
        </w:rPr>
        <w:t>Can you write an investment memo a partner could read?</w:t>
      </w:r>
      <w:r>
        <w:rPr>
          <w:rFonts w:ascii="Arial" w:hAnsi="Arial" w:cs="Arial" w:eastAsia="Arial"/>
          <w:b w:val="0"/>
          <w:color w:val="000000"/>
          <w:sz w:val="22"/>
          <w:u w:val="none"/>
        </w:rPr>
        <w:t xml:space="preserve"> Two pages, clear thesis, named risks.</w:t>
      </w:r>
    </w:p>
    <w:p>
      <w:pPr>
        <w:spacing w:line="480" w:lineRule="auto" w:before="0" w:after="0"/>
      </w:pPr>
      <w:r>
        <w:rPr>
          <w:rFonts w:ascii="Arial" w:hAnsi="Arial" w:cs="Arial" w:eastAsia="Arial"/>
          <w:b/>
          <w:color w:val="000000"/>
          <w:sz w:val="22"/>
          <w:u w:val="none"/>
        </w:rPr>
        <w:t>The candidates who win PE offers pitch the deal as if they're the partner about to commit capital, not the analyst running the model.</w:t>
      </w:r>
    </w:p>
    <w:p>
      <w:pPr>
        <w:spacing w:line="480" w:lineRule="auto" w:before="0" w:after="0"/>
      </w:pPr>
      <w:r>
        <w:rPr>
          <w:rFonts w:ascii="Arial" w:hAnsi="Arial" w:cs="Arial" w:eastAsia="Arial"/>
          <w:b/>
          <w:color w:val="000000"/>
          <w:sz w:val="36"/>
          <w:u w:val="none"/>
        </w:rPr>
        <w:t>Headhunters are the gatekeepers; get on their radar early</w:t>
      </w:r>
    </w:p>
    <w:p>
      <w:pPr>
        <w:spacing w:line="480" w:lineRule="auto" w:before="0" w:after="0"/>
      </w:pPr>
      <w:r>
        <w:rPr>
          <w:rFonts w:ascii="Arial" w:hAnsi="Arial" w:cs="Arial" w:eastAsia="Arial"/>
          <w:b w:val="0"/>
          <w:color w:val="000000"/>
          <w:sz w:val="22"/>
          <w:u w:val="none"/>
        </w:rPr>
        <w:t>The top PE headhunters (Henkel Search Partners, CPI, Amity Search Partners, SG Partners, Ratio Advisors, BellCast Partners) handle the recruiting funnel for most mega-fund and upper-middle-market firms.</w:t>
      </w:r>
    </w:p>
    <w:p>
      <w:pPr>
        <w:pStyle w:val="ListBullet"/>
        <w:spacing w:line="480" w:lineRule="auto" w:before="0" w:after="0"/>
      </w:pPr>
      <w:r>
        <w:rPr>
          <w:rFonts w:ascii="Arial" w:hAnsi="Arial" w:cs="Arial" w:eastAsia="Arial"/>
          <w:b/>
          <w:color w:val="000000"/>
          <w:sz w:val="22"/>
          <w:u w:val="none"/>
        </w:rPr>
        <w:t>Build a one-page resume and send it to the top five PE headhunters before you start applications.</w:t>
      </w:r>
    </w:p>
    <w:p>
      <w:pPr>
        <w:pStyle w:val="ListBullet"/>
        <w:spacing w:line="480" w:lineRule="auto" w:before="0" w:after="0"/>
      </w:pPr>
      <w:r>
        <w:rPr>
          <w:rFonts w:ascii="Arial" w:hAnsi="Arial" w:cs="Arial" w:eastAsia="Arial"/>
          <w:b/>
          <w:color w:val="000000"/>
          <w:sz w:val="22"/>
          <w:u w:val="none"/>
        </w:rPr>
        <w:t>Be honest about your timeline.</w:t>
      </w:r>
      <w:r>
        <w:rPr>
          <w:rFonts w:ascii="Arial" w:hAnsi="Arial" w:cs="Arial" w:eastAsia="Arial"/>
          <w:b w:val="0"/>
          <w:color w:val="000000"/>
          <w:sz w:val="22"/>
          <w:u w:val="none"/>
        </w:rPr>
        <w:t xml:space="preserve"> Tell them you're a sophomore targeting Summer 2027, not a junior in active recruit mode.</w:t>
      </w:r>
    </w:p>
    <w:p>
      <w:pPr>
        <w:pStyle w:val="ListBullet"/>
        <w:spacing w:line="480" w:lineRule="auto" w:before="0" w:after="0"/>
      </w:pPr>
      <w:r>
        <w:rPr>
          <w:rFonts w:ascii="Arial" w:hAnsi="Arial" w:cs="Arial" w:eastAsia="Arial"/>
          <w:b/>
          <w:color w:val="000000"/>
          <w:sz w:val="22"/>
          <w:u w:val="none"/>
        </w:rPr>
        <w:t>Stay in touch over the year.</w:t>
      </w:r>
      <w:r>
        <w:rPr>
          <w:rFonts w:ascii="Arial" w:hAnsi="Arial" w:cs="Arial" w:eastAsia="Arial"/>
          <w:b w:val="0"/>
          <w:color w:val="000000"/>
          <w:sz w:val="22"/>
          <w:u w:val="none"/>
        </w:rPr>
        <w:t xml:space="preserve"> Quarterly updates with new deals, modeling, or relevant courses.</w:t>
      </w:r>
    </w:p>
    <w:p>
      <w:pPr>
        <w:spacing w:line="480" w:lineRule="auto" w:before="0" w:after="0"/>
      </w:pPr>
      <w:r>
        <w:rPr>
          <w:rFonts w:ascii="Arial" w:hAnsi="Arial" w:cs="Arial" w:eastAsia="Arial"/>
          <w:b w:val="0"/>
          <w:color w:val="000000"/>
          <w:sz w:val="22"/>
          <w:u w:val="none"/>
        </w:rPr>
        <w:t>The introduction email itself matters more than candidates realize. A one-paragraph note that names the headhunter's lead partner (you can find this on the firm's website or LinkedIn), references the specific funds you're targeting, and includes a single line about a recent deal at one of those funds gets opened and answered. A generic "I am a sophomore interested in private equity" email lands in the same folder as 2,000 others. The headhunters I've watched cover candidates over multiple years all said the same thing: they remember the candidates who came in specific from the first email.</w:t>
      </w:r>
    </w:p>
    <w:p>
      <w:pPr>
        <w:spacing w:line="480" w:lineRule="auto" w:before="0" w:after="0"/>
      </w:pPr>
      <w:r>
        <w:rPr>
          <w:rFonts w:ascii="Arial" w:hAnsi="Arial" w:cs="Arial" w:eastAsia="Arial"/>
          <w:b/>
          <w:color w:val="000000"/>
          <w:sz w:val="22"/>
          <w:u w:val="none"/>
        </w:rPr>
        <w:t>Headhunters track candidates over years. The sophomore who built a relationship in 2026 is the candidate the headhunter calls when a 2028 seat opens.</w:t>
      </w:r>
    </w:p>
    <w:p>
      <w:pPr>
        <w:spacing w:line="480" w:lineRule="auto" w:before="0" w:after="0"/>
      </w:pPr>
      <w:r>
        <w:rPr>
          <w:rFonts w:ascii="Arial" w:hAnsi="Arial" w:cs="Arial" w:eastAsia="Arial"/>
          <w:b/>
          <w:color w:val="000000"/>
          <w:sz w:val="36"/>
          <w:u w:val="none"/>
        </w:rPr>
        <w:t>Off-cycle and growth equity are realistic paths if you miss the on-cycle window</w:t>
      </w:r>
    </w:p>
    <w:p>
      <w:pPr>
        <w:spacing w:line="480" w:lineRule="auto" w:before="0" w:after="0"/>
      </w:pPr>
      <w:r>
        <w:rPr>
          <w:rFonts w:ascii="Arial" w:hAnsi="Arial" w:cs="Arial" w:eastAsia="Arial"/>
          <w:b w:val="0"/>
          <w:color w:val="000000"/>
          <w:sz w:val="22"/>
          <w:u w:val="none"/>
        </w:rPr>
        <w:t>If you're a sophomore in May 2026 who hasn't started, your odds at mega-fund on-cycle are low. Two realistic alternatives:</w:t>
      </w:r>
    </w:p>
    <w:p>
      <w:pPr>
        <w:spacing w:line="480" w:lineRule="auto" w:before="0" w:after="0"/>
      </w:pPr>
      <w:r>
        <w:rPr>
          <w:rFonts w:ascii="Arial" w:hAnsi="Arial" w:cs="Arial" w:eastAsia="Arial"/>
          <w:b/>
          <w:color w:val="000000"/>
          <w:sz w:val="22"/>
          <w:u w:val="none"/>
        </w:rPr>
        <w:t>Off-cycle PE internships</w:t>
      </w:r>
      <w:r>
        <w:rPr>
          <w:rFonts w:ascii="Arial" w:hAnsi="Arial" w:cs="Arial" w:eastAsia="Arial"/>
          <w:b w:val="0"/>
          <w:color w:val="000000"/>
          <w:sz w:val="22"/>
          <w:u w:val="none"/>
        </w:rPr>
        <w:t xml:space="preserve"> run 3 to 6 months outside the standard summer cycle. More common at MM firms and PE-adjacent firms (operating consultancies, distressed advisory, family offices). A six-month off-cycle stint at a credible firm gives more deal exposure than a 10-week summer at Blackstone.</w:t>
      </w:r>
    </w:p>
    <w:p>
      <w:pPr>
        <w:spacing w:line="480" w:lineRule="auto" w:before="0" w:after="0"/>
      </w:pPr>
      <w:r>
        <w:rPr>
          <w:rFonts w:ascii="Arial" w:hAnsi="Arial" w:cs="Arial" w:eastAsia="Arial"/>
          <w:b/>
          <w:color w:val="000000"/>
          <w:sz w:val="22"/>
          <w:u w:val="none"/>
        </w:rPr>
        <w:t>Growth equity</w:t>
      </w:r>
      <w:r>
        <w:rPr>
          <w:rFonts w:ascii="Arial" w:hAnsi="Arial" w:cs="Arial" w:eastAsia="Arial"/>
          <w:b w:val="0"/>
          <w:color w:val="000000"/>
          <w:sz w:val="22"/>
          <w:u w:val="none"/>
        </w:rPr>
        <w:t xml:space="preserve"> is the other realistic path. Insight Partners, TA Associates, General Atlantic, Summit Partners, Spectrum Equity, and Susquehanna Growth Equity all hire undergrads onto investment teams. Slightly later timelines, wider candidate profile range.</w:t>
      </w:r>
    </w:p>
    <w:p>
      <w:pPr>
        <w:spacing w:line="480" w:lineRule="auto" w:before="0" w:after="0"/>
      </w:pPr>
      <w:r>
        <w:rPr>
          <w:rFonts w:ascii="Arial" w:hAnsi="Arial" w:cs="Arial" w:eastAsia="Arial"/>
          <w:b w:val="0"/>
          <w:color w:val="000000"/>
          <w:sz w:val="22"/>
          <w:u w:val="none"/>
        </w:rPr>
        <w:t xml:space="preserve">A student I mentored two cycles ago, call him M (a non-target with a 3.6 GPA), got cut from every megafund on-cycle process he tried, then landed at Spectrum Equity through a cold email referencing a specific portfolio bet the firm had made in vertical SaaS. He spent two years there building a credible deal sheet, then lateraled to a Madison Dearborn upper-middle-market PE associate seat. </w:t>
      </w:r>
      <w:r>
        <w:rPr>
          <w:rFonts w:ascii="Arial" w:hAnsi="Arial" w:cs="Arial" w:eastAsia="Arial"/>
          <w:b/>
          <w:color w:val="000000"/>
          <w:sz w:val="22"/>
          <w:u w:val="none"/>
        </w:rPr>
        <w:t>The path from growth equity to PE is real and well-trodden, but it requires you to actually treat the growth equity seat as a stepping stone rather than a consolation prize.</w:t>
      </w:r>
      <w:r>
        <w:rPr>
          <w:rFonts w:ascii="Arial" w:hAnsi="Arial" w:cs="Arial" w:eastAsia="Arial"/>
          <w:b w:val="0"/>
          <w:color w:val="000000"/>
          <w:sz w:val="22"/>
          <w:u w:val="none"/>
        </w:rPr>
        <w:t xml:space="preserve"> Students who phone in the growth equity job and assume PE will come pick them up at the end of two years almost never get the call.</w:t>
      </w:r>
    </w:p>
    <w:p>
      <w:pPr>
        <w:spacing w:line="480" w:lineRule="auto" w:before="0" w:after="0"/>
      </w:pPr>
      <w:r>
        <w:rPr>
          <w:rFonts w:ascii="Arial" w:hAnsi="Arial" w:cs="Arial" w:eastAsia="Arial"/>
          <w:b/>
          <w:color w:val="000000"/>
          <w:sz w:val="22"/>
          <w:u w:val="none"/>
        </w:rPr>
        <w:t>The students who can't crack on-cycle PE but want to end up at a PE fund within five years almost always go growth equity first, then lateral to PE after one to two years.</w:t>
      </w:r>
    </w:p>
    <w:p>
      <w:pPr>
        <w:spacing w:line="480" w:lineRule="auto" w:before="0" w:after="0"/>
      </w:pPr>
      <w:r>
        <w:rPr>
          <w:rFonts w:ascii="Arial" w:hAnsi="Arial" w:cs="Arial" w:eastAsia="Arial"/>
          <w:b/>
          <w:color w:val="000000"/>
          <w:sz w:val="36"/>
          <w:u w:val="none"/>
        </w:rPr>
        <w:t>The decision: target on-cycle PE vs go IB first</w:t>
      </w:r>
    </w:p>
    <w:p>
      <w:pPr>
        <w:spacing w:line="480" w:lineRule="auto" w:before="0" w:after="0"/>
      </w:pPr>
      <w:r>
        <w:rPr>
          <w:rFonts w:ascii="Arial" w:hAnsi="Arial" w:cs="Arial" w:eastAsia="Arial"/>
          <w:b w:val="0"/>
          <w:color w:val="000000"/>
          <w:sz w:val="22"/>
          <w:u w:val="none"/>
        </w:rPr>
        <w:t>Most undergrads who want PE eventually face this choice.</w:t>
      </w:r>
    </w:p>
    <w:p>
      <w:pPr>
        <w:spacing w:line="480" w:lineRule="auto" w:before="0" w:after="0"/>
      </w:pPr>
      <w:r>
        <w:rPr>
          <w:rFonts w:ascii="Arial" w:hAnsi="Arial" w:cs="Arial" w:eastAsia="Arial"/>
          <w:b w:val="0"/>
          <w:color w:val="000000"/>
          <w:sz w:val="22"/>
          <w:u w:val="none"/>
        </w:rPr>
        <w:t>The on-cycle direct path is right for: target-school students with 3.7+ GPA and prior finance experience, students with existing PE networks, and students fluent in modeling before sophomore summer.</w:t>
      </w:r>
    </w:p>
    <w:p>
      <w:pPr>
        <w:spacing w:line="480" w:lineRule="auto" w:before="0" w:after="0"/>
      </w:pPr>
      <w:r>
        <w:rPr>
          <w:rFonts w:ascii="Arial" w:hAnsi="Arial" w:cs="Arial" w:eastAsia="Arial"/>
          <w:b w:val="0"/>
          <w:color w:val="000000"/>
          <w:sz w:val="22"/>
          <w:u w:val="none"/>
        </w:rPr>
        <w:t xml:space="preserve">In practice, </w:t>
      </w:r>
      <w:r>
        <w:rPr>
          <w:rFonts w:ascii="Arial" w:hAnsi="Arial" w:cs="Arial" w:eastAsia="Arial"/>
          <w:b/>
          <w:color w:val="000000"/>
          <w:sz w:val="22"/>
          <w:u w:val="none"/>
        </w:rPr>
        <w:t>you have to be one of the most competitive IB applicants to be competitive for the megafund direct path.</w:t>
      </w:r>
      <w:r>
        <w:rPr>
          <w:rFonts w:ascii="Arial" w:hAnsi="Arial" w:cs="Arial" w:eastAsia="Arial"/>
          <w:b w:val="0"/>
          <w:color w:val="000000"/>
          <w:sz w:val="22"/>
          <w:u w:val="none"/>
        </w:rPr>
        <w:t xml:space="preserve"> A student I worked with adjacent to recruiting was valedictorian at Phillips Exeter, then carried a 4.0 at Harvard, then landed Blackstone PE direct from undergrad. She would have been competitive in any IB recruiting cycle in the country. That's the bar. If your profile is two notches below that, the IB-first route is realistically better positioning.</w:t>
      </w:r>
    </w:p>
    <w:p>
      <w:pPr>
        <w:spacing w:line="480" w:lineRule="auto" w:before="0" w:after="0"/>
      </w:pPr>
      <w:r>
        <w:rPr>
          <w:rFonts w:ascii="Arial" w:hAnsi="Arial" w:cs="Arial" w:eastAsia="Arial"/>
          <w:b w:val="0"/>
          <w:color w:val="000000"/>
          <w:sz w:val="22"/>
          <w:u w:val="none"/>
        </w:rPr>
        <w:t>The IB-first path is right for: students who didn't engage with PE until junior year, students who want optionality across PE, hedge funds, and corporate development, and students who want the deal-team training and brand recognition that an IB analyst stint gives you.</w:t>
      </w:r>
    </w:p>
    <w:p>
      <w:pPr>
        <w:spacing w:line="480" w:lineRule="auto" w:before="0" w:after="0"/>
      </w:pPr>
      <w:r>
        <w:rPr>
          <w:rFonts w:ascii="Arial" w:hAnsi="Arial" w:cs="Arial" w:eastAsia="Arial"/>
          <w:b/>
          <w:color w:val="000000"/>
          <w:sz w:val="22"/>
          <w:u w:val="none"/>
        </w:rPr>
        <w:t>The honest reality: the IB-first path wins more PE offers overall, but the candidates who go direct from undergrad to PE almost always end up at higher-prestige firms.</w:t>
      </w:r>
      <w:r>
        <w:rPr>
          <w:rFonts w:ascii="Arial" w:hAnsi="Arial" w:cs="Arial" w:eastAsia="Arial"/>
          <w:b w:val="0"/>
          <w:color w:val="000000"/>
          <w:sz w:val="22"/>
          <w:u w:val="none"/>
        </w:rPr>
        <w:t xml:space="preserve"> Direct-to-PE candidates skip two years of analyst grind. The trade-off is that the direct path has materially fewer slots.</w:t>
      </w:r>
    </w:p>
    <w:p>
      <w:pPr>
        <w:spacing w:line="480" w:lineRule="auto" w:before="0" w:after="0"/>
      </w:pPr>
      <w:r>
        <w:rPr>
          <w:rFonts w:ascii="Arial" w:hAnsi="Arial" w:cs="Arial" w:eastAsia="Arial"/>
          <w:b/>
          <w:color w:val="000000"/>
          <w:sz w:val="36"/>
          <w:u w:val="none"/>
        </w:rPr>
        <w:t>What to do this week if you're a sophomore targeting PE</w:t>
      </w:r>
    </w:p>
    <w:p>
      <w:pPr>
        <w:pStyle w:val="ListNumber"/>
        <w:spacing w:line="480" w:lineRule="auto" w:before="0" w:after="0"/>
      </w:pPr>
      <w:r>
        <w:rPr>
          <w:rFonts w:ascii="Arial" w:hAnsi="Arial" w:cs="Arial" w:eastAsia="Arial"/>
          <w:b/>
          <w:color w:val="000000"/>
          <w:sz w:val="22"/>
          <w:u w:val="none"/>
        </w:rPr>
        <w:t>Apply to Insight Partners' Campus Recruiting Talent Pool.</w:t>
      </w:r>
      <w:r>
        <w:rPr>
          <w:rFonts w:ascii="Arial" w:hAnsi="Arial" w:cs="Arial" w:eastAsia="Arial"/>
          <w:b w:val="0"/>
          <w:color w:val="000000"/>
          <w:sz w:val="22"/>
          <w:u w:val="none"/>
        </w:rPr>
        <w:t xml:space="preserve"> This is the most credible undergrad-to-PE pipeline open right now.</w:t>
      </w:r>
    </w:p>
    <w:p>
      <w:pPr>
        <w:pStyle w:val="ListNumber"/>
        <w:spacing w:line="480" w:lineRule="auto" w:before="0" w:after="0"/>
      </w:pPr>
      <w:r>
        <w:rPr>
          <w:rFonts w:ascii="Arial" w:hAnsi="Arial" w:cs="Arial" w:eastAsia="Arial"/>
          <w:b/>
          <w:color w:val="000000"/>
          <w:sz w:val="22"/>
          <w:u w:val="none"/>
        </w:rPr>
        <w:t>Build a one-page resume and send it to Henkel, CPI, Amity, SG Partners, and BellCast.</w:t>
      </w:r>
      <w:r>
        <w:rPr>
          <w:rFonts w:ascii="Arial" w:hAnsi="Arial" w:cs="Arial" w:eastAsia="Arial"/>
          <w:b w:val="0"/>
          <w:color w:val="000000"/>
          <w:sz w:val="22"/>
          <w:u w:val="none"/>
        </w:rPr>
        <w:t xml:space="preserve"> Introduce yourself as a sophomore targeting Summer 2027 PE summer programs.</w:t>
      </w:r>
    </w:p>
    <w:p>
      <w:pPr>
        <w:pStyle w:val="ListNumber"/>
        <w:spacing w:line="480" w:lineRule="auto" w:before="0" w:after="0"/>
      </w:pPr>
      <w:r>
        <w:rPr>
          <w:rFonts w:ascii="Arial" w:hAnsi="Arial" w:cs="Arial" w:eastAsia="Arial"/>
          <w:b/>
          <w:color w:val="000000"/>
          <w:sz w:val="22"/>
          <w:u w:val="none"/>
        </w:rPr>
        <w:t>Spend 10 hours this weekend on modeling.</w:t>
      </w:r>
      <w:r>
        <w:rPr>
          <w:rFonts w:ascii="Arial" w:hAnsi="Arial" w:cs="Arial" w:eastAsia="Arial"/>
          <w:b w:val="0"/>
          <w:color w:val="000000"/>
          <w:sz w:val="22"/>
          <w:u w:val="none"/>
        </w:rPr>
        <w:t xml:space="preserve"> Either Wall Street Prep, BIWS, or building an LBO from scratch using a real deal CIM.</w:t>
      </w:r>
    </w:p>
    <w:p>
      <w:pPr>
        <w:pStyle w:val="ListNumber"/>
        <w:spacing w:line="480" w:lineRule="auto" w:before="0" w:after="0"/>
      </w:pPr>
      <w:r>
        <w:rPr>
          <w:rFonts w:ascii="Arial" w:hAnsi="Arial" w:cs="Arial" w:eastAsia="Arial"/>
          <w:b/>
          <w:color w:val="000000"/>
          <w:sz w:val="22"/>
          <w:u w:val="none"/>
        </w:rPr>
        <w:t>Find three current PE associates</w:t>
      </w:r>
      <w:r>
        <w:rPr>
          <w:rFonts w:ascii="Arial" w:hAnsi="Arial" w:cs="Arial" w:eastAsia="Arial"/>
          <w:b w:val="0"/>
          <w:color w:val="000000"/>
          <w:sz w:val="22"/>
          <w:u w:val="none"/>
        </w:rPr>
        <w:t xml:space="preserve"> at firms you're targeting and send each a cold email referencing a specific deal they worked on. Ask for 15 minutes.</w:t>
      </w:r>
    </w:p>
    <w:p>
      <w:pPr>
        <w:pStyle w:val="ListNumber"/>
        <w:spacing w:line="480" w:lineRule="auto" w:before="0" w:after="0"/>
      </w:pPr>
      <w:r>
        <w:rPr>
          <w:rFonts w:ascii="Arial" w:hAnsi="Arial" w:cs="Arial" w:eastAsia="Arial"/>
          <w:b/>
          <w:color w:val="000000"/>
          <w:sz w:val="22"/>
          <w:u w:val="none"/>
        </w:rPr>
        <w:t>Read the M&amp;I private equity recruiting guide and the WSO PE forum thread on 2026 timelines.</w:t>
      </w:r>
      <w:r>
        <w:rPr>
          <w:rFonts w:ascii="Arial" w:hAnsi="Arial" w:cs="Arial" w:eastAsia="Arial"/>
          <w:b w:val="0"/>
          <w:color w:val="000000"/>
          <w:sz w:val="22"/>
          <w:u w:val="none"/>
        </w:rPr>
        <w:t xml:space="preserve"> They are free and they update faster than any paid resource.</w:t>
      </w:r>
    </w:p>
    <w:p>
      <w:pPr>
        <w:spacing w:line="480" w:lineRule="auto" w:before="0" w:after="0"/>
      </w:pPr>
      <w:r>
        <w:rPr>
          <w:rFonts w:ascii="Arial" w:hAnsi="Arial" w:cs="Arial" w:eastAsia="Arial"/>
          <w:b w:val="0"/>
          <w:color w:val="000000"/>
          <w:sz w:val="22"/>
          <w:u w:val="none"/>
        </w:rPr>
        <w:t xml:space="preserve">The students who land PE summer seats started this work in sophomore fall and treated it like a 10-hour-per-week part-time job for 12 months. </w:t>
      </w:r>
      <w:r>
        <w:rPr>
          <w:rFonts w:ascii="Arial" w:hAnsi="Arial" w:cs="Arial" w:eastAsia="Arial"/>
          <w:b/>
          <w:color w:val="000000"/>
          <w:sz w:val="22"/>
          <w:u w:val="none"/>
        </w:rPr>
        <w:t>The candidates who get cut almost always start in junior fall and try to compress the work into one semester.</w:t>
      </w:r>
    </w:p>
    <w:p>
      <w:pPr>
        <w:spacing w:line="480" w:lineRule="auto" w:before="0" w:after="0"/>
      </w:pPr>
      <w:r>
        <w:rPr>
          <w:rFonts w:ascii="Arial" w:hAnsi="Arial" w:cs="Arial" w:eastAsia="Arial"/>
          <w:b w:val="0"/>
          <w:color w:val="000000"/>
          <w:sz w:val="22"/>
          <w:u w:val="none"/>
        </w:rPr>
        <w:t>You don't need to be smarter than the field. Yo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