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The Ultimate Guide to PJT Restructuring</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PJT Restructuring: the debtor-side franchise, the interview bar, a worked waterfall, comp, exits, and the campaign.</w:t>
      </w:r>
    </w:p>
    <w:p>
      <w:pPr>
        <w:spacing w:line="480" w:lineRule="auto" w:before="0" w:after="0"/>
      </w:pPr>
      <w:r>
        <w:rPr>
          <w:rFonts w:ascii="Arial" w:hAnsi="Arial" w:cs="Arial" w:eastAsia="Arial"/>
          <w:b w:val="0"/>
          <w:color w:val="000000"/>
          <w:sz w:val="22"/>
          <w:u w:val="none"/>
        </w:rPr>
        <w:t>The implied acceptance rate at PJT Restructuring runs below 1.5 percent, which makes it a fair candidate for the hardest analyst seat in investment banking. Thousands of applications chase a class measured in handfuls, and the applicant pool self-selects toward people who've already done months of dedicated prep.</w:t>
      </w:r>
    </w:p>
    <w:p>
      <w:pPr>
        <w:spacing w:line="480" w:lineRule="auto" w:before="0" w:after="0"/>
      </w:pPr>
      <w:r>
        <w:rPr>
          <w:rFonts w:ascii="Arial" w:hAnsi="Arial" w:cs="Arial" w:eastAsia="Arial"/>
          <w:b/>
          <w:color w:val="000000"/>
          <w:sz w:val="22"/>
          <w:u w:val="none"/>
        </w:rPr>
        <w:t>PJT RX is the most prestigious restructuring group on the Street, the reference-point debtor-side franchise, and a seat that rewards being treated as its own campaign rather than the top line of an application list.</w:t>
      </w:r>
      <w:r>
        <w:rPr>
          <w:rFonts w:ascii="Arial" w:hAnsi="Arial" w:cs="Arial" w:eastAsia="Arial"/>
          <w:b w:val="0"/>
          <w:color w:val="000000"/>
          <w:sz w:val="22"/>
          <w:u w:val="none"/>
        </w:rPr>
        <w:t xml:space="preserve"> This guide covers what the group actually is, the work, the interview, the numbers, and the campaign plan. The industry fundamentals live in our Ultimate Guide to Break Into Restructuring; this is the PJT layer.</w:t>
      </w:r>
    </w:p>
    <w:p>
      <w:pPr>
        <w:spacing w:line="480" w:lineRule="auto" w:before="0" w:after="0"/>
      </w:pPr>
      <w:r>
        <w:rPr>
          <w:rFonts w:ascii="Arial" w:hAnsi="Arial" w:cs="Arial" w:eastAsia="Arial"/>
          <w:b/>
          <w:color w:val="000000"/>
          <w:sz w:val="36"/>
          <w:u w:val="none"/>
        </w:rPr>
        <w:t>What is PJT Restructuring?</w:t>
      </w:r>
    </w:p>
    <w:p>
      <w:pPr>
        <w:spacing w:line="480" w:lineRule="auto" w:before="0" w:after="0"/>
      </w:pPr>
      <w:r>
        <w:rPr>
          <w:rFonts w:ascii="Arial" w:hAnsi="Arial" w:cs="Arial" w:eastAsia="Arial"/>
          <w:b w:val="0"/>
          <w:color w:val="000000"/>
          <w:sz w:val="22"/>
          <w:u w:val="none"/>
        </w:rPr>
        <w:t>PJT's restructuring group advises companies, and selectively creditors, through Chapter 11 processes and out-of-court liability management. The franchise descends from Blackstone's restructuring and advisory business, which spun out in 2015 under Paul Taubman to form PJT Partners. In 2025 the group ran debtor-side mandates on two of the year's defining situations: Marelli's Chapter 11, where KKR effectively lost control of a $4.9 billion portfolio company, and Spirit Airlines' second filing in August [VERIFY: mandate details].</w:t>
      </w:r>
    </w:p>
    <w:p>
      <w:pPr>
        <w:spacing w:line="480" w:lineRule="auto" w:before="0" w:after="0"/>
      </w:pPr>
      <w:r>
        <w:rPr>
          <w:rFonts w:ascii="Arial" w:hAnsi="Arial" w:cs="Arial" w:eastAsia="Arial"/>
          <w:b/>
          <w:color w:val="000000"/>
          <w:sz w:val="36"/>
          <w:u w:val="none"/>
        </w:rPr>
        <w:t>How hard is PJT Restructuring to get into, really?</w:t>
      </w:r>
    </w:p>
    <w:p>
      <w:pPr>
        <w:spacing w:line="480" w:lineRule="auto" w:before="0" w:after="0"/>
      </w:pPr>
      <w:r>
        <w:rPr>
          <w:rFonts w:ascii="Arial" w:hAnsi="Arial" w:cs="Arial" w:eastAsia="Arial"/>
          <w:b w:val="0"/>
          <w:color w:val="000000"/>
          <w:sz w:val="22"/>
          <w:u w:val="none"/>
        </w:rPr>
        <w:t>Below 1.5 percent implied acceptance, against a self-selected pool. The realistic read for a sophomore: winning the seat directly requires roughly six months of technical prep, visible credit evidence on the resume, and networking depth at the group. The consolation is real, covered at the end: RX skills transfer, and the lateral market reopens this door for people who take other RX seats first.</w:t>
      </w:r>
    </w:p>
    <w:p>
      <w:pPr>
        <w:spacing w:line="480" w:lineRule="auto" w:before="0" w:after="0"/>
      </w:pPr>
      <w:r>
        <w:rPr>
          <w:rFonts w:ascii="Arial" w:hAnsi="Arial" w:cs="Arial" w:eastAsia="Arial"/>
          <w:b/>
          <w:color w:val="000000"/>
          <w:sz w:val="36"/>
          <w:u w:val="none"/>
        </w:rPr>
        <w:t>Why the group sits at the top</w:t>
      </w:r>
    </w:p>
    <w:p>
      <w:pPr>
        <w:spacing w:line="480" w:lineRule="auto" w:before="0" w:after="0"/>
      </w:pPr>
      <w:r>
        <w:rPr>
          <w:rFonts w:ascii="Arial" w:hAnsi="Arial" w:cs="Arial" w:eastAsia="Arial"/>
          <w:b w:val="0"/>
          <w:color w:val="000000"/>
          <w:sz w:val="22"/>
          <w:u w:val="none"/>
        </w:rPr>
        <w:t>Lineage first. The Blackstone restructuring practice that became PJT wrote much of the modern debtor-side playbook, and that institutional memory compounds: plan structures that worked, judges' tendencies, creditor groups' negotiating patterns. Analysts inherit a pattern library no textbook contains.</w:t>
      </w:r>
    </w:p>
    <w:p>
      <w:pPr>
        <w:spacing w:line="480" w:lineRule="auto" w:before="0" w:after="0"/>
      </w:pPr>
      <w:r>
        <w:rPr>
          <w:rFonts w:ascii="Arial" w:hAnsi="Arial" w:cs="Arial" w:eastAsia="Arial"/>
          <w:b w:val="0"/>
          <w:color w:val="000000"/>
          <w:sz w:val="22"/>
          <w:u w:val="none"/>
        </w:rPr>
        <w:t>League position second. When a large-cap board faces an existential balance sheet problem, the shortlist of advisors is short, and PJT anchors it. Debtor-side leadership means the group's analysts sit with the company, inside board-level decisions, rather than inside one creditor's slice of the fight.</w:t>
      </w:r>
    </w:p>
    <w:p>
      <w:pPr>
        <w:spacing w:line="480" w:lineRule="auto" w:before="0" w:after="0"/>
      </w:pPr>
      <w:r>
        <w:rPr>
          <w:rFonts w:ascii="Arial" w:hAnsi="Arial" w:cs="Arial" w:eastAsia="Arial"/>
          <w:b w:val="0"/>
          <w:color w:val="000000"/>
          <w:sz w:val="22"/>
          <w:u w:val="none"/>
        </w:rPr>
        <w:t>Deal flow third. The 2025 Chapter 11 wave, Marelli and Spirit among the headliners, plus the continuing LME surge, kept the group at the center of the most fee-rich restructuring stretch in a decade.</w:t>
      </w:r>
    </w:p>
    <w:p>
      <w:pPr>
        <w:spacing w:line="480" w:lineRule="auto" w:before="0" w:after="0"/>
      </w:pPr>
      <w:r>
        <w:rPr>
          <w:rFonts w:ascii="Arial" w:hAnsi="Arial" w:cs="Arial" w:eastAsia="Arial"/>
          <w:b/>
          <w:color w:val="000000"/>
          <w:sz w:val="36"/>
          <w:u w:val="none"/>
        </w:rPr>
        <w:t>What debtor-side work actually means for the analyst</w:t>
      </w:r>
    </w:p>
    <w:p>
      <w:pPr>
        <w:spacing w:line="480" w:lineRule="auto" w:before="0" w:after="0"/>
      </w:pPr>
      <w:r>
        <w:rPr>
          <w:rFonts w:ascii="Arial" w:hAnsi="Arial" w:cs="Arial" w:eastAsia="Arial"/>
          <w:b w:val="0"/>
          <w:color w:val="000000"/>
          <w:sz w:val="22"/>
          <w:u w:val="none"/>
        </w:rPr>
        <w:t>Three deliverables define the seat.</w:t>
      </w:r>
    </w:p>
    <w:p>
      <w:pPr>
        <w:spacing w:line="480" w:lineRule="auto" w:before="0" w:after="0"/>
      </w:pPr>
      <w:r>
        <w:rPr>
          <w:rFonts w:ascii="Arial" w:hAnsi="Arial" w:cs="Arial" w:eastAsia="Arial"/>
          <w:b w:val="0"/>
          <w:color w:val="000000"/>
          <w:sz w:val="22"/>
          <w:u w:val="none"/>
        </w:rPr>
        <w:t>The 13-week cash flow. A distressed company lives and dies on near-term liquidity, and the rolling 13-week model is the document the board, the lenders, and eventually the court all read. Analysts own its inputs and update it relentlessly.</w:t>
      </w:r>
    </w:p>
    <w:p>
      <w:pPr>
        <w:spacing w:line="480" w:lineRule="auto" w:before="0" w:after="0"/>
      </w:pPr>
      <w:r>
        <w:rPr>
          <w:rFonts w:ascii="Arial" w:hAnsi="Arial" w:cs="Arial" w:eastAsia="Arial"/>
          <w:b w:val="0"/>
          <w:color w:val="000000"/>
          <w:sz w:val="22"/>
          <w:u w:val="none"/>
        </w:rPr>
        <w:t>The recap and post-reorg models. For out-of-court LMEs, the recap model flows each proposed exchange through leverage and liquidity. For Chapter 11, the post-reorg valuation supports the plan the company files, and every creditor class attacks it, which means the analyst's assumptions get stress-tested by professionals paid to break them.</w:t>
      </w:r>
    </w:p>
    <w:p>
      <w:pPr>
        <w:spacing w:line="480" w:lineRule="auto" w:before="0" w:after="0"/>
      </w:pPr>
      <w:r>
        <w:rPr>
          <w:rFonts w:ascii="Arial" w:hAnsi="Arial" w:cs="Arial" w:eastAsia="Arial"/>
          <w:b w:val="0"/>
          <w:color w:val="000000"/>
          <w:sz w:val="22"/>
          <w:u w:val="none"/>
        </w:rPr>
        <w:t xml:space="preserve">The waterfall, always. Here's the canonical version worked through, because PJT interviews ask it. Capital structure: $1.2 billion senior secured, $400 million senior unsecured, $200 million market value of equity claims. At a $1.0 billion enterprise value, the secured class recovers about 83 cents (1,000 over 1,200), unsecured and equity recover zero, and the fulcrum security, the class that converts into ownership, is the senior secured. At $1.4 billion, secured recovers in full, unsecured recovers 50 cents (200 over 400), and the fulcrum drops to the unsecured class. </w:t>
      </w:r>
      <w:r>
        <w:rPr>
          <w:rFonts w:ascii="Arial" w:hAnsi="Arial" w:cs="Arial" w:eastAsia="Arial"/>
          <w:b/>
          <w:color w:val="000000"/>
          <w:sz w:val="22"/>
          <w:u w:val="none"/>
        </w:rPr>
        <w:t>Whoever holds the fulcrum ends up owning the reorganized company, which is why identifying it fast is the first skill every RX interviewer tests.</w:t>
      </w:r>
    </w:p>
    <w:p>
      <w:pPr>
        <w:spacing w:line="480" w:lineRule="auto" w:before="0" w:after="0"/>
      </w:pPr>
      <w:r>
        <w:rPr>
          <w:rFonts w:ascii="Arial" w:hAnsi="Arial" w:cs="Arial" w:eastAsia="Arial"/>
          <w:b w:val="0"/>
          <w:color w:val="000000"/>
          <w:sz w:val="22"/>
          <w:u w:val="none"/>
        </w:rPr>
        <w:t>Run that arithmetic on a whiteboard in under three minutes and you've cleared the technical bar most candidates miss.</w:t>
      </w:r>
    </w:p>
    <w:p>
      <w:pPr>
        <w:spacing w:line="480" w:lineRule="auto" w:before="0" w:after="0"/>
      </w:pPr>
      <w:r>
        <w:rPr>
          <w:rFonts w:ascii="Arial" w:hAnsi="Arial" w:cs="Arial" w:eastAsia="Arial"/>
          <w:b/>
          <w:color w:val="000000"/>
          <w:sz w:val="36"/>
          <w:u w:val="none"/>
        </w:rPr>
        <w:t>Recruiting: the campaign</w:t>
      </w:r>
    </w:p>
    <w:p>
      <w:pPr>
        <w:spacing w:line="480" w:lineRule="auto" w:before="0" w:after="0"/>
      </w:pPr>
      <w:r>
        <w:rPr>
          <w:rFonts w:ascii="Arial" w:hAnsi="Arial" w:cs="Arial" w:eastAsia="Arial"/>
          <w:b w:val="0"/>
          <w:color w:val="000000"/>
          <w:sz w:val="22"/>
          <w:u w:val="none"/>
        </w:rPr>
        <w:t>PJT runs a dedicated RX Summer Analyst pipeline on the sophomore-fall window; the current cycle opens fall 2026 for Summer 2028 seats [VERIFY: dates on pjtpartners.com]. Applying in the first week matters at a group this small.</w:t>
      </w:r>
    </w:p>
    <w:p>
      <w:pPr>
        <w:spacing w:line="480" w:lineRule="auto" w:before="0" w:after="0"/>
      </w:pPr>
      <w:r>
        <w:rPr>
          <w:rFonts w:ascii="Arial" w:hAnsi="Arial" w:cs="Arial" w:eastAsia="Arial"/>
          <w:b/>
          <w:color w:val="000000"/>
          <w:sz w:val="22"/>
          <w:u w:val="none"/>
        </w:rPr>
        <w:t>Networking depth beats breadth at PJT: two or three real relationships at the group outperform ten cold coffee chats spread across five firms.</w:t>
      </w:r>
      <w:r>
        <w:rPr>
          <w:rFonts w:ascii="Arial" w:hAnsi="Arial" w:cs="Arial" w:eastAsia="Arial"/>
          <w:b w:val="0"/>
          <w:color w:val="000000"/>
          <w:sz w:val="22"/>
          <w:u w:val="none"/>
        </w:rPr>
        <w:t xml:space="preserve"> The successful campaigns also share credit evidence on the resume, a distressed pitch in a student fund, a credit research project, anything proving the interest predates the application, and technical readiness before the first conversation, because networking chats at PJT have a habit of turning technical without warning.</w:t>
      </w:r>
    </w:p>
    <w:p>
      <w:pPr>
        <w:spacing w:line="480" w:lineRule="auto" w:before="0" w:after="0"/>
      </w:pPr>
      <w:r>
        <w:rPr>
          <w:rFonts w:ascii="Arial" w:hAnsi="Arial" w:cs="Arial" w:eastAsia="Arial"/>
          <w:b/>
          <w:color w:val="000000"/>
          <w:sz w:val="36"/>
          <w:u w:val="none"/>
        </w:rPr>
        <w:t>The interview</w:t>
      </w:r>
    </w:p>
    <w:p>
      <w:pPr>
        <w:spacing w:line="480" w:lineRule="auto" w:before="0" w:after="0"/>
      </w:pPr>
      <w:r>
        <w:rPr>
          <w:rFonts w:ascii="Arial" w:hAnsi="Arial" w:cs="Arial" w:eastAsia="Arial"/>
          <w:b w:val="0"/>
          <w:color w:val="000000"/>
          <w:sz w:val="22"/>
          <w:u w:val="none"/>
        </w:rPr>
        <w:t>The standard Tier 1 filter, turned up. Accounting and valuation past the M&amp;A bar. RX technicals in depth: the waterfall above, cap table reading, instrument mechanics through PIK toggles and springing maturities, Chapter 11 process points. Then the layer that decides offers: context and composure.</w:t>
      </w:r>
    </w:p>
    <w:p>
      <w:pPr>
        <w:spacing w:line="480" w:lineRule="auto" w:before="0" w:after="0"/>
      </w:pPr>
      <w:r>
        <w:rPr>
          <w:rFonts w:ascii="Arial" w:hAnsi="Arial" w:cs="Arial" w:eastAsia="Arial"/>
          <w:b w:val="0"/>
          <w:color w:val="000000"/>
          <w:sz w:val="22"/>
          <w:u w:val="none"/>
        </w:rPr>
        <w:t xml:space="preserve">Two PJT-specific patterns from candidate debriefs. Interviewers interrupt: your waterfall walk gets stopped mid-stream, an assumption challenged the moment you state it, and the test is whether the interruption degrades the rest of your answer. And interviewers push on views: pick Marelli, and be ready to defend a position on whether the process favored the debtor or the creditors, against active pushback, with the docket details behind you. Read it on </w:t>
      </w:r>
      <w:hyperlink r:id="rId9">
        <w:r>
          <w:rPr>
            <w:rFonts w:ascii="Arial" w:hAnsi="Arial" w:cs="Arial" w:eastAsia="Arial"/>
            <w:sz w:val="22"/>
            <w:color w:val="0563C1"/>
            <w:u w:val="single"/>
          </w:rPr>
          <w:t xml:space="preserve">PACER</w:t>
        </w:r>
      </w:hyperlink>
      <w:r>
        <w:rPr>
          <w:rFonts w:ascii="Arial" w:hAnsi="Arial" w:cs="Arial" w:eastAsia="Arial"/>
          <w:b w:val="0"/>
          <w:color w:val="000000"/>
          <w:sz w:val="22"/>
          <w:u w:val="none"/>
        </w:rPr>
        <w:t xml:space="preserve"> and through the </w:t>
      </w:r>
      <w:hyperlink r:id="rId10">
        <w:r>
          <w:rPr>
            <w:rFonts w:ascii="Arial" w:hAnsi="Arial" w:cs="Arial" w:eastAsia="Arial"/>
            <w:sz w:val="22"/>
            <w:color w:val="0563C1"/>
            <w:u w:val="single"/>
          </w:rPr>
          <w:t xml:space="preserve">Pari Passu</w:t>
        </w:r>
      </w:hyperlink>
      <w:r>
        <w:rPr>
          <w:rFonts w:ascii="Arial" w:hAnsi="Arial" w:cs="Arial" w:eastAsia="Arial"/>
          <w:b w:val="0"/>
          <w:color w:val="000000"/>
          <w:sz w:val="22"/>
          <w:u w:val="none"/>
        </w:rPr>
        <w:t xml:space="preserve"> writeups.</w:t>
      </w:r>
    </w:p>
    <w:p>
      <w:pPr>
        <w:spacing w:line="480" w:lineRule="auto" w:before="0" w:after="0"/>
      </w:pPr>
      <w:r>
        <w:rPr>
          <w:rFonts w:ascii="Arial" w:hAnsi="Arial" w:cs="Arial" w:eastAsia="Arial"/>
          <w:b w:val="0"/>
          <w:color w:val="000000"/>
          <w:sz w:val="22"/>
          <w:u w:val="none"/>
        </w:rPr>
        <w:t>Language precision gets graded throughout. Senior versus senior secured changes recoveries by hundreds of millions, and candidates who speak loosely about instruments read as tourists.</w:t>
      </w:r>
    </w:p>
    <w:p>
      <w:pPr>
        <w:spacing w:line="480" w:lineRule="auto" w:before="0" w:after="0"/>
      </w:pPr>
      <w:r>
        <w:rPr>
          <w:rFonts w:ascii="Arial" w:hAnsi="Arial" w:cs="Arial" w:eastAsia="Arial"/>
          <w:b w:val="0"/>
          <w:color w:val="000000"/>
          <w:sz w:val="22"/>
          <w:u w:val="none"/>
        </w:rPr>
        <w:t>What the room actually sounds like, reconstructed from candidate debriefs: you start the waterfall walk, and two sentences in the interviewer says assume the secured lenders have a make-whole claim, does your fulcrum move? You adjust. Thirty seconds later: now the company draws the revolver fully before filing. You adjust again. The exercise isn't sadism. Debtor-side analysts present to boards and negotiate against professionals who interrupt for a living, and the interview simulates the job.</w:t>
      </w:r>
    </w:p>
    <w:p>
      <w:pPr>
        <w:spacing w:line="480" w:lineRule="auto" w:before="0" w:after="0"/>
      </w:pPr>
      <w:r>
        <w:rPr>
          <w:rFonts w:ascii="Arial" w:hAnsi="Arial" w:cs="Arial" w:eastAsia="Arial"/>
          <w:b w:val="0"/>
          <w:color w:val="000000"/>
          <w:sz w:val="22"/>
          <w:u w:val="none"/>
        </w:rPr>
        <w:t>The prep canon, in order: Moyer's Distressed Debt Analysis chapters 1 through 6, Kricheff's A Pragmatist's Guide to Leveraged Finance, Gatto's The Credit Investor's Handbook for current-market texture, then five waterfall reps from real 2025 cap tables, Marelli and Spirit included.</w:t>
      </w:r>
    </w:p>
    <w:p>
      <w:pPr>
        <w:spacing w:line="480" w:lineRule="auto" w:before="0" w:after="0"/>
      </w:pPr>
      <w:r>
        <w:rPr>
          <w:rFonts w:ascii="Arial" w:hAnsi="Arial" w:cs="Arial" w:eastAsia="Arial"/>
          <w:b/>
          <w:color w:val="000000"/>
          <w:sz w:val="36"/>
          <w:u w:val="none"/>
        </w:rPr>
        <w:t>Compensation, hours, and the honest cost</w:t>
      </w:r>
    </w:p>
    <w:p>
      <w:pPr>
        <w:spacing w:line="480" w:lineRule="auto" w:before="0" w:after="0"/>
      </w:pPr>
      <w:r>
        <w:rPr>
          <w:rFonts w:ascii="Arial" w:hAnsi="Arial" w:cs="Arial" w:eastAsia="Arial"/>
          <w:b w:val="0"/>
          <w:color w:val="000000"/>
          <w:sz w:val="22"/>
          <w:u w:val="none"/>
        </w:rPr>
        <w:t xml:space="preserve">Elite boutique analyst economics: base around $120,000 to $140,000, first-year all-in past $200,000 [VERIFY: current comp]. The hours are the Street's hardest during live mandates, because court deadlines don't move and debtor-side work concentrates the workstreams on your team. The seat is romanticized from the outside; from the inside it's liquidity models at midnight. </w:t>
      </w:r>
      <w:r>
        <w:rPr>
          <w:rFonts w:ascii="Arial" w:hAnsi="Arial" w:cs="Arial" w:eastAsia="Arial"/>
          <w:b/>
          <w:color w:val="000000"/>
          <w:sz w:val="22"/>
          <w:u w:val="none"/>
        </w:rPr>
        <w:t>The trade is the Street's hardest hours for its strongest two-year education in distressed finance.</w:t>
      </w:r>
    </w:p>
    <w:p>
      <w:pPr>
        <w:spacing w:line="480" w:lineRule="auto" w:before="0" w:after="0"/>
      </w:pPr>
      <w:r>
        <w:rPr>
          <w:rFonts w:ascii="Arial" w:hAnsi="Arial" w:cs="Arial" w:eastAsia="Arial"/>
          <w:b/>
          <w:color w:val="000000"/>
          <w:sz w:val="36"/>
          <w:u w:val="none"/>
        </w:rPr>
        <w:t>Exits</w:t>
      </w:r>
    </w:p>
    <w:p>
      <w:pPr>
        <w:spacing w:line="480" w:lineRule="auto" w:before="0" w:after="0"/>
      </w:pPr>
      <w:r>
        <w:rPr>
          <w:rFonts w:ascii="Arial" w:hAnsi="Arial" w:cs="Arial" w:eastAsia="Arial"/>
          <w:b w:val="0"/>
          <w:color w:val="000000"/>
          <w:sz w:val="22"/>
          <w:u w:val="none"/>
        </w:rPr>
        <w:t>The strongest single exit credential in the distressed market. Credit funds hire from the group at will: Oaktree, Apollo Credit, Blackstone Credit, Ares, HPS, Sixth Street, Silver Point, Centerbridge. Distressed hedge funds, Elliott, Davidson Kempner, Anchorage, Monarch, treat Tier 1 RX as their farm system. Mega-fund PE now interviews RX analysts for regular-way seats, a path that barely existed five years ago. And because credit funds hire year-round, the recruiting happens on a saner calendar than the on-cycle sprint M&amp;A analysts run.</w:t>
      </w:r>
    </w:p>
    <w:p>
      <w:pPr>
        <w:spacing w:line="480" w:lineRule="auto" w:before="0" w:after="0"/>
      </w:pPr>
      <w:r>
        <w:rPr>
          <w:rFonts w:ascii="Arial" w:hAnsi="Arial" w:cs="Arial" w:eastAsia="Arial"/>
          <w:b w:val="0"/>
          <w:color w:val="000000"/>
          <w:sz w:val="22"/>
          <w:u w:val="none"/>
        </w:rPr>
        <w:t>The exit conversation also starts earlier than students expect. Funds track Tier 1 RX classes from the first year, and analysts report inbound interest well before they're ready to move. The seat's scarcity works for you twice: once when you win it, and again when everyone downstream knows what winning it filtered for.</w:t>
      </w:r>
    </w:p>
    <w:p>
      <w:pPr>
        <w:spacing w:line="480" w:lineRule="auto" w:before="0" w:after="0"/>
      </w:pPr>
      <w:r>
        <w:rPr>
          <w:rFonts w:ascii="Arial" w:hAnsi="Arial" w:cs="Arial" w:eastAsia="Arial"/>
          <w:b/>
          <w:color w:val="000000"/>
          <w:sz w:val="36"/>
          <w:u w:val="none"/>
        </w:rPr>
        <w:t>How PJT compares inside Tier 1</w:t>
      </w:r>
    </w:p>
    <w:p>
      <w:pPr>
        <w:spacing w:line="480" w:lineRule="auto" w:before="0" w:after="0"/>
      </w:pPr>
      <w:r>
        <w:rPr>
          <w:rFonts w:ascii="Arial" w:hAnsi="Arial" w:cs="Arial" w:eastAsia="Arial"/>
          <w:b w:val="0"/>
          <w:color w:val="000000"/>
          <w:sz w:val="22"/>
          <w:u w:val="none"/>
        </w:rPr>
        <w:t>The five-firm tier splits by franchise rather than quality. PJT anchors the debtor side: company mandates, board rooms, the full capital structure as client. Houlihan Lokey anchors the creditor side at volume, with the largest team and the most seats. Evercore runs both sides next to the strongest M&amp;A franchise among the independents. Lazard pairs its debtor-side legacy with the deepest European bench. Moelis runs the most fluid model, where generalists rotate into RX.</w:t>
      </w:r>
    </w:p>
    <w:p>
      <w:pPr>
        <w:spacing w:line="480" w:lineRule="auto" w:before="0" w:after="0"/>
      </w:pPr>
      <w:r>
        <w:rPr>
          <w:rFonts w:ascii="Arial" w:hAnsi="Arial" w:cs="Arial" w:eastAsia="Arial"/>
          <w:b w:val="0"/>
          <w:color w:val="000000"/>
          <w:sz w:val="22"/>
          <w:u w:val="none"/>
        </w:rPr>
        <w:t>Exits overlap almost completely across the five, which reframes the choice: you're picking a training style, not a destiny. Candidates who want board-room debtor reps rank PJT first for reasons that survive follow-up questions. Candidates who rank it first because a forum said to are the ones the interview filters out.</w:t>
      </w:r>
    </w:p>
    <w:p>
      <w:pPr>
        <w:spacing w:line="480" w:lineRule="auto" w:before="0" w:after="0"/>
      </w:pPr>
      <w:r>
        <w:rPr>
          <w:rFonts w:ascii="Arial" w:hAnsi="Arial" w:cs="Arial" w:eastAsia="Arial"/>
          <w:b/>
          <w:color w:val="000000"/>
          <w:sz w:val="36"/>
          <w:u w:val="none"/>
        </w:rPr>
        <w:t>The mistakes that end PJT candidacies</w:t>
      </w:r>
    </w:p>
    <w:p>
      <w:pPr>
        <w:spacing w:line="480" w:lineRule="auto" w:before="0" w:after="0"/>
      </w:pPr>
      <w:r>
        <w:rPr>
          <w:rFonts w:ascii="Arial" w:hAnsi="Arial" w:cs="Arial" w:eastAsia="Arial"/>
          <w:b w:val="0"/>
          <w:color w:val="000000"/>
          <w:sz w:val="22"/>
          <w:u w:val="none"/>
        </w:rPr>
        <w:t>Leading with prestige. The group hears its own ranking recited daily and screens for candidates drawn to the work; every answer that starts with "most prestigious" wastes the slot where a specific interest should have been.</w:t>
      </w:r>
    </w:p>
    <w:p>
      <w:pPr>
        <w:spacing w:line="480" w:lineRule="auto" w:before="0" w:after="0"/>
      </w:pPr>
      <w:r>
        <w:rPr>
          <w:rFonts w:ascii="Arial" w:hAnsi="Arial" w:cs="Arial" w:eastAsia="Arial"/>
          <w:b w:val="0"/>
          <w:color w:val="000000"/>
          <w:sz w:val="22"/>
          <w:u w:val="none"/>
        </w:rPr>
        <w:t>Knowing famous deals shallowly. A marquee case you can summarize but not defend is worse than an obscure one you know cold, because interviewers pick the follow-up you can't answer. Depth on one situation beats familiarity with five.</w:t>
      </w:r>
    </w:p>
    <w:p>
      <w:pPr>
        <w:spacing w:line="480" w:lineRule="auto" w:before="0" w:after="0"/>
      </w:pPr>
      <w:r>
        <w:rPr>
          <w:rFonts w:ascii="Arial" w:hAnsi="Arial" w:cs="Arial" w:eastAsia="Arial"/>
          <w:b w:val="0"/>
          <w:color w:val="000000"/>
          <w:sz w:val="22"/>
          <w:u w:val="none"/>
        </w:rPr>
        <w:t>Treating a miss as final. The group's own ranks include laterals and full-time hires who arrived on the second attempt. Twelve to eighteen months of RX work anywhere, with visible skill growth, is a real second path to the same seat, and interviewers treat informed persistence as signal.</w:t>
      </w:r>
    </w:p>
    <w:p>
      <w:pPr>
        <w:spacing w:line="480" w:lineRule="auto" w:before="0" w:after="0"/>
      </w:pPr>
      <w:r>
        <w:rPr>
          <w:rFonts w:ascii="Arial" w:hAnsi="Arial" w:cs="Arial" w:eastAsia="Arial"/>
          <w:b/>
          <w:color w:val="000000"/>
          <w:sz w:val="36"/>
          <w:u w:val="none"/>
        </w:rPr>
        <w:t>Say this, don't say that</w:t>
      </w:r>
    </w:p>
    <w:p>
      <w:pPr>
        <w:spacing w:line="480" w:lineRule="auto" w:before="0" w:after="0"/>
      </w:pPr>
      <w:r>
        <w:rPr>
          <w:rFonts w:ascii="Arial" w:hAnsi="Arial" w:cs="Arial" w:eastAsia="Arial"/>
          <w:b/>
          <w:color w:val="000000"/>
          <w:sz w:val="22"/>
          <w:u w:val="none"/>
        </w:rPr>
        <w:t>Why PJT Restructuring?</w:t>
      </w:r>
    </w:p>
    <w:p>
      <w:pPr>
        <w:spacing w:line="480" w:lineRule="auto" w:before="0" w:after="0"/>
      </w:pPr>
      <w:r>
        <w:rPr>
          <w:rFonts w:ascii="Arial" w:hAnsi="Arial" w:cs="Arial" w:eastAsia="Arial"/>
          <w:b w:val="0"/>
          <w:color w:val="000000"/>
          <w:sz w:val="22"/>
          <w:u w:val="none"/>
        </w:rPr>
        <w:t>Don't say: "PJT is the most prestigious restructuring group on Wall Street."</w:t>
      </w:r>
    </w:p>
    <w:p>
      <w:pPr>
        <w:spacing w:line="480" w:lineRule="auto" w:before="0" w:after="0"/>
      </w:pPr>
      <w:r>
        <w:rPr>
          <w:rFonts w:ascii="Arial" w:hAnsi="Arial" w:cs="Arial" w:eastAsia="Arial"/>
          <w:b w:val="0"/>
          <w:color w:val="000000"/>
          <w:sz w:val="22"/>
          <w:u w:val="none"/>
        </w:rPr>
        <w:t>Say: "I want debtor-side reps. I followed Marelli through the docket, I have a view on what the company's advisors got right, and the seat where the whole capital structure is your client is the training I'm after."</w:t>
      </w:r>
    </w:p>
    <w:p>
      <w:pPr>
        <w:spacing w:line="480" w:lineRule="auto" w:before="0" w:after="0"/>
      </w:pPr>
      <w:r>
        <w:rPr>
          <w:rFonts w:ascii="Arial" w:hAnsi="Arial" w:cs="Arial" w:eastAsia="Arial"/>
          <w:b/>
          <w:color w:val="000000"/>
          <w:sz w:val="22"/>
          <w:u w:val="none"/>
        </w:rPr>
        <w:t>What if you don't get PJT?</w:t>
      </w:r>
    </w:p>
    <w:p>
      <w:pPr>
        <w:spacing w:line="480" w:lineRule="auto" w:before="0" w:after="0"/>
      </w:pPr>
      <w:r>
        <w:rPr>
          <w:rFonts w:ascii="Arial" w:hAnsi="Arial" w:cs="Arial" w:eastAsia="Arial"/>
          <w:b w:val="0"/>
          <w:color w:val="000000"/>
          <w:sz w:val="22"/>
          <w:u w:val="none"/>
        </w:rPr>
        <w:t>Don't say: "PJT is my only real target."</w:t>
      </w:r>
    </w:p>
    <w:p>
      <w:pPr>
        <w:spacing w:line="480" w:lineRule="auto" w:before="0" w:after="0"/>
      </w:pPr>
      <w:r>
        <w:rPr>
          <w:rFonts w:ascii="Arial" w:hAnsi="Arial" w:cs="Arial" w:eastAsia="Arial"/>
          <w:b w:val="0"/>
          <w:color w:val="000000"/>
          <w:sz w:val="22"/>
          <w:u w:val="none"/>
        </w:rPr>
        <w:t>Say: "Then I take the best RX seat I can win and lateral. Waterfall fluency from any restructuring desk puts me back in front of this group in eighteen months."</w:t>
      </w:r>
    </w:p>
    <w:p>
      <w:pPr>
        <w:spacing w:line="480" w:lineRule="auto" w:before="0" w:after="0"/>
      </w:pPr>
      <w:r>
        <w:rPr>
          <w:rFonts w:ascii="Arial" w:hAnsi="Arial" w:cs="Arial" w:eastAsia="Arial"/>
          <w:b/>
          <w:color w:val="000000"/>
          <w:sz w:val="36"/>
          <w:u w:val="none"/>
        </w:rPr>
        <w:t>The campaign calendar</w:t>
      </w:r>
    </w:p>
    <w:p>
      <w:pPr>
        <w:spacing w:line="480" w:lineRule="auto" w:before="0" w:after="0"/>
      </w:pPr>
      <w:r>
        <w:rPr>
          <w:rFonts w:ascii="Arial" w:hAnsi="Arial" w:cs="Arial" w:eastAsia="Arial"/>
          <w:b w:val="0"/>
          <w:color w:val="000000"/>
          <w:sz w:val="22"/>
          <w:u w:val="none"/>
        </w:rPr>
        <w:t>This week: order Moyer, subscribe to Pari Passu, pull the Marelli docket. This month: two or three PJT RX conversations through your alumni network, plus a one-page written view on Marelli or Spirit. Before the window opens: five waterfall reps from real cap tables, the two-sentence structural why-RX answer, and a resume whose credit evidence is legible in six seconds. Then apply in week one and keep every parallel RX application alive, because the lateral road and the direct road end at the same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cer.uscourts.gov" TargetMode="External"/><Relationship Id="rId10" Type="http://schemas.openxmlformats.org/officeDocument/2006/relationships/hyperlink" Target="https://restructuringnewslet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