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pPr>
      <w:r>
        <w:rPr>
          <w:rFonts w:ascii="Arial" w:hAnsi="Arial" w:cs="Arial" w:eastAsia="Arial"/>
          <w:b/>
          <w:color w:val="000000"/>
          <w:sz w:val="48"/>
          <w:u w:val="none"/>
        </w:rPr>
        <w:t>The Ultimate Guide to the Growth Strategy Framework</w:t>
      </w:r>
    </w:p>
    <w:p>
      <w:pPr>
        <w:spacing w:line="480" w:lineRule="auto" w:before="0" w:after="0"/>
      </w:pPr>
      <w:r>
        <w:rPr>
          <w:rFonts w:ascii="Arial" w:hAnsi="Arial" w:cs="Arial" w:eastAsia="Arial"/>
          <w:b/>
          <w:color w:val="000000"/>
          <w:sz w:val="22"/>
          <w:u w:val="none"/>
        </w:rPr>
        <w:t>Meta description:</w:t>
      </w:r>
      <w:r>
        <w:rPr>
          <w:rFonts w:ascii="Arial" w:hAnsi="Arial" w:cs="Arial" w:eastAsia="Arial"/>
          <w:b w:val="0"/>
          <w:color w:val="000000"/>
          <w:sz w:val="22"/>
          <w:u w:val="none"/>
        </w:rPr>
        <w:t xml:space="preserve"> WSG founder Stephen Turban breaks down the growth strategy framework: the growth tree, organic vs inorganic moves, and the bridge math that wins cases.</w:t>
      </w:r>
    </w:p>
    <w:p>
      <w:pPr>
        <w:spacing w:line="480" w:lineRule="auto" w:before="0" w:after="0"/>
      </w:pPr>
      <w:r>
        <w:rPr>
          <w:rFonts w:ascii="Arial" w:hAnsi="Arial" w:cs="Arial" w:eastAsia="Arial"/>
          <w:b w:val="0"/>
          <w:color w:val="000000"/>
          <w:sz w:val="22"/>
          <w:u w:val="none"/>
        </w:rPr>
        <w:t xml:space="preserve">"Our client wants to double revenue in five years. How?" Growth prompts are the case interviewer's favorite ambiguity test, because the honest answer space is enormous: new customers, new prices, new products, new countries, acquisitions. Most candidates respond by listing every option they can think of. </w:t>
      </w:r>
      <w:r>
        <w:rPr>
          <w:rFonts w:ascii="Arial" w:hAnsi="Arial" w:cs="Arial" w:eastAsia="Arial"/>
          <w:b/>
          <w:color w:val="000000"/>
          <w:sz w:val="22"/>
          <w:u w:val="none"/>
        </w:rPr>
        <w:t>Growth strategy cases are scored on prioritization, and a candidate who sizes three levers beats a candidate who names ten.</w:t>
      </w:r>
    </w:p>
    <w:p>
      <w:pPr>
        <w:spacing w:line="480" w:lineRule="auto" w:before="0" w:after="0"/>
      </w:pPr>
      <w:r>
        <w:rPr>
          <w:rFonts w:ascii="Arial" w:hAnsi="Arial" w:cs="Arial" w:eastAsia="Arial"/>
          <w:b w:val="0"/>
          <w:color w:val="000000"/>
          <w:sz w:val="22"/>
          <w:u w:val="none"/>
        </w:rPr>
        <w:t>I worked growth questions from both sides: as a McKinsey consultant, where my first engagement was a strategy project for a regional hospital system trying to grow beyond its home market, and now at WSG coaching students through growth cases every cycle. This guide gives you the growth strategy framework as a tree, the organic-versus-inorganic decision, the bridge math that closes the case, and the prioritization discipline interviewers actually reward.</w:t>
      </w:r>
    </w:p>
    <w:p>
      <w:pPr>
        <w:spacing w:line="480" w:lineRule="auto" w:before="0" w:after="0"/>
      </w:pPr>
      <w:r>
        <w:rPr>
          <w:rFonts w:ascii="Arial" w:hAnsi="Arial" w:cs="Arial" w:eastAsia="Arial"/>
          <w:b/>
          <w:color w:val="000000"/>
          <w:sz w:val="36"/>
          <w:u w:val="none"/>
        </w:rPr>
        <w:t>What is the growth strategy framework?</w:t>
      </w:r>
    </w:p>
    <w:p>
      <w:pPr>
        <w:spacing w:line="480" w:lineRule="auto" w:before="0" w:after="0"/>
      </w:pPr>
      <w:r>
        <w:rPr>
          <w:rFonts w:ascii="Arial" w:hAnsi="Arial" w:cs="Arial" w:eastAsia="Arial"/>
          <w:b w:val="0"/>
          <w:color w:val="000000"/>
          <w:sz w:val="22"/>
          <w:u w:val="none"/>
        </w:rPr>
        <w:t>The growth strategy framework decomposes "grow revenue" into a tree of levers. Level one: grow the existing business, expand into something new, or acquire growth. Level two under the core business: more customers, more revenue per customer, or higher prices. Level two under expansion: new customer segments, new geographies, new channels, or new products. Structure the tree, size the biggest branches, and recommend the two or three levers that close the client's growth gap fastest.</w:t>
      </w:r>
    </w:p>
    <w:p>
      <w:pPr>
        <w:spacing w:line="480" w:lineRule="auto" w:before="0" w:after="0"/>
      </w:pPr>
      <w:r>
        <w:rPr>
          <w:rFonts w:ascii="Arial" w:hAnsi="Arial" w:cs="Arial" w:eastAsia="Arial"/>
          <w:b/>
          <w:color w:val="000000"/>
          <w:sz w:val="36"/>
          <w:u w:val="none"/>
        </w:rPr>
        <w:t>How is a growth case different from a market entry case?</w:t>
      </w:r>
    </w:p>
    <w:p>
      <w:pPr>
        <w:spacing w:line="480" w:lineRule="auto" w:before="0" w:after="0"/>
      </w:pPr>
      <w:r>
        <w:rPr>
          <w:rFonts w:ascii="Arial" w:hAnsi="Arial" w:cs="Arial" w:eastAsia="Arial"/>
          <w:b w:val="0"/>
          <w:color w:val="000000"/>
          <w:sz w:val="22"/>
          <w:u w:val="none"/>
        </w:rPr>
        <w:t>A market entry case evaluates one predefined move deeply: should we enter market X, yes or no. A growth case starts one level higher: which moves, among all possible ones, should the client make at all. Market entry analysis often appears inside a growth case once you've picked a lever, so the two frameworks nest. Get the sequencing right: choose the lever first, then evaluate it like an entry decision.</w:t>
      </w:r>
    </w:p>
    <w:p>
      <w:pPr>
        <w:spacing w:line="480" w:lineRule="auto" w:before="0" w:after="0"/>
      </w:pPr>
      <w:r>
        <w:rPr>
          <w:rFonts w:ascii="Arial" w:hAnsi="Arial" w:cs="Arial" w:eastAsia="Arial"/>
          <w:b/>
          <w:color w:val="000000"/>
          <w:sz w:val="28"/>
          <w:u w:val="single"/>
        </w:rPr>
        <w:t>1. Quantify the growth gap before touching a single lever</w:t>
      </w:r>
    </w:p>
    <w:p>
      <w:pPr>
        <w:spacing w:line="480" w:lineRule="auto" w:before="0" w:after="0"/>
      </w:pPr>
      <w:r>
        <w:rPr>
          <w:rFonts w:ascii="Arial" w:hAnsi="Arial" w:cs="Arial" w:eastAsia="Arial"/>
          <w:b w:val="0"/>
          <w:color w:val="000000"/>
          <w:sz w:val="22"/>
          <w:u w:val="none"/>
        </w:rPr>
        <w:t>The first move in a growth case is arithmetic, not brainstorming. The client wants to go from $500M to $750M in five years. Baseline momentum matters: if the core business grows 3% a year, the client reaches about $580M doing nothing. The real question is a $170M gap, not a $250M one.</w:t>
      </w:r>
    </w:p>
    <w:p>
      <w:pPr>
        <w:spacing w:line="480" w:lineRule="auto" w:before="0" w:after="0"/>
      </w:pPr>
      <w:r>
        <w:rPr>
          <w:rFonts w:ascii="Arial" w:hAnsi="Arial" w:cs="Arial" w:eastAsia="Arial"/>
          <w:b w:val="0"/>
          <w:color w:val="000000"/>
          <w:sz w:val="22"/>
          <w:u w:val="none"/>
        </w:rPr>
        <w:t xml:space="preserve">That reframe does two things. It shrinks the problem to its true size, and it tells you how aggressive the answer needs to be. A gap the core almost closes calls for optimization. A gap triple the baseline calls for expansion or acquisition. </w:t>
      </w:r>
      <w:r>
        <w:rPr>
          <w:rFonts w:ascii="Arial" w:hAnsi="Arial" w:cs="Arial" w:eastAsia="Arial"/>
          <w:b/>
          <w:color w:val="000000"/>
          <w:sz w:val="22"/>
          <w:u w:val="none"/>
        </w:rPr>
        <w:t>Compute the gap between target and momentum first, because every lever you propose will be judged against that number.</w:t>
      </w:r>
    </w:p>
    <w:p>
      <w:pPr>
        <w:spacing w:line="480" w:lineRule="auto" w:before="0" w:after="0"/>
      </w:pPr>
      <w:r>
        <w:rPr>
          <w:rFonts w:ascii="Arial" w:hAnsi="Arial" w:cs="Arial" w:eastAsia="Arial"/>
          <w:b w:val="0"/>
          <w:color w:val="000000"/>
          <w:sz w:val="22"/>
          <w:u w:val="none"/>
        </w:rPr>
        <w:t>Interviewers hand you the inputs for this within the first few minutes if you ask: target, timeline, current growth rate, market growth rate. Ask.</w:t>
      </w:r>
    </w:p>
    <w:p>
      <w:pPr>
        <w:spacing w:line="480" w:lineRule="auto" w:before="0" w:after="0"/>
      </w:pPr>
      <w:r>
        <w:rPr>
          <w:rFonts w:ascii="Arial" w:hAnsi="Arial" w:cs="Arial" w:eastAsia="Arial"/>
          <w:b/>
          <w:color w:val="000000"/>
          <w:sz w:val="28"/>
          <w:u w:val="single"/>
        </w:rPr>
        <w:t>2. Squeeze the core before you leave it</w:t>
      </w:r>
    </w:p>
    <w:p>
      <w:pPr>
        <w:spacing w:line="480" w:lineRule="auto" w:before="0" w:after="0"/>
      </w:pPr>
      <w:r>
        <w:rPr>
          <w:rFonts w:ascii="Arial" w:hAnsi="Arial" w:cs="Arial" w:eastAsia="Arial"/>
          <w:b w:val="0"/>
          <w:color w:val="000000"/>
          <w:sz w:val="22"/>
          <w:u w:val="none"/>
        </w:rPr>
        <w:t>The cheapest growth is sitting in the business the client already runs, so structure starts there. Three sub-levers, in the language of the revenue equation: more customers (acquisition, win-back, distribution coverage), more per customer (frequency, basket size, cross-sell, retention), and price (headline increases, mix shift toward premium, discount discipline).</w:t>
      </w:r>
    </w:p>
    <w:p>
      <w:pPr>
        <w:spacing w:line="480" w:lineRule="auto" w:before="0" w:after="0"/>
      </w:pPr>
      <w:r>
        <w:rPr>
          <w:rFonts w:ascii="Arial" w:hAnsi="Arial" w:cs="Arial" w:eastAsia="Arial"/>
          <w:b w:val="0"/>
          <w:color w:val="000000"/>
          <w:sz w:val="22"/>
          <w:u w:val="none"/>
        </w:rPr>
        <w:t>Core growth is underrated by candidates because it sounds boring, and overrated by clients because it feels safe, so your job is to size it honestly. A retailer at 95% national coverage has little customer-acquisition headroom. A subscription business churning 20% a year has enormous retention headroom, and cutting churn from 20% to 15% can outgrow any expansion play at a fraction of the risk.</w:t>
      </w:r>
    </w:p>
    <w:p>
      <w:pPr>
        <w:spacing w:line="480" w:lineRule="auto" w:before="0" w:after="0"/>
      </w:pPr>
      <w:r>
        <w:rPr>
          <w:rFonts w:ascii="Arial" w:hAnsi="Arial" w:cs="Arial" w:eastAsia="Arial"/>
          <w:b w:val="0"/>
          <w:color w:val="000000"/>
          <w:sz w:val="22"/>
          <w:u w:val="none"/>
        </w:rPr>
        <w:t xml:space="preserve">Pricing deserves special respect. A 2% price increase that holds volume drops straight to revenue and almost straight to profit. When I was at McKinsey, the growth work I saw repeatedly started with pricing diagnostics precisely because the lever is fast: no factories, no market entry, decision to impact in months. </w:t>
      </w:r>
      <w:r>
        <w:rPr>
          <w:rFonts w:ascii="Arial" w:hAnsi="Arial" w:cs="Arial" w:eastAsia="Arial"/>
          <w:b/>
          <w:color w:val="000000"/>
          <w:sz w:val="22"/>
          <w:u w:val="none"/>
        </w:rPr>
        <w:t>In a growth case, always size the pricing lever explicitly, because it's the fastest dollar in the tree and most candidates skip it entirely.</w:t>
      </w:r>
    </w:p>
    <w:p>
      <w:pPr>
        <w:spacing w:line="480" w:lineRule="auto" w:before="0" w:after="0"/>
      </w:pPr>
      <w:r>
        <w:rPr>
          <w:rFonts w:ascii="Arial" w:hAnsi="Arial" w:cs="Arial" w:eastAsia="Arial"/>
          <w:b/>
          <w:color w:val="000000"/>
          <w:sz w:val="28"/>
          <w:u w:val="single"/>
        </w:rPr>
        <w:t>3. Expansion levers: new segments, geographies, channels, products</w:t>
      </w:r>
    </w:p>
    <w:p>
      <w:pPr>
        <w:spacing w:line="480" w:lineRule="auto" w:before="0" w:after="0"/>
      </w:pPr>
      <w:r>
        <w:rPr>
          <w:rFonts w:ascii="Arial" w:hAnsi="Arial" w:cs="Arial" w:eastAsia="Arial"/>
          <w:b w:val="0"/>
          <w:color w:val="000000"/>
          <w:sz w:val="22"/>
          <w:u w:val="none"/>
        </w:rPr>
        <w:t>When the core can't close the gap, expand. Four directions, in rough order of increasing risk: sell the existing product to new customer segments, take it to new geographies, push it through new channels, or build new products for the customers you already have. The classic strategy grid pairing existing-versus-new products with existing-versus-new markets (the Ansoff logic) is fine shorthand, but interviewers want the tree in your own words, not a named 2x2 recited at them.</w:t>
      </w:r>
    </w:p>
    <w:p>
      <w:pPr>
        <w:spacing w:line="480" w:lineRule="auto" w:before="0" w:after="0"/>
      </w:pPr>
      <w:r>
        <w:rPr>
          <w:rFonts w:ascii="Arial" w:hAnsi="Arial" w:cs="Arial" w:eastAsia="Arial"/>
          <w:b w:val="0"/>
          <w:color w:val="000000"/>
          <w:sz w:val="22"/>
          <w:u w:val="none"/>
        </w:rPr>
        <w:t>The discipline for each candidate lever is adjacency: how much of what the client already owns carries over? A US energy drink brand entering Canada reuses brand, product, and mostly the same retail relationships: tight adjacency, lower risk. The same brand launching salty snacks reuses less. The further from the core, the more the lever should be treated as a full market entry decision with its own attractiveness, capability, and payback analysis.</w:t>
      </w:r>
    </w:p>
    <w:p>
      <w:pPr>
        <w:spacing w:line="480" w:lineRule="auto" w:before="0" w:after="0"/>
      </w:pPr>
      <w:r>
        <w:rPr>
          <w:rFonts w:ascii="Arial" w:hAnsi="Arial" w:cs="Arial" w:eastAsia="Arial"/>
          <w:b w:val="0"/>
          <w:color w:val="000000"/>
          <w:sz w:val="22"/>
          <w:u w:val="none"/>
        </w:rPr>
        <w:t>One expansion lever is chronically underused in cases: channels. Moving a retail brand into club stores, or a field-sales software product into self-serve, can add 20% to revenue with the existing product line. Naming the channel lever marks you as someone who's seen real businesses.</w:t>
      </w:r>
    </w:p>
    <w:p>
      <w:pPr>
        <w:spacing w:line="480" w:lineRule="auto" w:before="0" w:after="0"/>
      </w:pPr>
      <w:r>
        <w:rPr>
          <w:rFonts w:ascii="Arial" w:hAnsi="Arial" w:cs="Arial" w:eastAsia="Arial"/>
          <w:b/>
          <w:color w:val="000000"/>
          <w:sz w:val="28"/>
          <w:u w:val="single"/>
        </w:rPr>
        <w:t>4. Organic versus inorganic is a speed-for-risk trade</w:t>
      </w:r>
    </w:p>
    <w:p>
      <w:pPr>
        <w:spacing w:line="480" w:lineRule="auto" w:before="0" w:after="0"/>
      </w:pPr>
      <w:r>
        <w:rPr>
          <w:rFonts w:ascii="Arial" w:hAnsi="Arial" w:cs="Arial" w:eastAsia="Arial"/>
          <w:b w:val="0"/>
          <w:color w:val="000000"/>
          <w:sz w:val="22"/>
          <w:u w:val="none"/>
        </w:rPr>
        <w:t>Every expansion lever can be built or bought. Organic growth is slower, cheaper per attempt, and keeps control. Acquisition buys speed, capability, and market position at a premium price with integration risk. Partnerships and joint ventures sit between, sharing economics to share risk.</w:t>
      </w:r>
    </w:p>
    <w:p>
      <w:pPr>
        <w:spacing w:line="480" w:lineRule="auto" w:before="0" w:after="0"/>
      </w:pPr>
      <w:r>
        <w:rPr>
          <w:rFonts w:ascii="Arial" w:hAnsi="Arial" w:cs="Arial" w:eastAsia="Arial"/>
          <w:b w:val="0"/>
          <w:color w:val="000000"/>
          <w:sz w:val="22"/>
          <w:u w:val="none"/>
        </w:rPr>
        <w:t xml:space="preserve">The decision logic worth saying out loud: how fast does the gap need to close, and does the client have the capability the lever requires? A five-year horizon with strong internal capability favors building. A three-year target in a market where distribution takes a decade to replicate favors buying someone who already has it. </w:t>
      </w:r>
      <w:r>
        <w:rPr>
          <w:rFonts w:ascii="Arial" w:hAnsi="Arial" w:cs="Arial" w:eastAsia="Arial"/>
          <w:b/>
          <w:color w:val="000000"/>
          <w:sz w:val="22"/>
          <w:u w:val="none"/>
        </w:rPr>
        <w:t>Recommend inorganic growth when the binding constraint is time or capability, and organic growth when the binding constraint is capital.</w:t>
      </w:r>
    </w:p>
    <w:p>
      <w:pPr>
        <w:spacing w:line="480" w:lineRule="auto" w:before="0" w:after="0"/>
      </w:pPr>
      <w:r>
        <w:rPr>
          <w:rFonts w:ascii="Arial" w:hAnsi="Arial" w:cs="Arial" w:eastAsia="Arial"/>
          <w:b w:val="0"/>
          <w:color w:val="000000"/>
          <w:sz w:val="22"/>
          <w:u w:val="none"/>
        </w:rPr>
        <w:t>If you recommend an acquisition, flag the two things an M&amp;A case would test: paying a defensible price and integrating without breaking what you bought. One sentence each. It shows you know where the bodies are buried without derailing the case.</w:t>
      </w:r>
    </w:p>
    <w:p>
      <w:pPr>
        <w:spacing w:line="480" w:lineRule="auto" w:before="0" w:after="0"/>
      </w:pPr>
      <w:r>
        <w:rPr>
          <w:rFonts w:ascii="Arial" w:hAnsi="Arial" w:cs="Arial" w:eastAsia="Arial"/>
          <w:b/>
          <w:color w:val="000000"/>
          <w:sz w:val="28"/>
          <w:u w:val="single"/>
        </w:rPr>
        <w:t>5. Prioritize like an investor: impact, feasibility, time</w:t>
      </w:r>
    </w:p>
    <w:p>
      <w:pPr>
        <w:spacing w:line="480" w:lineRule="auto" w:before="0" w:after="0"/>
      </w:pPr>
      <w:r>
        <w:rPr>
          <w:rFonts w:ascii="Arial" w:hAnsi="Arial" w:cs="Arial" w:eastAsia="Arial"/>
          <w:b w:val="0"/>
          <w:color w:val="000000"/>
          <w:sz w:val="22"/>
          <w:u w:val="none"/>
        </w:rPr>
        <w:t>Here's where growth cases are won. You've built a tree with eight live levers. The client can execute two, maybe three. Score every lever on three axes: dollar impact against the gap, feasibility given the client's capabilities and capital, and time to impact against the deadline.</w:t>
      </w:r>
    </w:p>
    <w:p>
      <w:pPr>
        <w:spacing w:line="480" w:lineRule="auto" w:before="0" w:after="0"/>
      </w:pPr>
      <w:r>
        <w:rPr>
          <w:rFonts w:ascii="Arial" w:hAnsi="Arial" w:cs="Arial" w:eastAsia="Arial"/>
          <w:b w:val="0"/>
          <w:color w:val="000000"/>
          <w:sz w:val="22"/>
          <w:u w:val="none"/>
        </w:rPr>
        <w:t>Then say the ranking with numbers attached. "Pricing gets us $30M within a year. Club-store channel entry gets $50M by year three with modest capex. The Canada expansion is another $40M but needs local distribution we'd have to buy. The product-line extension is the biggest prize at $80M and the least certain, so I'd stage it behind a market test." That paragraph is the entire job interview.</w:t>
      </w:r>
    </w:p>
    <w:p>
      <w:pPr>
        <w:spacing w:line="480" w:lineRule="auto" w:before="0" w:after="0"/>
      </w:pPr>
      <w:r>
        <w:rPr>
          <w:rFonts w:ascii="Arial" w:hAnsi="Arial" w:cs="Arial" w:eastAsia="Arial"/>
          <w:b w:val="0"/>
          <w:color w:val="000000"/>
          <w:sz w:val="22"/>
          <w:u w:val="none"/>
        </w:rPr>
        <w:t xml:space="preserve">A student I mentored through WSG, a junior at Emory prepping for L.E.K., lost her first mock growth case not on analysis but on this step: she presented six levers with equal enthusiasm and let the interviewer choose. We rebuilt her close around forced ranking. Two months later her L.E.K. final-round feedback praised "commercial judgment," which is interviewer language for she picked. </w:t>
      </w:r>
      <w:r>
        <w:rPr>
          <w:rFonts w:ascii="Arial" w:hAnsi="Arial" w:cs="Arial" w:eastAsia="Arial"/>
          <w:b/>
          <w:color w:val="000000"/>
          <w:sz w:val="22"/>
          <w:u w:val="none"/>
        </w:rPr>
        <w:t>Interviewers read an unranked list of growth options as a refusal to make the decision they're paying consultants to make.</w:t>
      </w:r>
    </w:p>
    <w:p>
      <w:pPr>
        <w:spacing w:line="480" w:lineRule="auto" w:before="0" w:after="0"/>
      </w:pPr>
      <w:r>
        <w:rPr>
          <w:rFonts w:ascii="Arial" w:hAnsi="Arial" w:cs="Arial" w:eastAsia="Arial"/>
          <w:b/>
          <w:color w:val="000000"/>
          <w:sz w:val="28"/>
          <w:u w:val="single"/>
        </w:rPr>
        <w:t>6. Build the bridge: the math that closes a growth case</w:t>
      </w:r>
    </w:p>
    <w:p>
      <w:pPr>
        <w:spacing w:line="480" w:lineRule="auto" w:before="0" w:after="0"/>
      </w:pPr>
      <w:r>
        <w:rPr>
          <w:rFonts w:ascii="Arial" w:hAnsi="Arial" w:cs="Arial" w:eastAsia="Arial"/>
          <w:b w:val="0"/>
          <w:color w:val="000000"/>
          <w:sz w:val="22"/>
          <w:u w:val="none"/>
        </w:rPr>
        <w:t>Growth cases end with a revenue bridge: baseline plus each lever's contribution, stacked against the target, with years attached. Learn to build it fast.</w:t>
      </w:r>
    </w:p>
    <w:p>
      <w:pPr>
        <w:spacing w:line="480" w:lineRule="auto" w:before="0" w:after="0"/>
      </w:pPr>
      <w:r>
        <w:rPr>
          <w:rFonts w:ascii="Arial" w:hAnsi="Arial" w:cs="Arial" w:eastAsia="Arial"/>
          <w:b w:val="0"/>
          <w:color w:val="000000"/>
          <w:sz w:val="22"/>
          <w:u w:val="none"/>
        </w:rPr>
        <w:t>Worked example. A $500M snack company wants $750M in five years. Market growth of 3% a year compounds to roughly 16%, so the core delivers about $80M. Distribution gains in underpenetrated regions add $40M. A 2% annual price/mix improvement contributes roughly $50M. Club and convenience channel entry adds $40M by year five. That stack reaches about $710M, so a $40M gap remains: close it with a protein snack line launch sized at $60M of year-five revenue, risk-adjusted to $40M. Target met, with the riskiest lever explicitly carrying the smallest necessary load.</w:t>
      </w:r>
    </w:p>
    <w:p>
      <w:pPr>
        <w:spacing w:line="480" w:lineRule="auto" w:before="0" w:after="0"/>
      </w:pPr>
      <w:r>
        <w:rPr>
          <w:rFonts w:ascii="Arial" w:hAnsi="Arial" w:cs="Arial" w:eastAsia="Arial"/>
          <w:b w:val="0"/>
          <w:color w:val="000000"/>
          <w:sz w:val="22"/>
          <w:u w:val="none"/>
        </w:rPr>
        <w:t>Notice what the bridge forces: every lever has a number, the numbers sum, and risk is placed where the plan can afford it. Do the arithmetic in round numbers out loud, and sanity check the total before you present it. A bridge that overshoots the target by 3x tells the interviewer your sizings were decoration.</w:t>
      </w:r>
    </w:p>
    <w:p>
      <w:pPr>
        <w:spacing w:line="480" w:lineRule="auto" w:before="0" w:after="0"/>
      </w:pPr>
      <w:r>
        <w:rPr>
          <w:rFonts w:ascii="Arial" w:hAnsi="Arial" w:cs="Arial" w:eastAsia="Arial"/>
          <w:b/>
          <w:color w:val="000000"/>
          <w:sz w:val="28"/>
          <w:u w:val="single"/>
        </w:rPr>
        <w:t>7. Stress-test the plan: capacity, competitors, and margin</w:t>
      </w:r>
    </w:p>
    <w:p>
      <w:pPr>
        <w:spacing w:line="480" w:lineRule="auto" w:before="0" w:after="0"/>
      </w:pPr>
      <w:r>
        <w:rPr>
          <w:rFonts w:ascii="Arial" w:hAnsi="Arial" w:cs="Arial" w:eastAsia="Arial"/>
          <w:b w:val="0"/>
          <w:color w:val="000000"/>
          <w:sz w:val="22"/>
          <w:u w:val="none"/>
        </w:rPr>
        <w:t>Before the recommendation, spend a minute on what breaks. Three checks cover most growth cases. Capacity: can operations, supply chain, and hiring absorb the growth, because a plan the factory can't produce is fiction. Competitive response: growth usually comes out of someone's pocket, and the incumbent whose share you're taking gets a vote, often a price cut. Margin quality: revenue growth that dilutes margin, deep-discount channels, low-price geographies, can technically hit the target while making the company worse. Name the check, name the mitigation, move on.</w:t>
      </w:r>
    </w:p>
    <w:p>
      <w:pPr>
        <w:spacing w:line="480" w:lineRule="auto" w:before="0" w:after="0"/>
      </w:pPr>
      <w:r>
        <w:rPr>
          <w:rFonts w:ascii="Arial" w:hAnsi="Arial" w:cs="Arial" w:eastAsia="Arial"/>
          <w:b w:val="0"/>
          <w:color w:val="000000"/>
          <w:sz w:val="22"/>
          <w:u w:val="none"/>
        </w:rPr>
        <w:t>This is also the moment to kill your own weakest lever if the risks stack against it. Interviewers rate candidates who prune their own plans.</w:t>
      </w:r>
    </w:p>
    <w:p>
      <w:pPr>
        <w:spacing w:line="480" w:lineRule="auto" w:before="0" w:after="0"/>
      </w:pPr>
      <w:r>
        <w:rPr>
          <w:rFonts w:ascii="Arial" w:hAnsi="Arial" w:cs="Arial" w:eastAsia="Arial"/>
          <w:b/>
          <w:color w:val="000000"/>
          <w:sz w:val="28"/>
          <w:u w:val="single"/>
        </w:rPr>
        <w:t>8. Recognize the growth prompt variants, because the tree flexes</w:t>
      </w:r>
    </w:p>
    <w:p>
      <w:pPr>
        <w:spacing w:line="480" w:lineRule="auto" w:before="0" w:after="0"/>
      </w:pPr>
      <w:r>
        <w:rPr>
          <w:rFonts w:ascii="Arial" w:hAnsi="Arial" w:cs="Arial" w:eastAsia="Arial"/>
          <w:b w:val="0"/>
          <w:color w:val="000000"/>
          <w:sz w:val="22"/>
          <w:u w:val="none"/>
        </w:rPr>
        <w:t>Growth prompts arrive in four costumes, and each shifts where you spend your minutes.</w:t>
      </w:r>
    </w:p>
    <w:p>
      <w:pPr>
        <w:spacing w:line="480" w:lineRule="auto" w:before="0" w:after="0"/>
      </w:pPr>
      <w:r>
        <w:rPr>
          <w:rFonts w:ascii="Arial" w:hAnsi="Arial" w:cs="Arial" w:eastAsia="Arial"/>
          <w:b w:val="0"/>
          <w:color w:val="000000"/>
          <w:sz w:val="22"/>
          <w:u w:val="none"/>
        </w:rPr>
        <w:t>"Double revenue in five years" is the pure bridge case: quantify the gap, size levers, stack them. "Our growth is slowing" is a diagnostic first, closer to a profitability case: isolate where growth decelerated (segment, geography, product) before proposing anything. "We have capital for one of three markets" is comparative market entry: run the attractiveness-capability-payback screen on each and force-rank. And "our PE fund owns this company and wants to double it before exit" adds two constraints the others lack, a hold period of three to five years and an exit multiple, which push the answer toward levers that show up in EBITDA fast, pricing and channel over greenfield builds.</w:t>
      </w:r>
    </w:p>
    <w:p>
      <w:pPr>
        <w:spacing w:line="480" w:lineRule="auto" w:before="0" w:after="0"/>
      </w:pPr>
      <w:r>
        <w:rPr>
          <w:rFonts w:ascii="Arial" w:hAnsi="Arial" w:cs="Arial" w:eastAsia="Arial"/>
          <w:b w:val="0"/>
          <w:color w:val="000000"/>
          <w:sz w:val="22"/>
          <w:u w:val="none"/>
        </w:rPr>
        <w:t xml:space="preserve">Same tree underneath all four. What changes is the entry point and the constraint set, and saying that out loud ("this is a diagnostic before it's a strategy question") is worth real points. </w:t>
      </w:r>
      <w:r>
        <w:rPr>
          <w:rFonts w:ascii="Arial" w:hAnsi="Arial" w:cs="Arial" w:eastAsia="Arial"/>
          <w:b/>
          <w:color w:val="000000"/>
          <w:sz w:val="22"/>
          <w:u w:val="none"/>
        </w:rPr>
        <w:t>Naming which variant of the growth case you're in, within the first minute, is the single fastest credibility win available in the interview.</w:t>
      </w:r>
    </w:p>
    <w:p>
      <w:pPr>
        <w:spacing w:line="480" w:lineRule="auto" w:before="0" w:after="0"/>
      </w:pPr>
      <w:r>
        <w:rPr>
          <w:rFonts w:ascii="Arial" w:hAnsi="Arial" w:cs="Arial" w:eastAsia="Arial"/>
          <w:b/>
          <w:color w:val="000000"/>
          <w:sz w:val="28"/>
          <w:u w:val="single"/>
        </w:rPr>
        <w:t>9. Say this, don't say that: answering "how should our client grow?"</w:t>
      </w:r>
    </w:p>
    <w:p>
      <w:pPr>
        <w:spacing w:line="480" w:lineRule="auto" w:before="0" w:after="0"/>
      </w:pPr>
      <w:r>
        <w:rPr>
          <w:rFonts w:ascii="Arial" w:hAnsi="Arial" w:cs="Arial" w:eastAsia="Arial"/>
          <w:b/>
          <w:color w:val="000000"/>
          <w:sz w:val="22"/>
          <w:u w:val="none"/>
        </w:rPr>
        <w:t>"So how should they grow?"</w:t>
      </w:r>
    </w:p>
    <w:p>
      <w:pPr>
        <w:spacing w:line="480" w:lineRule="auto" w:before="0" w:after="0"/>
      </w:pPr>
      <w:r>
        <w:rPr>
          <w:rFonts w:ascii="Arial" w:hAnsi="Arial" w:cs="Arial" w:eastAsia="Arial"/>
          <w:b w:val="0"/>
          <w:color w:val="000000"/>
          <w:sz w:val="22"/>
          <w:u w:val="none"/>
        </w:rPr>
        <w:t>Don't say: "They could pursue organic growth, acquisitions, or partnerships." That's a menu, not an answer.</w:t>
      </w:r>
    </w:p>
    <w:p>
      <w:pPr>
        <w:spacing w:line="480" w:lineRule="auto" w:before="0" w:after="0"/>
      </w:pPr>
      <w:r>
        <w:rPr>
          <w:rFonts w:ascii="Arial" w:hAnsi="Arial" w:cs="Arial" w:eastAsia="Arial"/>
          <w:b w:val="0"/>
          <w:color w:val="000000"/>
          <w:sz w:val="22"/>
          <w:u w:val="none"/>
        </w:rPr>
        <w:t>Say: "After baseline growth the gap is $170M. Pricing and channel expansion close about $80M of it within two years at low risk, so the real question is whether to build or buy the remaining $90M, and given the timeline I'd buy."</w:t>
      </w:r>
    </w:p>
    <w:p>
      <w:pPr>
        <w:spacing w:line="480" w:lineRule="auto" w:before="0" w:after="0"/>
      </w:pPr>
      <w:r>
        <w:rPr>
          <w:rFonts w:ascii="Arial" w:hAnsi="Arial" w:cs="Arial" w:eastAsia="Arial"/>
          <w:b/>
          <w:color w:val="000000"/>
          <w:sz w:val="22"/>
          <w:u w:val="none"/>
        </w:rPr>
        <w:t>"Which market should they enter first?"</w:t>
      </w:r>
    </w:p>
    <w:p>
      <w:pPr>
        <w:spacing w:line="480" w:lineRule="auto" w:before="0" w:after="0"/>
      </w:pPr>
      <w:r>
        <w:rPr>
          <w:rFonts w:ascii="Arial" w:hAnsi="Arial" w:cs="Arial" w:eastAsia="Arial"/>
          <w:b w:val="0"/>
          <w:color w:val="000000"/>
          <w:sz w:val="22"/>
          <w:u w:val="none"/>
        </w:rPr>
        <w:t>Don't say: "Canada seems like a natural first step."</w:t>
      </w:r>
    </w:p>
    <w:p>
      <w:pPr>
        <w:spacing w:line="480" w:lineRule="auto" w:before="0" w:after="0"/>
      </w:pPr>
      <w:r>
        <w:rPr>
          <w:rFonts w:ascii="Arial" w:hAnsi="Arial" w:cs="Arial" w:eastAsia="Arial"/>
          <w:b w:val="0"/>
          <w:color w:val="000000"/>
          <w:sz w:val="22"/>
          <w:u w:val="none"/>
        </w:rPr>
        <w:t>Say: "Canada, for a reason: 80% of the client's brand and retail relationships carry over, so it's the highest-adjacency move, and I'd sequence Mexico behind it once the playbook is proven."</w:t>
      </w:r>
    </w:p>
    <w:p>
      <w:pPr>
        <w:spacing w:line="480" w:lineRule="auto" w:before="0" w:after="0"/>
      </w:pPr>
      <w:r>
        <w:rPr>
          <w:rFonts w:ascii="Arial" w:hAnsi="Arial" w:cs="Arial" w:eastAsia="Arial"/>
          <w:b/>
          <w:color w:val="000000"/>
          <w:sz w:val="28"/>
          <w:u w:val="single"/>
        </w:rPr>
        <w:t>10. Synthesize, then drill until the tree is reflex</w:t>
      </w:r>
    </w:p>
    <w:p>
      <w:pPr>
        <w:spacing w:line="480" w:lineRule="auto" w:before="0" w:after="0"/>
      </w:pPr>
      <w:r>
        <w:rPr>
          <w:rFonts w:ascii="Arial" w:hAnsi="Arial" w:cs="Arial" w:eastAsia="Arial"/>
          <w:b w:val="0"/>
          <w:color w:val="000000"/>
          <w:sz w:val="22"/>
          <w:u w:val="none"/>
        </w:rPr>
        <w:t>Close top-down in four sentences: recommendation, the two or three levers with numbers, the bridge total, the lead risk with mitigation. "I recommend closing the $250M gap through pricing, channel expansion, and a staged product launch, which bridge to roughly $750M by year five, with the launch gated behind a two-city market test because it carries the most uncertainty."</w:t>
      </w:r>
    </w:p>
    <w:p>
      <w:pPr>
        <w:spacing w:line="480" w:lineRule="auto" w:before="0" w:after="0"/>
      </w:pPr>
      <w:r>
        <w:rPr>
          <w:rFonts w:ascii="Arial" w:hAnsi="Arial" w:cs="Arial" w:eastAsia="Arial"/>
          <w:b w:val="0"/>
          <w:color w:val="000000"/>
          <w:sz w:val="22"/>
          <w:u w:val="none"/>
        </w:rPr>
        <w:t xml:space="preserve">Then build the reflex through reps. Run growth cases from the </w:t>
      </w:r>
      <w:hyperlink r:id="rId9">
        <w:r>
          <w:rPr>
            <w:rFonts w:ascii="Arial" w:hAnsi="Arial" w:cs="Arial" w:eastAsia="Arial"/>
            <w:sz w:val="22"/>
            <w:color w:val="0563C1"/>
            <w:u w:val="single"/>
          </w:rPr>
          <w:t xml:space="preserve">PrepLounge case library</w:t>
        </w:r>
      </w:hyperlink>
      <w:r>
        <w:rPr>
          <w:rFonts w:ascii="Arial" w:hAnsi="Arial" w:cs="Arial" w:eastAsia="Arial"/>
          <w:b w:val="0"/>
          <w:color w:val="000000"/>
          <w:sz w:val="22"/>
          <w:u w:val="none"/>
        </w:rPr>
        <w:t xml:space="preserve">, study worked examples at </w:t>
      </w:r>
      <w:hyperlink r:id="rId10">
        <w:r>
          <w:rPr>
            <w:rFonts w:ascii="Arial" w:hAnsi="Arial" w:cs="Arial" w:eastAsia="Arial"/>
            <w:sz w:val="22"/>
            <w:color w:val="0563C1"/>
            <w:u w:val="single"/>
          </w:rPr>
          <w:t xml:space="preserve">IGotAnOffer</w:t>
        </w:r>
      </w:hyperlink>
      <w:r>
        <w:rPr>
          <w:rFonts w:ascii="Arial" w:hAnsi="Arial" w:cs="Arial" w:eastAsia="Arial"/>
          <w:b w:val="0"/>
          <w:color w:val="000000"/>
          <w:sz w:val="22"/>
          <w:u w:val="none"/>
        </w:rPr>
        <w:t xml:space="preserve">, and calibrate against the firms' own prep material like </w:t>
      </w:r>
      <w:hyperlink r:id="rId11">
        <w:r>
          <w:rPr>
            <w:rFonts w:ascii="Arial" w:hAnsi="Arial" w:cs="Arial" w:eastAsia="Arial"/>
            <w:sz w:val="22"/>
            <w:color w:val="0563C1"/>
            <w:u w:val="single"/>
          </w:rPr>
          <w:t xml:space="preserve">Bain's hiring process page</w:t>
        </w:r>
      </w:hyperlink>
      <w:r>
        <w:rPr>
          <w:rFonts w:ascii="Arial" w:hAnsi="Arial" w:cs="Arial" w:eastAsia="Arial"/>
          <w:b w:val="0"/>
          <w:color w:val="000000"/>
          <w:sz w:val="22"/>
          <w:u w:val="none"/>
        </w:rPr>
        <w:t>. Ten growth cases out loud, each ending in a numbered bridge and a forced ranking, is a realistic four-week program alongside profitability and market entry work.</w:t>
      </w:r>
    </w:p>
    <w:p>
      <w:pPr>
        <w:spacing w:line="480" w:lineRule="auto" w:before="0" w:after="0"/>
      </w:pPr>
      <w:r>
        <w:rPr>
          <w:rFonts w:ascii="Arial" w:hAnsi="Arial" w:cs="Arial" w:eastAsia="Arial"/>
          <w:b/>
          <w:color w:val="000000"/>
          <w:sz w:val="22"/>
          <w:u w:val="none"/>
        </w:rPr>
        <w:t>Growth strategy cases reward the candidate who quantifies the gap, sizes the levers, ranks them, and bridges to the target with the math showing.</w:t>
      </w:r>
      <w:r>
        <w:rPr>
          <w:rFonts w:ascii="Arial" w:hAnsi="Arial" w:cs="Arial" w:eastAsia="Arial"/>
          <w:b w:val="0"/>
          <w:color w:val="000000"/>
          <w:sz w:val="22"/>
          <w:u w:val="none"/>
        </w:rPr>
        <w:t xml:space="preserve"> The tree in this guide is the complete structure. What turns it into an offer is the discipline of picking, out loud, with numbers, every single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replounge.com/en/management-consulting-cases" TargetMode="External"/><Relationship Id="rId10" Type="http://schemas.openxmlformats.org/officeDocument/2006/relationships/hyperlink" Target="https://igotanoffer.com/blogs/mckinsey-case-interview-blog/case-interview-examples" TargetMode="External"/><Relationship Id="rId11" Type="http://schemas.openxmlformats.org/officeDocument/2006/relationships/hyperlink" Target="https://www.bain.com/careers/hiring-proc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