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Top 10 Management Consulting Firms for Undergrads in 2026</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ranks the 10 management consulting firms worth applying to as an undergrad in 2026, with eligibility, application timing, and who each firm hires.</w:t>
      </w:r>
    </w:p>
    <w:p>
      <w:pPr>
        <w:spacing w:line="480" w:lineRule="auto" w:before="0" w:after="0"/>
      </w:pPr>
      <w:r>
        <w:rPr>
          <w:rFonts w:ascii="Arial" w:hAnsi="Arial" w:cs="Arial" w:eastAsia="Arial"/>
          <w:b/>
          <w:color w:val="000000"/>
          <w:sz w:val="22"/>
          <w:u w:val="none"/>
        </w:rPr>
        <w:t>The 10 firms below are the ones worth your time as an undergrad targeting management consulting in 2026.</w:t>
      </w:r>
      <w:r>
        <w:rPr>
          <w:rFonts w:ascii="Arial" w:hAnsi="Arial" w:cs="Arial" w:eastAsia="Arial"/>
          <w:b w:val="0"/>
          <w:color w:val="000000"/>
          <w:sz w:val="22"/>
          <w:u w:val="none"/>
        </w:rPr>
        <w:t xml:space="preserve"> Three are MBB. Four are tier 2 strategy. Three are Big 4 strategy. Together they hire roughly 7,000-8,000 entry-level analysts globally per year, and the candidate pool that lands offers at any of them is broadly the same: 3.7+ GPA, target or strong non-target school, fluent case interview, and at least three named contacts at the firm before application.</w:t>
      </w:r>
    </w:p>
    <w:p>
      <w:pPr>
        <w:spacing w:line="480" w:lineRule="auto" w:before="0" w:after="0"/>
      </w:pPr>
      <w:r>
        <w:rPr>
          <w:rFonts w:ascii="Arial" w:hAnsi="Arial" w:cs="Arial" w:eastAsia="Arial"/>
          <w:b w:val="0"/>
          <w:color w:val="000000"/>
          <w:sz w:val="22"/>
          <w:u w:val="none"/>
        </w:rPr>
        <w:t>As a Harvard alum, former McKinsey consultant, and founder of WSG, I watch sophomores and juniors compare these firms every cycle. This list ranks the 10 worth your time and tells you which one fits which candidate profile. The MBB-only candidate has a different game than the candidate optimizing for healthcare consulting or for the consulting-to-PE path; the firms below cover both.</w:t>
      </w:r>
    </w:p>
    <w:p>
      <w:pPr>
        <w:spacing w:line="480" w:lineRule="auto" w:before="0" w:after="0"/>
      </w:pPr>
      <w:r>
        <w:rPr>
          <w:rFonts w:ascii="Arial" w:hAnsi="Arial" w:cs="Arial" w:eastAsia="Arial"/>
          <w:b/>
          <w:color w:val="000000"/>
          <w:sz w:val="36"/>
          <w:u w:val="none"/>
        </w:rPr>
        <w:t>What makes a firm "top tier" in management consulting?</w:t>
      </w:r>
    </w:p>
    <w:p>
      <w:pPr>
        <w:spacing w:line="480" w:lineRule="auto" w:before="0" w:after="0"/>
      </w:pPr>
      <w:r>
        <w:rPr>
          <w:rFonts w:ascii="Arial" w:hAnsi="Arial" w:cs="Arial" w:eastAsia="Arial"/>
          <w:b w:val="0"/>
          <w:color w:val="000000"/>
          <w:sz w:val="22"/>
          <w:u w:val="none"/>
        </w:rPr>
        <w:t xml:space="preserve">Three filters. First, the firm advises Fortune 500 clients on real strategic decisions (not just implementation work). Second, the firm hires undergrads directly into a structured Business Analyst or Associate role. Third, the firm places alumni into top-tier MBA programs, PE associate seats, and senior corporate strategy roles at meaningful rates. </w:t>
      </w:r>
      <w:r>
        <w:rPr>
          <w:rFonts w:ascii="Arial" w:hAnsi="Arial" w:cs="Arial" w:eastAsia="Arial"/>
          <w:b/>
          <w:color w:val="000000"/>
          <w:sz w:val="22"/>
          <w:u w:val="none"/>
        </w:rPr>
        <w:t>MBB clears all three by a wide margin. Tier 2 and Big 4 strategy clear all three but with narrower brand recognition outside the industry.</w:t>
      </w:r>
    </w:p>
    <w:p>
      <w:pPr>
        <w:spacing w:line="480" w:lineRule="auto" w:before="0" w:after="0"/>
      </w:pPr>
      <w:r>
        <w:rPr>
          <w:rFonts w:ascii="Arial" w:hAnsi="Arial" w:cs="Arial" w:eastAsia="Arial"/>
          <w:b/>
          <w:color w:val="000000"/>
          <w:sz w:val="36"/>
          <w:u w:val="none"/>
        </w:rPr>
        <w:t>What's the difference between MBB, tier 2, and Big 4 strategy?</w:t>
      </w:r>
    </w:p>
    <w:p>
      <w:pPr>
        <w:spacing w:line="480" w:lineRule="auto" w:before="0" w:after="0"/>
      </w:pPr>
      <w:r>
        <w:rPr>
          <w:rFonts w:ascii="Arial" w:hAnsi="Arial" w:cs="Arial" w:eastAsia="Arial"/>
          <w:b w:val="0"/>
          <w:color w:val="000000"/>
          <w:sz w:val="22"/>
          <w:u w:val="none"/>
        </w:rPr>
        <w:t>MBB (McKinsey, BCG, Bain) is the prestige tier. Compensation is the highest, exits are the broadest, and the case-interview filter is the steepest. Tier 2 (Oliver Wyman, Strategy&amp;, Kearney, L.E.K., Roland Berger, Accenture Strategy) competes with MBB on the same engagement types but at slightly smaller scale and slightly broader candidate profiles. Big 4 strategy (Monitor Deloitte, EY-Parthenon, KPMG Strategy) sits inside the Big 4 advisory umbrella as a focused strategy arm, with materially larger class sizes than MBB and a strong commercial diligence pipeline into PE.</w:t>
      </w:r>
    </w:p>
    <w:p>
      <w:pPr>
        <w:spacing w:line="480" w:lineRule="auto" w:before="0" w:after="0"/>
      </w:pPr>
      <w:r>
        <w:rPr>
          <w:rFonts w:ascii="Arial" w:hAnsi="Arial" w:cs="Arial" w:eastAsia="Arial"/>
          <w:b/>
          <w:color w:val="000000"/>
          <w:sz w:val="36"/>
          <w:u w:val="none"/>
        </w:rPr>
        <w:t>MBB: the top three</w:t>
      </w:r>
    </w:p>
    <w:p>
      <w:pPr>
        <w:spacing w:line="480" w:lineRule="auto" w:before="0" w:after="0"/>
      </w:pPr>
      <w:r>
        <w:rPr>
          <w:rFonts w:ascii="Arial" w:hAnsi="Arial" w:cs="Arial" w:eastAsia="Arial"/>
          <w:b w:val="0"/>
          <w:color w:val="000000"/>
          <w:sz w:val="22"/>
          <w:u w:val="none"/>
        </w:rPr>
        <w:t>These three firms together place into most of the consulting-to-PE, consulting-to-MBA, and consulting-to-tech-PM pipelines.</w:t>
      </w:r>
    </w:p>
    <w:p>
      <w:pPr>
        <w:spacing w:line="480" w:lineRule="auto" w:before="0" w:after="0"/>
      </w:pPr>
      <w:r>
        <w:rPr>
          <w:rFonts w:ascii="Arial" w:hAnsi="Arial" w:cs="Arial" w:eastAsia="Arial"/>
          <w:b/>
          <w:color w:val="000000"/>
          <w:sz w:val="28"/>
          <w:u w:val="single"/>
        </w:rPr>
        <w:t xml:space="preserve">1. </w:t>
      </w:r>
      <w:hyperlink r:id="rId9">
        <w:r>
          <w:rPr>
            <w:rFonts w:ascii="Arial" w:hAnsi="Arial" w:cs="Arial" w:eastAsia="Arial"/>
            <w:sz w:val="28"/>
            <w:color w:val="0563C1"/>
            <w:u w:val="single"/>
            <w:b/>
          </w:rPr>
          <w:t xml:space="preserve">McKinsey &amp; Company</w:t>
        </w:r>
      </w:hyperlink>
    </w:p>
    <w:p>
      <w:pPr>
        <w:pStyle w:val="ListBullet"/>
        <w:spacing w:line="480" w:lineRule="auto" w:before="0" w:after="0"/>
      </w:pPr>
      <w:r>
        <w:rPr>
          <w:rFonts w:ascii="Arial" w:hAnsi="Arial" w:cs="Arial" w:eastAsia="Arial"/>
          <w:b/>
          <w:color w:val="000000"/>
          <w:sz w:val="22"/>
          <w:u w:val="none"/>
        </w:rPr>
        <w:t>Website:</w:t>
      </w:r>
      <w:r>
        <w:rPr>
          <w:rFonts w:ascii="Arial" w:hAnsi="Arial" w:cs="Arial" w:eastAsia="Arial"/>
          <w:b w:val="0"/>
          <w:color w:val="000000"/>
          <w:sz w:val="22"/>
          <w:u w:val="none"/>
        </w:rPr>
        <w:t xml:space="preserve"> mckinsey.com/careers</w:t>
      </w:r>
    </w:p>
    <w:p>
      <w:pPr>
        <w:pStyle w:val="ListBullet"/>
        <w:spacing w:line="480" w:lineRule="auto" w:before="0" w:after="0"/>
      </w:pPr>
      <w:r>
        <w:rPr>
          <w:rFonts w:ascii="Arial" w:hAnsi="Arial" w:cs="Arial" w:eastAsia="Arial"/>
          <w:b/>
          <w:color w:val="000000"/>
          <w:sz w:val="22"/>
          <w:u w:val="none"/>
        </w:rPr>
        <w:t>Role:</w:t>
      </w:r>
      <w:r>
        <w:rPr>
          <w:rFonts w:ascii="Arial" w:hAnsi="Arial" w:cs="Arial" w:eastAsia="Arial"/>
          <w:b w:val="0"/>
          <w:color w:val="000000"/>
          <w:sz w:val="22"/>
          <w:u w:val="none"/>
        </w:rPr>
        <w:t xml:space="preserve"> Business Analyst (BA). Summer Business Analyst Intern (BAI).</w:t>
      </w:r>
    </w:p>
    <w:p>
      <w:pPr>
        <w:pStyle w:val="ListBullet"/>
        <w:spacing w:line="480" w:lineRule="auto" w:before="0" w:after="0"/>
      </w:pPr>
      <w:r>
        <w:rPr>
          <w:rFonts w:ascii="Arial" w:hAnsi="Arial" w:cs="Arial" w:eastAsia="Arial"/>
          <w:b/>
          <w:color w:val="000000"/>
          <w:sz w:val="22"/>
          <w:u w:val="none"/>
        </w:rPr>
        <w:t>2026 cycle BAI deadline:</w:t>
      </w:r>
      <w:r>
        <w:rPr>
          <w:rFonts w:ascii="Arial" w:hAnsi="Arial" w:cs="Arial" w:eastAsia="Arial"/>
          <w:b w:val="0"/>
          <w:color w:val="000000"/>
          <w:sz w:val="22"/>
          <w:u w:val="none"/>
        </w:rPr>
        <w:t xml:space="preserve"> March 29, 2026 (closed for Summer 2026). Expected to open August 2026 for the Summer 2027 cycle. [VERIFY: confirm 2027 cycle dates on mckinsey.com/careers]</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Juniors graduating Spring 2028 (Class of 2028) for the 2027 intern cycle. 3.7+ effective GPA floor at targets.</w:t>
      </w:r>
    </w:p>
    <w:p>
      <w:pPr>
        <w:pStyle w:val="ListBullet"/>
        <w:spacing w:line="480" w:lineRule="auto" w:before="0" w:after="0"/>
      </w:pPr>
      <w:r>
        <w:rPr>
          <w:rFonts w:ascii="Arial" w:hAnsi="Arial" w:cs="Arial" w:eastAsia="Arial"/>
          <w:b/>
          <w:color w:val="000000"/>
          <w:sz w:val="22"/>
          <w:u w:val="none"/>
        </w:rPr>
        <w:t>Who they hire:</w:t>
      </w:r>
      <w:r>
        <w:rPr>
          <w:rFonts w:ascii="Arial" w:hAnsi="Arial" w:cs="Arial" w:eastAsia="Arial"/>
          <w:b w:val="0"/>
          <w:color w:val="000000"/>
          <w:sz w:val="22"/>
          <w:u w:val="none"/>
        </w:rPr>
        <w:t xml:space="preserve"> Roughly 700-900 US BAs per year across all undergrad programs.</w:t>
      </w:r>
    </w:p>
    <w:p>
      <w:pPr>
        <w:pStyle w:val="ListBullet"/>
        <w:spacing w:line="480" w:lineRule="auto" w:before="0" w:after="0"/>
      </w:pPr>
      <w:r>
        <w:rPr>
          <w:rFonts w:ascii="Arial" w:hAnsi="Arial" w:cs="Arial" w:eastAsia="Arial"/>
          <w:b/>
          <w:color w:val="000000"/>
          <w:sz w:val="22"/>
          <w:u w:val="none"/>
        </w:rPr>
        <w:t>Why apply:</w:t>
      </w:r>
      <w:r>
        <w:rPr>
          <w:rFonts w:ascii="Arial" w:hAnsi="Arial" w:cs="Arial" w:eastAsia="Arial"/>
          <w:b w:val="0"/>
          <w:color w:val="000000"/>
          <w:sz w:val="22"/>
          <w:u w:val="none"/>
        </w:rPr>
        <w:t xml:space="preserve"> The most-recognized brand in consulting. Strongest internal training program of the three. Heaviest McKinsey-specific filter: the Solve game (pre-interview gamified assessment), the PEI (Personal Experience Interview) tested on three named dimensions, and an interviewer-led case style that runs more rigidly than BCG or Bain.</w:t>
      </w:r>
    </w:p>
    <w:p>
      <w:pPr>
        <w:spacing w:line="480" w:lineRule="auto" w:before="0" w:after="0"/>
      </w:pPr>
      <w:r>
        <w:rPr>
          <w:rFonts w:ascii="Arial" w:hAnsi="Arial" w:cs="Arial" w:eastAsia="Arial"/>
          <w:b w:val="0"/>
          <w:color w:val="000000"/>
          <w:sz w:val="22"/>
          <w:u w:val="none"/>
        </w:rPr>
        <w:t>The McKinsey BA seat is the strongest single platform in consulting for candidates optimizing for breadth of exit options. The trade-off: the firm's recruiting machine is the most polished and the most candidate-volume-driven of MBB, so cultural fit at McKinsey gets less individualized attention than at Bain.</w:t>
      </w:r>
    </w:p>
    <w:p>
      <w:pPr>
        <w:spacing w:line="480" w:lineRule="auto" w:before="0" w:after="0"/>
      </w:pPr>
      <w:r>
        <w:rPr>
          <w:rFonts w:ascii="Arial" w:hAnsi="Arial" w:cs="Arial" w:eastAsia="Arial"/>
          <w:b/>
          <w:color w:val="000000"/>
          <w:sz w:val="28"/>
          <w:u w:val="single"/>
        </w:rPr>
        <w:t xml:space="preserve">2. </w:t>
      </w:r>
      <w:hyperlink r:id="rId10">
        <w:r>
          <w:rPr>
            <w:rFonts w:ascii="Arial" w:hAnsi="Arial" w:cs="Arial" w:eastAsia="Arial"/>
            <w:sz w:val="28"/>
            <w:color w:val="0563C1"/>
            <w:u w:val="single"/>
            <w:b/>
          </w:rPr>
          <w:t xml:space="preserve">Boston Consulting Group (BCG)</w:t>
        </w:r>
      </w:hyperlink>
    </w:p>
    <w:p>
      <w:pPr>
        <w:pStyle w:val="ListBullet"/>
        <w:spacing w:line="480" w:lineRule="auto" w:before="0" w:after="0"/>
      </w:pPr>
      <w:r>
        <w:rPr>
          <w:rFonts w:ascii="Arial" w:hAnsi="Arial" w:cs="Arial" w:eastAsia="Arial"/>
          <w:b/>
          <w:color w:val="000000"/>
          <w:sz w:val="22"/>
          <w:u w:val="none"/>
        </w:rPr>
        <w:t>Website:</w:t>
      </w:r>
      <w:r>
        <w:rPr>
          <w:rFonts w:ascii="Arial" w:hAnsi="Arial" w:cs="Arial" w:eastAsia="Arial"/>
          <w:b w:val="0"/>
          <w:color w:val="000000"/>
          <w:sz w:val="22"/>
          <w:u w:val="none"/>
        </w:rPr>
        <w:t xml:space="preserve"> careers.bcg.com</w:t>
      </w:r>
    </w:p>
    <w:p>
      <w:pPr>
        <w:pStyle w:val="ListBullet"/>
        <w:spacing w:line="480" w:lineRule="auto" w:before="0" w:after="0"/>
      </w:pPr>
      <w:r>
        <w:rPr>
          <w:rFonts w:ascii="Arial" w:hAnsi="Arial" w:cs="Arial" w:eastAsia="Arial"/>
          <w:b/>
          <w:color w:val="000000"/>
          <w:sz w:val="22"/>
          <w:u w:val="none"/>
        </w:rPr>
        <w:t>Role:</w:t>
      </w:r>
      <w:r>
        <w:rPr>
          <w:rFonts w:ascii="Arial" w:hAnsi="Arial" w:cs="Arial" w:eastAsia="Arial"/>
          <w:b w:val="0"/>
          <w:color w:val="000000"/>
          <w:sz w:val="22"/>
          <w:u w:val="none"/>
        </w:rPr>
        <w:t xml:space="preserve"> Associate. Summer Associate.</w:t>
      </w:r>
    </w:p>
    <w:p>
      <w:pPr>
        <w:pStyle w:val="ListBullet"/>
        <w:spacing w:line="480" w:lineRule="auto" w:before="0" w:after="0"/>
      </w:pPr>
      <w:r>
        <w:rPr>
          <w:rFonts w:ascii="Arial" w:hAnsi="Arial" w:cs="Arial" w:eastAsia="Arial"/>
          <w:b/>
          <w:color w:val="000000"/>
          <w:sz w:val="22"/>
          <w:u w:val="none"/>
        </w:rPr>
        <w:t>2026 cycle Summer Associate deadline:</w:t>
      </w:r>
      <w:r>
        <w:rPr>
          <w:rFonts w:ascii="Arial" w:hAnsi="Arial" w:cs="Arial" w:eastAsia="Arial"/>
          <w:b w:val="0"/>
          <w:color w:val="000000"/>
          <w:sz w:val="22"/>
          <w:u w:val="none"/>
        </w:rPr>
        <w:t xml:space="preserve"> Expected April 2026 (closed for Summer 2026). Summer 2027 window historically opens August-September 2026. [VERIFY: confirm 2027 dates]</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Juniors graduating Spring 2028. 3.7+ effective GPA floor.</w:t>
      </w:r>
    </w:p>
    <w:p>
      <w:pPr>
        <w:pStyle w:val="ListBullet"/>
        <w:spacing w:line="480" w:lineRule="auto" w:before="0" w:after="0"/>
      </w:pPr>
      <w:r>
        <w:rPr>
          <w:rFonts w:ascii="Arial" w:hAnsi="Arial" w:cs="Arial" w:eastAsia="Arial"/>
          <w:b/>
          <w:color w:val="000000"/>
          <w:sz w:val="22"/>
          <w:u w:val="none"/>
        </w:rPr>
        <w:t>Who they hire:</w:t>
      </w:r>
      <w:r>
        <w:rPr>
          <w:rFonts w:ascii="Arial" w:hAnsi="Arial" w:cs="Arial" w:eastAsia="Arial"/>
          <w:b w:val="0"/>
          <w:color w:val="000000"/>
          <w:sz w:val="22"/>
          <w:u w:val="none"/>
        </w:rPr>
        <w:t xml:space="preserve"> Roughly 600-800 US Associates per year.</w:t>
      </w:r>
    </w:p>
    <w:p>
      <w:pPr>
        <w:pStyle w:val="ListBullet"/>
        <w:spacing w:line="480" w:lineRule="auto" w:before="0" w:after="0"/>
      </w:pPr>
      <w:r>
        <w:rPr>
          <w:rFonts w:ascii="Arial" w:hAnsi="Arial" w:cs="Arial" w:eastAsia="Arial"/>
          <w:b/>
          <w:color w:val="000000"/>
          <w:sz w:val="22"/>
          <w:u w:val="none"/>
        </w:rPr>
        <w:t>Why apply:</w:t>
      </w:r>
      <w:r>
        <w:rPr>
          <w:rFonts w:ascii="Arial" w:hAnsi="Arial" w:cs="Arial" w:eastAsia="Arial"/>
          <w:b w:val="0"/>
          <w:color w:val="000000"/>
          <w:sz w:val="22"/>
          <w:u w:val="none"/>
        </w:rPr>
        <w:t xml:space="preserve"> Strongest digital, data science, and BCG X / GAMMA practices in MBB. Candidate-led case style closer to Bain than McKinsey (you drive the structure; the interviewer prompts less). Brainteaser-style sub-questions are more common at BCG than at the other two.</w:t>
      </w:r>
    </w:p>
    <w:p>
      <w:pPr>
        <w:spacing w:line="480" w:lineRule="auto" w:before="0" w:after="0"/>
      </w:pPr>
      <w:r>
        <w:rPr>
          <w:rFonts w:ascii="Arial" w:hAnsi="Arial" w:cs="Arial" w:eastAsia="Arial"/>
          <w:b w:val="0"/>
          <w:color w:val="000000"/>
          <w:sz w:val="22"/>
          <w:u w:val="none"/>
        </w:rPr>
        <w:t>BCG sits between McKinsey's rigor and Bain's collegiality on culture, and that middle position is the right fit for candidates who want intellectual freeform engagement without McKinsey's interviewer-led structure. The BCG X / GAMMA digital and AI practice is increasingly the strongest non-tech-firm digital seat available to undergrads.</w:t>
      </w:r>
    </w:p>
    <w:p>
      <w:pPr>
        <w:spacing w:line="480" w:lineRule="auto" w:before="0" w:after="0"/>
      </w:pPr>
      <w:r>
        <w:rPr>
          <w:rFonts w:ascii="Arial" w:hAnsi="Arial" w:cs="Arial" w:eastAsia="Arial"/>
          <w:b/>
          <w:color w:val="000000"/>
          <w:sz w:val="28"/>
          <w:u w:val="single"/>
        </w:rPr>
        <w:t xml:space="preserve">3. </w:t>
      </w:r>
      <w:hyperlink r:id="rId11">
        <w:r>
          <w:rPr>
            <w:rFonts w:ascii="Arial" w:hAnsi="Arial" w:cs="Arial" w:eastAsia="Arial"/>
            <w:sz w:val="28"/>
            <w:color w:val="0563C1"/>
            <w:u w:val="single"/>
            <w:b/>
          </w:rPr>
          <w:t xml:space="preserve">Bain &amp; Company</w:t>
        </w:r>
      </w:hyperlink>
    </w:p>
    <w:p>
      <w:pPr>
        <w:pStyle w:val="ListBullet"/>
        <w:spacing w:line="480" w:lineRule="auto" w:before="0" w:after="0"/>
      </w:pPr>
      <w:r>
        <w:rPr>
          <w:rFonts w:ascii="Arial" w:hAnsi="Arial" w:cs="Arial" w:eastAsia="Arial"/>
          <w:b/>
          <w:color w:val="000000"/>
          <w:sz w:val="22"/>
          <w:u w:val="none"/>
        </w:rPr>
        <w:t>Website:</w:t>
      </w:r>
      <w:r>
        <w:rPr>
          <w:rFonts w:ascii="Arial" w:hAnsi="Arial" w:cs="Arial" w:eastAsia="Arial"/>
          <w:b w:val="0"/>
          <w:color w:val="000000"/>
          <w:sz w:val="22"/>
          <w:u w:val="none"/>
        </w:rPr>
        <w:t xml:space="preserve"> bain.com/careers</w:t>
      </w:r>
    </w:p>
    <w:p>
      <w:pPr>
        <w:pStyle w:val="ListBullet"/>
        <w:spacing w:line="480" w:lineRule="auto" w:before="0" w:after="0"/>
      </w:pPr>
      <w:r>
        <w:rPr>
          <w:rFonts w:ascii="Arial" w:hAnsi="Arial" w:cs="Arial" w:eastAsia="Arial"/>
          <w:b/>
          <w:color w:val="000000"/>
          <w:sz w:val="22"/>
          <w:u w:val="none"/>
        </w:rPr>
        <w:t>Role:</w:t>
      </w:r>
      <w:r>
        <w:rPr>
          <w:rFonts w:ascii="Arial" w:hAnsi="Arial" w:cs="Arial" w:eastAsia="Arial"/>
          <w:b w:val="0"/>
          <w:color w:val="000000"/>
          <w:sz w:val="22"/>
          <w:u w:val="none"/>
        </w:rPr>
        <w:t xml:space="preserve"> Associate Consultant (AC). Associate Consultant Intern (ACI).</w:t>
      </w:r>
    </w:p>
    <w:p>
      <w:pPr>
        <w:pStyle w:val="ListBullet"/>
        <w:spacing w:line="480" w:lineRule="auto" w:before="0" w:after="0"/>
      </w:pPr>
      <w:r>
        <w:rPr>
          <w:rFonts w:ascii="Arial" w:hAnsi="Arial" w:cs="Arial" w:eastAsia="Arial"/>
          <w:b/>
          <w:color w:val="000000"/>
          <w:sz w:val="22"/>
          <w:u w:val="none"/>
        </w:rPr>
        <w:t>2026 cycle ACI deadline:</w:t>
      </w:r>
      <w:r>
        <w:rPr>
          <w:rFonts w:ascii="Arial" w:hAnsi="Arial" w:cs="Arial" w:eastAsia="Arial"/>
          <w:b w:val="0"/>
          <w:color w:val="000000"/>
          <w:sz w:val="22"/>
          <w:u w:val="none"/>
        </w:rPr>
        <w:t xml:space="preserve"> July 19, 2026 (the latest of the three MBB firms). Spring and fall windows explicit; Summer 2027 windows expected August-September 2026 onward. [VERIFY: confirm 2027 dates]</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Juniors graduating Spring 2028. 3.7+ effective GPA floor.</w:t>
      </w:r>
    </w:p>
    <w:p>
      <w:pPr>
        <w:pStyle w:val="ListBullet"/>
        <w:spacing w:line="480" w:lineRule="auto" w:before="0" w:after="0"/>
      </w:pPr>
      <w:r>
        <w:rPr>
          <w:rFonts w:ascii="Arial" w:hAnsi="Arial" w:cs="Arial" w:eastAsia="Arial"/>
          <w:b/>
          <w:color w:val="000000"/>
          <w:sz w:val="22"/>
          <w:u w:val="none"/>
        </w:rPr>
        <w:t>Who they hire:</w:t>
      </w:r>
      <w:r>
        <w:rPr>
          <w:rFonts w:ascii="Arial" w:hAnsi="Arial" w:cs="Arial" w:eastAsia="Arial"/>
          <w:b w:val="0"/>
          <w:color w:val="000000"/>
          <w:sz w:val="22"/>
          <w:u w:val="none"/>
        </w:rPr>
        <w:t xml:space="preserve"> Roughly 500-700 US ACs per year.</w:t>
      </w:r>
    </w:p>
    <w:p>
      <w:pPr>
        <w:pStyle w:val="ListBullet"/>
        <w:spacing w:line="480" w:lineRule="auto" w:before="0" w:after="0"/>
      </w:pPr>
      <w:r>
        <w:rPr>
          <w:rFonts w:ascii="Arial" w:hAnsi="Arial" w:cs="Arial" w:eastAsia="Arial"/>
          <w:b/>
          <w:color w:val="000000"/>
          <w:sz w:val="22"/>
          <w:u w:val="none"/>
        </w:rPr>
        <w:t>Why apply:</w:t>
      </w:r>
      <w:r>
        <w:rPr>
          <w:rFonts w:ascii="Arial" w:hAnsi="Arial" w:cs="Arial" w:eastAsia="Arial"/>
          <w:b w:val="0"/>
          <w:color w:val="000000"/>
          <w:sz w:val="22"/>
          <w:u w:val="none"/>
        </w:rPr>
        <w:t xml:space="preserve"> Strongest collegial culture in MBB. Most PE-adjacent of the three (Bain Capital and external PE clients drive significant deal-diligence engagement volume). Candidate-led case style with heavier emphasis on the "so what" synthesis closing than McKinsey.</w:t>
      </w:r>
    </w:p>
    <w:p>
      <w:pPr>
        <w:spacing w:line="480" w:lineRule="auto" w:before="0" w:after="0"/>
      </w:pPr>
      <w:r>
        <w:rPr>
          <w:rFonts w:ascii="Arial" w:hAnsi="Arial" w:cs="Arial" w:eastAsia="Arial"/>
          <w:b w:val="0"/>
          <w:color w:val="000000"/>
          <w:sz w:val="22"/>
          <w:u w:val="none"/>
        </w:rPr>
        <w:t>Bain attracts the candidate set with PE on the radar (the AC-to-Bain Capital pipeline is real and well-documented) and the candidate set who genuinely care about team culture. The downside: smaller US class size than McKinsey or BCG, so the seat is materially harder to win in absolute terms.</w:t>
      </w:r>
    </w:p>
    <w:p>
      <w:pPr>
        <w:spacing w:line="480" w:lineRule="auto" w:before="0" w:after="0"/>
      </w:pPr>
      <w:r>
        <w:rPr>
          <w:rFonts w:ascii="Arial" w:hAnsi="Arial" w:cs="Arial" w:eastAsia="Arial"/>
          <w:b/>
          <w:color w:val="000000"/>
          <w:sz w:val="36"/>
          <w:u w:val="none"/>
        </w:rPr>
        <w:t>Tier 2 strategy firms</w:t>
      </w:r>
    </w:p>
    <w:p>
      <w:pPr>
        <w:spacing w:line="480" w:lineRule="auto" w:before="0" w:after="0"/>
      </w:pPr>
      <w:r>
        <w:rPr>
          <w:rFonts w:ascii="Arial" w:hAnsi="Arial" w:cs="Arial" w:eastAsia="Arial"/>
          <w:b w:val="0"/>
          <w:color w:val="000000"/>
          <w:sz w:val="22"/>
          <w:u w:val="none"/>
        </w:rPr>
        <w:t>These four firms compete with MBB on the same engagement types and pay within 5-10% of MBB base. The brand discount shows up at the bottom of the performance curve, not at the top.</w:t>
      </w:r>
    </w:p>
    <w:p>
      <w:pPr>
        <w:spacing w:line="480" w:lineRule="auto" w:before="0" w:after="0"/>
      </w:pPr>
      <w:r>
        <w:rPr>
          <w:rFonts w:ascii="Arial" w:hAnsi="Arial" w:cs="Arial" w:eastAsia="Arial"/>
          <w:b/>
          <w:color w:val="000000"/>
          <w:sz w:val="28"/>
          <w:u w:val="single"/>
        </w:rPr>
        <w:t xml:space="preserve">4. </w:t>
      </w:r>
      <w:hyperlink r:id="rId12">
        <w:r>
          <w:rPr>
            <w:rFonts w:ascii="Arial" w:hAnsi="Arial" w:cs="Arial" w:eastAsia="Arial"/>
            <w:sz w:val="28"/>
            <w:color w:val="0563C1"/>
            <w:u w:val="single"/>
            <w:b/>
          </w:rPr>
          <w:t xml:space="preserve">Oliver Wyman</w:t>
        </w:r>
      </w:hyperlink>
    </w:p>
    <w:p>
      <w:pPr>
        <w:pStyle w:val="ListBullet"/>
        <w:spacing w:line="480" w:lineRule="auto" w:before="0" w:after="0"/>
      </w:pPr>
      <w:r>
        <w:rPr>
          <w:rFonts w:ascii="Arial" w:hAnsi="Arial" w:cs="Arial" w:eastAsia="Arial"/>
          <w:b/>
          <w:color w:val="000000"/>
          <w:sz w:val="22"/>
          <w:u w:val="none"/>
        </w:rPr>
        <w:t>Website:</w:t>
      </w:r>
      <w:r>
        <w:rPr>
          <w:rFonts w:ascii="Arial" w:hAnsi="Arial" w:cs="Arial" w:eastAsia="Arial"/>
          <w:b w:val="0"/>
          <w:color w:val="000000"/>
          <w:sz w:val="22"/>
          <w:u w:val="none"/>
        </w:rPr>
        <w:t xml:space="preserve"> oliverwyman.com/careers</w:t>
      </w:r>
    </w:p>
    <w:p>
      <w:pPr>
        <w:pStyle w:val="ListBullet"/>
        <w:spacing w:line="480" w:lineRule="auto" w:before="0" w:after="0"/>
      </w:pPr>
      <w:r>
        <w:rPr>
          <w:rFonts w:ascii="Arial" w:hAnsi="Arial" w:cs="Arial" w:eastAsia="Arial"/>
          <w:b/>
          <w:color w:val="000000"/>
          <w:sz w:val="22"/>
          <w:u w:val="none"/>
        </w:rPr>
        <w:t>Role:</w:t>
      </w:r>
      <w:r>
        <w:rPr>
          <w:rFonts w:ascii="Arial" w:hAnsi="Arial" w:cs="Arial" w:eastAsia="Arial"/>
          <w:b w:val="0"/>
          <w:color w:val="000000"/>
          <w:sz w:val="22"/>
          <w:u w:val="none"/>
        </w:rPr>
        <w:t xml:space="preserve"> Consultant. Summer Consultant.</w:t>
      </w:r>
    </w:p>
    <w:p>
      <w:pPr>
        <w:pStyle w:val="ListBullet"/>
        <w:spacing w:line="480" w:lineRule="auto" w:before="0" w:after="0"/>
      </w:pPr>
      <w:r>
        <w:rPr>
          <w:rFonts w:ascii="Arial" w:hAnsi="Arial" w:cs="Arial" w:eastAsia="Arial"/>
          <w:b/>
          <w:color w:val="000000"/>
          <w:sz w:val="22"/>
          <w:u w:val="none"/>
        </w:rPr>
        <w:t>Owned by:</w:t>
      </w:r>
      <w:r>
        <w:rPr>
          <w:rFonts w:ascii="Arial" w:hAnsi="Arial" w:cs="Arial" w:eastAsia="Arial"/>
          <w:b w:val="0"/>
          <w:color w:val="000000"/>
          <w:sz w:val="22"/>
          <w:u w:val="none"/>
        </w:rPr>
        <w:t xml:space="preserve"> Marsh McLennan (NYSE: MMC).</w:t>
      </w:r>
    </w:p>
    <w:p>
      <w:pPr>
        <w:pStyle w:val="ListBullet"/>
        <w:spacing w:line="480" w:lineRule="auto" w:before="0" w:after="0"/>
      </w:pPr>
      <w:r>
        <w:rPr>
          <w:rFonts w:ascii="Arial" w:hAnsi="Arial" w:cs="Arial" w:eastAsia="Arial"/>
          <w:b/>
          <w:color w:val="000000"/>
          <w:sz w:val="22"/>
          <w:u w:val="none"/>
        </w:rPr>
        <w:t>2026 cycle deadline:</w:t>
      </w:r>
      <w:r>
        <w:rPr>
          <w:rFonts w:ascii="Arial" w:hAnsi="Arial" w:cs="Arial" w:eastAsia="Arial"/>
          <w:b w:val="0"/>
          <w:color w:val="000000"/>
          <w:sz w:val="22"/>
          <w:u w:val="none"/>
        </w:rPr>
        <w:t xml:space="preserve"> Historically late summer / fall window. Verify current. [VERIFY: confirm 2027 dates on oliverwyman.com/careers]</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Juniors graduating Spring 2028.</w:t>
      </w:r>
    </w:p>
    <w:p>
      <w:pPr>
        <w:pStyle w:val="ListBullet"/>
        <w:spacing w:line="480" w:lineRule="auto" w:before="0" w:after="0"/>
      </w:pPr>
      <w:r>
        <w:rPr>
          <w:rFonts w:ascii="Arial" w:hAnsi="Arial" w:cs="Arial" w:eastAsia="Arial"/>
          <w:b/>
          <w:color w:val="000000"/>
          <w:sz w:val="22"/>
          <w:u w:val="none"/>
        </w:rPr>
        <w:t>Who they hire:</w:t>
      </w:r>
      <w:r>
        <w:rPr>
          <w:rFonts w:ascii="Arial" w:hAnsi="Arial" w:cs="Arial" w:eastAsia="Arial"/>
          <w:b w:val="0"/>
          <w:color w:val="000000"/>
          <w:sz w:val="22"/>
          <w:u w:val="none"/>
        </w:rPr>
        <w:t xml:space="preserve"> Roughly 500-700 entry-level globally per year. The Financial Services practice runs a separate, premium-comp track.</w:t>
      </w:r>
    </w:p>
    <w:p>
      <w:pPr>
        <w:pStyle w:val="ListBullet"/>
        <w:spacing w:line="480" w:lineRule="auto" w:before="0" w:after="0"/>
      </w:pPr>
      <w:r>
        <w:rPr>
          <w:rFonts w:ascii="Arial" w:hAnsi="Arial" w:cs="Arial" w:eastAsia="Arial"/>
          <w:b/>
          <w:color w:val="000000"/>
          <w:sz w:val="22"/>
          <w:u w:val="none"/>
        </w:rPr>
        <w:t>Why apply:</w:t>
      </w:r>
      <w:r>
        <w:rPr>
          <w:rFonts w:ascii="Arial" w:hAnsi="Arial" w:cs="Arial" w:eastAsia="Arial"/>
          <w:b w:val="0"/>
          <w:color w:val="000000"/>
          <w:sz w:val="22"/>
          <w:u w:val="none"/>
        </w:rPr>
        <w:t xml:space="preserve"> Strongest financial services consulting practice on the street. OW Financial Services pays a meaningful premium over the rest of the firm and over MBB Financial Services practice equivalents. Case style is candidate-led, with above-average quantitative emphasis.</w:t>
      </w:r>
    </w:p>
    <w:p>
      <w:pPr>
        <w:spacing w:line="480" w:lineRule="auto" w:before="0" w:after="0"/>
      </w:pPr>
      <w:r>
        <w:rPr>
          <w:rFonts w:ascii="Arial" w:hAnsi="Arial" w:cs="Arial" w:eastAsia="Arial"/>
          <w:b w:val="0"/>
          <w:color w:val="000000"/>
          <w:sz w:val="22"/>
          <w:u w:val="none"/>
        </w:rPr>
        <w:t>OW is the right fit for candidates focused on financial services, actuarial work, risk, transportation, or aerospace and defense. Outside those verticals the case for OW over MBB is thinner; inside them OW is often the stronger seat.</w:t>
      </w:r>
    </w:p>
    <w:p>
      <w:pPr>
        <w:spacing w:line="480" w:lineRule="auto" w:before="0" w:after="0"/>
      </w:pPr>
      <w:r>
        <w:rPr>
          <w:rFonts w:ascii="Arial" w:hAnsi="Arial" w:cs="Arial" w:eastAsia="Arial"/>
          <w:b/>
          <w:color w:val="000000"/>
          <w:sz w:val="28"/>
          <w:u w:val="single"/>
        </w:rPr>
        <w:t xml:space="preserve">5. </w:t>
      </w:r>
      <w:hyperlink r:id="rId13">
        <w:r>
          <w:rPr>
            <w:rFonts w:ascii="Arial" w:hAnsi="Arial" w:cs="Arial" w:eastAsia="Arial"/>
            <w:sz w:val="28"/>
            <w:color w:val="0563C1"/>
            <w:u w:val="single"/>
            <w:b/>
          </w:rPr>
          <w:t xml:space="preserve">Strategy&amp; (PwC)</w:t>
        </w:r>
      </w:hyperlink>
    </w:p>
    <w:p>
      <w:pPr>
        <w:pStyle w:val="ListBullet"/>
        <w:spacing w:line="480" w:lineRule="auto" w:before="0" w:after="0"/>
      </w:pPr>
      <w:r>
        <w:rPr>
          <w:rFonts w:ascii="Arial" w:hAnsi="Arial" w:cs="Arial" w:eastAsia="Arial"/>
          <w:b/>
          <w:color w:val="000000"/>
          <w:sz w:val="22"/>
          <w:u w:val="none"/>
        </w:rPr>
        <w:t>Website:</w:t>
      </w:r>
      <w:r>
        <w:rPr>
          <w:rFonts w:ascii="Arial" w:hAnsi="Arial" w:cs="Arial" w:eastAsia="Arial"/>
          <w:b w:val="0"/>
          <w:color w:val="000000"/>
          <w:sz w:val="22"/>
          <w:u w:val="none"/>
        </w:rPr>
        <w:t xml:space="preserve"> strategyand.pwc.com</w:t>
      </w:r>
    </w:p>
    <w:p>
      <w:pPr>
        <w:pStyle w:val="ListBullet"/>
        <w:spacing w:line="480" w:lineRule="auto" w:before="0" w:after="0"/>
      </w:pPr>
      <w:r>
        <w:rPr>
          <w:rFonts w:ascii="Arial" w:hAnsi="Arial" w:cs="Arial" w:eastAsia="Arial"/>
          <w:b/>
          <w:color w:val="000000"/>
          <w:sz w:val="22"/>
          <w:u w:val="none"/>
        </w:rPr>
        <w:t>Role:</w:t>
      </w:r>
      <w:r>
        <w:rPr>
          <w:rFonts w:ascii="Arial" w:hAnsi="Arial" w:cs="Arial" w:eastAsia="Arial"/>
          <w:b w:val="0"/>
          <w:color w:val="000000"/>
          <w:sz w:val="22"/>
          <w:u w:val="none"/>
        </w:rPr>
        <w:t xml:space="preserve"> Associate. Summer Associate.</w:t>
      </w:r>
    </w:p>
    <w:p>
      <w:pPr>
        <w:pStyle w:val="ListBullet"/>
        <w:spacing w:line="480" w:lineRule="auto" w:before="0" w:after="0"/>
      </w:pPr>
      <w:r>
        <w:rPr>
          <w:rFonts w:ascii="Arial" w:hAnsi="Arial" w:cs="Arial" w:eastAsia="Arial"/>
          <w:b/>
          <w:color w:val="000000"/>
          <w:sz w:val="22"/>
          <w:u w:val="none"/>
        </w:rPr>
        <w:t>Owned by:</w:t>
      </w:r>
      <w:r>
        <w:rPr>
          <w:rFonts w:ascii="Arial" w:hAnsi="Arial" w:cs="Arial" w:eastAsia="Arial"/>
          <w:b w:val="0"/>
          <w:color w:val="000000"/>
          <w:sz w:val="22"/>
          <w:u w:val="none"/>
        </w:rPr>
        <w:t xml:space="preserve"> PwC (acquired Booz &amp; Company in 2014; Booz heritage dates to 1914).</w:t>
      </w:r>
    </w:p>
    <w:p>
      <w:pPr>
        <w:pStyle w:val="ListBullet"/>
        <w:spacing w:line="480" w:lineRule="auto" w:before="0" w:after="0"/>
      </w:pPr>
      <w:r>
        <w:rPr>
          <w:rFonts w:ascii="Arial" w:hAnsi="Arial" w:cs="Arial" w:eastAsia="Arial"/>
          <w:b/>
          <w:color w:val="000000"/>
          <w:sz w:val="22"/>
          <w:u w:val="none"/>
        </w:rPr>
        <w:t>2026 cycle deadline:</w:t>
      </w:r>
      <w:r>
        <w:rPr>
          <w:rFonts w:ascii="Arial" w:hAnsi="Arial" w:cs="Arial" w:eastAsia="Arial"/>
          <w:b w:val="0"/>
          <w:color w:val="000000"/>
          <w:sz w:val="22"/>
          <w:u w:val="none"/>
        </w:rPr>
        <w:t xml:space="preserve"> Rolling through fall. [VERIFY: confirm 2027 dates]</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Juniors graduating Spring 2028.</w:t>
      </w:r>
    </w:p>
    <w:p>
      <w:pPr>
        <w:pStyle w:val="ListBullet"/>
        <w:spacing w:line="480" w:lineRule="auto" w:before="0" w:after="0"/>
      </w:pPr>
      <w:r>
        <w:rPr>
          <w:rFonts w:ascii="Arial" w:hAnsi="Arial" w:cs="Arial" w:eastAsia="Arial"/>
          <w:b/>
          <w:color w:val="000000"/>
          <w:sz w:val="22"/>
          <w:u w:val="none"/>
        </w:rPr>
        <w:t>Who they hire:</w:t>
      </w:r>
      <w:r>
        <w:rPr>
          <w:rFonts w:ascii="Arial" w:hAnsi="Arial" w:cs="Arial" w:eastAsia="Arial"/>
          <w:b w:val="0"/>
          <w:color w:val="000000"/>
          <w:sz w:val="22"/>
          <w:u w:val="none"/>
        </w:rPr>
        <w:t xml:space="preserve"> ~3,500 dedicated strategy consultants globally; meaningful US undergrad class.</w:t>
      </w:r>
    </w:p>
    <w:p>
      <w:pPr>
        <w:pStyle w:val="ListBullet"/>
        <w:spacing w:line="480" w:lineRule="auto" w:before="0" w:after="0"/>
      </w:pPr>
      <w:r>
        <w:rPr>
          <w:rFonts w:ascii="Arial" w:hAnsi="Arial" w:cs="Arial" w:eastAsia="Arial"/>
          <w:b/>
          <w:color w:val="000000"/>
          <w:sz w:val="22"/>
          <w:u w:val="none"/>
        </w:rPr>
        <w:t>Why apply:</w:t>
      </w:r>
      <w:r>
        <w:rPr>
          <w:rFonts w:ascii="Arial" w:hAnsi="Arial" w:cs="Arial" w:eastAsia="Arial"/>
          <w:b w:val="0"/>
          <w:color w:val="000000"/>
          <w:sz w:val="22"/>
          <w:u w:val="none"/>
        </w:rPr>
        <w:t xml:space="preserve"> Strategy&amp; deal-advisory work is closely paired with PwC's deals practice, giving a clearer M&amp;A-adjacent track than pure-strategy firms. Compensation within 5-10% of MBB base.</w:t>
      </w:r>
    </w:p>
    <w:p>
      <w:pPr>
        <w:spacing w:line="480" w:lineRule="auto" w:before="0" w:after="0"/>
      </w:pPr>
      <w:r>
        <w:rPr>
          <w:rFonts w:ascii="Arial" w:hAnsi="Arial" w:cs="Arial" w:eastAsia="Arial"/>
          <w:b w:val="0"/>
          <w:color w:val="000000"/>
          <w:sz w:val="22"/>
          <w:u w:val="none"/>
        </w:rPr>
        <w:t>Strategy&amp; is the strongest tier-2 fit for candidates who want strategy work but also want option-value on PE or corporate development. The PwC umbrella brand carries less weight inside consulting circles than the firm's actual engagement profile suggests.</w:t>
      </w:r>
    </w:p>
    <w:p>
      <w:pPr>
        <w:spacing w:line="480" w:lineRule="auto" w:before="0" w:after="0"/>
      </w:pPr>
      <w:r>
        <w:rPr>
          <w:rFonts w:ascii="Arial" w:hAnsi="Arial" w:cs="Arial" w:eastAsia="Arial"/>
          <w:b/>
          <w:color w:val="000000"/>
          <w:sz w:val="28"/>
          <w:u w:val="single"/>
        </w:rPr>
        <w:t xml:space="preserve">6. </w:t>
      </w:r>
      <w:hyperlink r:id="rId14">
        <w:r>
          <w:rPr>
            <w:rFonts w:ascii="Arial" w:hAnsi="Arial" w:cs="Arial" w:eastAsia="Arial"/>
            <w:sz w:val="28"/>
            <w:color w:val="0563C1"/>
            <w:u w:val="single"/>
            <w:b/>
          </w:rPr>
          <w:t xml:space="preserve">L.E.K. Consulting</w:t>
        </w:r>
      </w:hyperlink>
    </w:p>
    <w:p>
      <w:pPr>
        <w:pStyle w:val="ListBullet"/>
        <w:spacing w:line="480" w:lineRule="auto" w:before="0" w:after="0"/>
      </w:pPr>
      <w:r>
        <w:rPr>
          <w:rFonts w:ascii="Arial" w:hAnsi="Arial" w:cs="Arial" w:eastAsia="Arial"/>
          <w:b/>
          <w:color w:val="000000"/>
          <w:sz w:val="22"/>
          <w:u w:val="none"/>
        </w:rPr>
        <w:t>Website:</w:t>
      </w:r>
      <w:r>
        <w:rPr>
          <w:rFonts w:ascii="Arial" w:hAnsi="Arial" w:cs="Arial" w:eastAsia="Arial"/>
          <w:b w:val="0"/>
          <w:color w:val="000000"/>
          <w:sz w:val="22"/>
          <w:u w:val="none"/>
        </w:rPr>
        <w:t xml:space="preserve"> lek.com/careers</w:t>
      </w:r>
    </w:p>
    <w:p>
      <w:pPr>
        <w:pStyle w:val="ListBullet"/>
        <w:spacing w:line="480" w:lineRule="auto" w:before="0" w:after="0"/>
      </w:pPr>
      <w:r>
        <w:rPr>
          <w:rFonts w:ascii="Arial" w:hAnsi="Arial" w:cs="Arial" w:eastAsia="Arial"/>
          <w:b/>
          <w:color w:val="000000"/>
          <w:sz w:val="22"/>
          <w:u w:val="none"/>
        </w:rPr>
        <w:t>Role:</w:t>
      </w:r>
      <w:r>
        <w:rPr>
          <w:rFonts w:ascii="Arial" w:hAnsi="Arial" w:cs="Arial" w:eastAsia="Arial"/>
          <w:b w:val="0"/>
          <w:color w:val="000000"/>
          <w:sz w:val="22"/>
          <w:u w:val="none"/>
        </w:rPr>
        <w:t xml:space="preserve"> Associate. Summer Associate.</w:t>
      </w:r>
    </w:p>
    <w:p>
      <w:pPr>
        <w:pStyle w:val="ListBullet"/>
        <w:spacing w:line="480" w:lineRule="auto" w:before="0" w:after="0"/>
      </w:pPr>
      <w:r>
        <w:rPr>
          <w:rFonts w:ascii="Arial" w:hAnsi="Arial" w:cs="Arial" w:eastAsia="Arial"/>
          <w:b/>
          <w:color w:val="000000"/>
          <w:sz w:val="22"/>
          <w:u w:val="none"/>
        </w:rPr>
        <w:t>2026 cycle deadline:</w:t>
      </w:r>
      <w:r>
        <w:rPr>
          <w:rFonts w:ascii="Arial" w:hAnsi="Arial" w:cs="Arial" w:eastAsia="Arial"/>
          <w:b w:val="0"/>
          <w:color w:val="000000"/>
          <w:sz w:val="22"/>
          <w:u w:val="none"/>
        </w:rPr>
        <w:t xml:space="preserve"> Verify on firm careers page. [VERIFY]</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Juniors graduating Spring 2028.</w:t>
      </w:r>
    </w:p>
    <w:p>
      <w:pPr>
        <w:pStyle w:val="ListBullet"/>
        <w:spacing w:line="480" w:lineRule="auto" w:before="0" w:after="0"/>
      </w:pPr>
      <w:r>
        <w:rPr>
          <w:rFonts w:ascii="Arial" w:hAnsi="Arial" w:cs="Arial" w:eastAsia="Arial"/>
          <w:b/>
          <w:color w:val="000000"/>
          <w:sz w:val="22"/>
          <w:u w:val="none"/>
        </w:rPr>
        <w:t>Who they hire:</w:t>
      </w:r>
      <w:r>
        <w:rPr>
          <w:rFonts w:ascii="Arial" w:hAnsi="Arial" w:cs="Arial" w:eastAsia="Arial"/>
          <w:b w:val="0"/>
          <w:color w:val="000000"/>
          <w:sz w:val="22"/>
          <w:u w:val="none"/>
        </w:rPr>
        <w:t xml:space="preserve"> ~2,000 globally; meaningful US undergrad class.</w:t>
      </w:r>
    </w:p>
    <w:p>
      <w:pPr>
        <w:pStyle w:val="ListBullet"/>
        <w:spacing w:line="480" w:lineRule="auto" w:before="0" w:after="0"/>
      </w:pPr>
      <w:r>
        <w:rPr>
          <w:rFonts w:ascii="Arial" w:hAnsi="Arial" w:cs="Arial" w:eastAsia="Arial"/>
          <w:b/>
          <w:color w:val="000000"/>
          <w:sz w:val="22"/>
          <w:u w:val="none"/>
        </w:rPr>
        <w:t>Why apply:</w:t>
      </w:r>
      <w:r>
        <w:rPr>
          <w:rFonts w:ascii="Arial" w:hAnsi="Arial" w:cs="Arial" w:eastAsia="Arial"/>
          <w:b w:val="0"/>
          <w:color w:val="000000"/>
          <w:sz w:val="22"/>
          <w:u w:val="none"/>
        </w:rPr>
        <w:t xml:space="preserve"> Strongest life sciences consulting practice in tier 2 (the practice rivals the dedicated life-sciences boutiques). Heavy PE-side commercial due diligence engagement volume; analysts get repeated CDD reps that mirror PE associate workflows.</w:t>
      </w:r>
    </w:p>
    <w:p>
      <w:pPr>
        <w:spacing w:line="480" w:lineRule="auto" w:before="0" w:after="0"/>
      </w:pPr>
      <w:r>
        <w:rPr>
          <w:rFonts w:ascii="Arial" w:hAnsi="Arial" w:cs="Arial" w:eastAsia="Arial"/>
          <w:b w:val="0"/>
          <w:color w:val="000000"/>
          <w:sz w:val="22"/>
          <w:u w:val="none"/>
        </w:rPr>
        <w:t>L.E.K. is the right fit for candidates with life-sciences interest, PE-on-the-radar, or both. Founded in 1983 by three former Bain partners (Iain Evans, Richard Koch, James Lawrence). The firm's Bain DNA shows up in the case-interview style and exit profile.</w:t>
      </w:r>
    </w:p>
    <w:p>
      <w:pPr>
        <w:spacing w:line="480" w:lineRule="auto" w:before="0" w:after="0"/>
      </w:pPr>
      <w:r>
        <w:rPr>
          <w:rFonts w:ascii="Arial" w:hAnsi="Arial" w:cs="Arial" w:eastAsia="Arial"/>
          <w:b/>
          <w:color w:val="000000"/>
          <w:sz w:val="28"/>
          <w:u w:val="single"/>
        </w:rPr>
        <w:t xml:space="preserve">7. </w:t>
      </w:r>
      <w:hyperlink r:id="rId15">
        <w:r>
          <w:rPr>
            <w:rFonts w:ascii="Arial" w:hAnsi="Arial" w:cs="Arial" w:eastAsia="Arial"/>
            <w:sz w:val="28"/>
            <w:color w:val="0563C1"/>
            <w:u w:val="single"/>
            <w:b/>
          </w:rPr>
          <w:t xml:space="preserve">Kearney (A.T. Kearney)</w:t>
        </w:r>
      </w:hyperlink>
    </w:p>
    <w:p>
      <w:pPr>
        <w:pStyle w:val="ListBullet"/>
        <w:spacing w:line="480" w:lineRule="auto" w:before="0" w:after="0"/>
      </w:pPr>
      <w:r>
        <w:rPr>
          <w:rFonts w:ascii="Arial" w:hAnsi="Arial" w:cs="Arial" w:eastAsia="Arial"/>
          <w:b/>
          <w:color w:val="000000"/>
          <w:sz w:val="22"/>
          <w:u w:val="none"/>
        </w:rPr>
        <w:t>Website:</w:t>
      </w:r>
      <w:r>
        <w:rPr>
          <w:rFonts w:ascii="Arial" w:hAnsi="Arial" w:cs="Arial" w:eastAsia="Arial"/>
          <w:b w:val="0"/>
          <w:color w:val="000000"/>
          <w:sz w:val="22"/>
          <w:u w:val="none"/>
        </w:rPr>
        <w:t xml:space="preserve"> kearney.com/careers</w:t>
      </w:r>
    </w:p>
    <w:p>
      <w:pPr>
        <w:pStyle w:val="ListBullet"/>
        <w:spacing w:line="480" w:lineRule="auto" w:before="0" w:after="0"/>
      </w:pPr>
      <w:r>
        <w:rPr>
          <w:rFonts w:ascii="Arial" w:hAnsi="Arial" w:cs="Arial" w:eastAsia="Arial"/>
          <w:b/>
          <w:color w:val="000000"/>
          <w:sz w:val="22"/>
          <w:u w:val="none"/>
        </w:rPr>
        <w:t>Role:</w:t>
      </w:r>
      <w:r>
        <w:rPr>
          <w:rFonts w:ascii="Arial" w:hAnsi="Arial" w:cs="Arial" w:eastAsia="Arial"/>
          <w:b w:val="0"/>
          <w:color w:val="000000"/>
          <w:sz w:val="22"/>
          <w:u w:val="none"/>
        </w:rPr>
        <w:t xml:space="preserve"> Business Analyst. Summer Business Analyst.</w:t>
      </w:r>
    </w:p>
    <w:p>
      <w:pPr>
        <w:pStyle w:val="ListBullet"/>
        <w:spacing w:line="480" w:lineRule="auto" w:before="0" w:after="0"/>
      </w:pPr>
      <w:r>
        <w:rPr>
          <w:rFonts w:ascii="Arial" w:hAnsi="Arial" w:cs="Arial" w:eastAsia="Arial"/>
          <w:b/>
          <w:color w:val="000000"/>
          <w:sz w:val="22"/>
          <w:u w:val="none"/>
        </w:rPr>
        <w:t>2026 cycle deadline:</w:t>
      </w:r>
      <w:r>
        <w:rPr>
          <w:rFonts w:ascii="Arial" w:hAnsi="Arial" w:cs="Arial" w:eastAsia="Arial"/>
          <w:b w:val="0"/>
          <w:color w:val="000000"/>
          <w:sz w:val="22"/>
          <w:u w:val="none"/>
        </w:rPr>
        <w:t xml:space="preserve"> Verify on firm careers page. [VERIFY]</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Juniors graduating Spring 2028.</w:t>
      </w:r>
    </w:p>
    <w:p>
      <w:pPr>
        <w:pStyle w:val="ListBullet"/>
        <w:spacing w:line="480" w:lineRule="auto" w:before="0" w:after="0"/>
      </w:pPr>
      <w:r>
        <w:rPr>
          <w:rFonts w:ascii="Arial" w:hAnsi="Arial" w:cs="Arial" w:eastAsia="Arial"/>
          <w:b/>
          <w:color w:val="000000"/>
          <w:sz w:val="22"/>
          <w:u w:val="none"/>
        </w:rPr>
        <w:t>Who they hire:</w:t>
      </w:r>
      <w:r>
        <w:rPr>
          <w:rFonts w:ascii="Arial" w:hAnsi="Arial" w:cs="Arial" w:eastAsia="Arial"/>
          <w:b w:val="0"/>
          <w:color w:val="000000"/>
          <w:sz w:val="22"/>
          <w:u w:val="none"/>
        </w:rPr>
        <w:t xml:space="preserve"> ~4,500 globally; meaningful US class.</w:t>
      </w:r>
    </w:p>
    <w:p>
      <w:pPr>
        <w:pStyle w:val="ListBullet"/>
        <w:spacing w:line="480" w:lineRule="auto" w:before="0" w:after="0"/>
      </w:pPr>
      <w:r>
        <w:rPr>
          <w:rFonts w:ascii="Arial" w:hAnsi="Arial" w:cs="Arial" w:eastAsia="Arial"/>
          <w:b/>
          <w:color w:val="000000"/>
          <w:sz w:val="22"/>
          <w:u w:val="none"/>
        </w:rPr>
        <w:t>Why apply:</w:t>
      </w:r>
      <w:r>
        <w:rPr>
          <w:rFonts w:ascii="Arial" w:hAnsi="Arial" w:cs="Arial" w:eastAsia="Arial"/>
          <w:b w:val="0"/>
          <w:color w:val="000000"/>
          <w:sz w:val="22"/>
          <w:u w:val="none"/>
        </w:rPr>
        <w:t xml:space="preserve"> Strongest operations and procurement consulting practice on the street. Founded in 1926 by Andrew Thomas Kearney (formerly a McKinsey partner). Comp within 5-10% of MBB base.</w:t>
      </w:r>
    </w:p>
    <w:p>
      <w:pPr>
        <w:spacing w:line="480" w:lineRule="auto" w:before="0" w:after="0"/>
      </w:pPr>
      <w:r>
        <w:rPr>
          <w:rFonts w:ascii="Arial" w:hAnsi="Arial" w:cs="Arial" w:eastAsia="Arial"/>
          <w:b w:val="0"/>
          <w:color w:val="000000"/>
          <w:sz w:val="22"/>
          <w:u w:val="none"/>
        </w:rPr>
        <w:t>Kearney is the right fit for candidates with operations, supply chain, or procurement interest. The operations focus is the strength and the limitation: if you want pure strategy work, Kearney is narrower than its tier-2 peers.</w:t>
      </w:r>
    </w:p>
    <w:p>
      <w:pPr>
        <w:spacing w:line="480" w:lineRule="auto" w:before="0" w:after="0"/>
      </w:pPr>
      <w:r>
        <w:rPr>
          <w:rFonts w:ascii="Arial" w:hAnsi="Arial" w:cs="Arial" w:eastAsia="Arial"/>
          <w:b/>
          <w:color w:val="000000"/>
          <w:sz w:val="36"/>
          <w:u w:val="none"/>
        </w:rPr>
        <w:t>Big 4 strategy practices</w:t>
      </w:r>
    </w:p>
    <w:p>
      <w:pPr>
        <w:spacing w:line="480" w:lineRule="auto" w:before="0" w:after="0"/>
      </w:pPr>
      <w:r>
        <w:rPr>
          <w:rFonts w:ascii="Arial" w:hAnsi="Arial" w:cs="Arial" w:eastAsia="Arial"/>
          <w:b w:val="0"/>
          <w:color w:val="000000"/>
          <w:sz w:val="22"/>
          <w:u w:val="none"/>
        </w:rPr>
        <w:t>These three firms run dedicated strategy arms inside larger Big 4 advisory umbrellas. Class sizes are materially larger than MBB, and the PE diligence pipelines are real.</w:t>
      </w:r>
    </w:p>
    <w:p>
      <w:pPr>
        <w:spacing w:line="480" w:lineRule="auto" w:before="0" w:after="0"/>
      </w:pPr>
      <w:r>
        <w:rPr>
          <w:rFonts w:ascii="Arial" w:hAnsi="Arial" w:cs="Arial" w:eastAsia="Arial"/>
          <w:b/>
          <w:color w:val="000000"/>
          <w:sz w:val="28"/>
          <w:u w:val="single"/>
        </w:rPr>
        <w:t xml:space="preserve">8. </w:t>
      </w:r>
      <w:hyperlink r:id="rId16">
        <w:r>
          <w:rPr>
            <w:rFonts w:ascii="Arial" w:hAnsi="Arial" w:cs="Arial" w:eastAsia="Arial"/>
            <w:sz w:val="28"/>
            <w:color w:val="0563C1"/>
            <w:u w:val="single"/>
            <w:b/>
          </w:rPr>
          <w:t xml:space="preserve">Monitor Deloitte</w:t>
        </w:r>
      </w:hyperlink>
    </w:p>
    <w:p>
      <w:pPr>
        <w:pStyle w:val="ListBullet"/>
        <w:spacing w:line="480" w:lineRule="auto" w:before="0" w:after="0"/>
      </w:pPr>
      <w:r>
        <w:rPr>
          <w:rFonts w:ascii="Arial" w:hAnsi="Arial" w:cs="Arial" w:eastAsia="Arial"/>
          <w:b/>
          <w:color w:val="000000"/>
          <w:sz w:val="22"/>
          <w:u w:val="none"/>
        </w:rPr>
        <w:t>Website:</w:t>
      </w:r>
      <w:r>
        <w:rPr>
          <w:rFonts w:ascii="Arial" w:hAnsi="Arial" w:cs="Arial" w:eastAsia="Arial"/>
          <w:b w:val="0"/>
          <w:color w:val="000000"/>
          <w:sz w:val="22"/>
          <w:u w:val="none"/>
        </w:rPr>
        <w:t xml:space="preserve"> deloitte.com/us/en/pages/careers</w:t>
      </w:r>
    </w:p>
    <w:p>
      <w:pPr>
        <w:pStyle w:val="ListBullet"/>
        <w:spacing w:line="480" w:lineRule="auto" w:before="0" w:after="0"/>
      </w:pPr>
      <w:r>
        <w:rPr>
          <w:rFonts w:ascii="Arial" w:hAnsi="Arial" w:cs="Arial" w:eastAsia="Arial"/>
          <w:b/>
          <w:color w:val="000000"/>
          <w:sz w:val="22"/>
          <w:u w:val="none"/>
        </w:rPr>
        <w:t>Role:</w:t>
      </w:r>
      <w:r>
        <w:rPr>
          <w:rFonts w:ascii="Arial" w:hAnsi="Arial" w:cs="Arial" w:eastAsia="Arial"/>
          <w:b w:val="0"/>
          <w:color w:val="000000"/>
          <w:sz w:val="22"/>
          <w:u w:val="none"/>
        </w:rPr>
        <w:t xml:space="preserve"> Business Analyst (Monitor Deloitte BA). Summer Business Analyst.</w:t>
      </w:r>
    </w:p>
    <w:p>
      <w:pPr>
        <w:pStyle w:val="ListBullet"/>
        <w:spacing w:line="480" w:lineRule="auto" w:before="0" w:after="0"/>
      </w:pPr>
      <w:r>
        <w:rPr>
          <w:rFonts w:ascii="Arial" w:hAnsi="Arial" w:cs="Arial" w:eastAsia="Arial"/>
          <w:b/>
          <w:color w:val="000000"/>
          <w:sz w:val="22"/>
          <w:u w:val="none"/>
        </w:rPr>
        <w:t>Origin:</w:t>
      </w:r>
      <w:r>
        <w:rPr>
          <w:rFonts w:ascii="Arial" w:hAnsi="Arial" w:cs="Arial" w:eastAsia="Arial"/>
          <w:b w:val="0"/>
          <w:color w:val="000000"/>
          <w:sz w:val="22"/>
          <w:u w:val="none"/>
        </w:rPr>
        <w:t xml:space="preserve"> Monitor Group founded 1983 by Mark Fuller and Michael Porter; acquired by Deloitte out of Chapter 11 bankruptcy in 2013.</w:t>
      </w:r>
    </w:p>
    <w:p>
      <w:pPr>
        <w:pStyle w:val="ListBullet"/>
        <w:spacing w:line="480" w:lineRule="auto" w:before="0" w:after="0"/>
      </w:pPr>
      <w:r>
        <w:rPr>
          <w:rFonts w:ascii="Arial" w:hAnsi="Arial" w:cs="Arial" w:eastAsia="Arial"/>
          <w:b/>
          <w:color w:val="000000"/>
          <w:sz w:val="22"/>
          <w:u w:val="none"/>
        </w:rPr>
        <w:t>2026 cycle deadline:</w:t>
      </w:r>
      <w:r>
        <w:rPr>
          <w:rFonts w:ascii="Arial" w:hAnsi="Arial" w:cs="Arial" w:eastAsia="Arial"/>
          <w:b w:val="0"/>
          <w:color w:val="000000"/>
          <w:sz w:val="22"/>
          <w:u w:val="none"/>
        </w:rPr>
        <w:t xml:space="preserve"> Rolling through fall. [VERIFY]</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Juniors graduating Spring 2028.</w:t>
      </w:r>
    </w:p>
    <w:p>
      <w:pPr>
        <w:pStyle w:val="ListBullet"/>
        <w:spacing w:line="480" w:lineRule="auto" w:before="0" w:after="0"/>
      </w:pPr>
      <w:r>
        <w:rPr>
          <w:rFonts w:ascii="Arial" w:hAnsi="Arial" w:cs="Arial" w:eastAsia="Arial"/>
          <w:b/>
          <w:color w:val="000000"/>
          <w:sz w:val="22"/>
          <w:u w:val="none"/>
        </w:rPr>
        <w:t>Who they hire:</w:t>
      </w:r>
      <w:r>
        <w:rPr>
          <w:rFonts w:ascii="Arial" w:hAnsi="Arial" w:cs="Arial" w:eastAsia="Arial"/>
          <w:b w:val="0"/>
          <w:color w:val="000000"/>
          <w:sz w:val="22"/>
          <w:u w:val="none"/>
        </w:rPr>
        <w:t xml:space="preserve"> ~2,500-3,500 strategy consultants globally under the Monitor Deloitte banner.</w:t>
      </w:r>
    </w:p>
    <w:p>
      <w:pPr>
        <w:pStyle w:val="ListBullet"/>
        <w:spacing w:line="480" w:lineRule="auto" w:before="0" w:after="0"/>
      </w:pPr>
      <w:r>
        <w:rPr>
          <w:rFonts w:ascii="Arial" w:hAnsi="Arial" w:cs="Arial" w:eastAsia="Arial"/>
          <w:b/>
          <w:color w:val="000000"/>
          <w:sz w:val="22"/>
          <w:u w:val="none"/>
        </w:rPr>
        <w:t>Why apply:</w:t>
      </w:r>
      <w:r>
        <w:rPr>
          <w:rFonts w:ascii="Arial" w:hAnsi="Arial" w:cs="Arial" w:eastAsia="Arial"/>
          <w:b w:val="0"/>
          <w:color w:val="000000"/>
          <w:sz w:val="22"/>
          <w:u w:val="none"/>
        </w:rPr>
        <w:t xml:space="preserve"> The Porter strategic heritage (Five Forces, generic strategies, value chains) shows up in the case-prep materials and interviewer vocabulary. Strong consumer and retail practice. The strategy arm is materially smaller than Deloitte Consulting overall. Confirm which track you're being recruited into.</w:t>
      </w:r>
    </w:p>
    <w:p>
      <w:pPr>
        <w:spacing w:line="480" w:lineRule="auto" w:before="0" w:after="0"/>
      </w:pPr>
      <w:r>
        <w:rPr>
          <w:rFonts w:ascii="Arial" w:hAnsi="Arial" w:cs="Arial" w:eastAsia="Arial"/>
          <w:b w:val="0"/>
          <w:color w:val="000000"/>
          <w:sz w:val="22"/>
          <w:u w:val="none"/>
        </w:rPr>
        <w:t>Monitor Deloitte is the right fit for candidates who want strategy work with a Porter-style frameworks orientation, or who got cut from MBB and want the next-tier strategy seat with broader brand than the standalone tier 2 firms.</w:t>
      </w:r>
    </w:p>
    <w:p>
      <w:pPr>
        <w:spacing w:line="480" w:lineRule="auto" w:before="0" w:after="0"/>
      </w:pPr>
      <w:r>
        <w:rPr>
          <w:rFonts w:ascii="Arial" w:hAnsi="Arial" w:cs="Arial" w:eastAsia="Arial"/>
          <w:b/>
          <w:color w:val="000000"/>
          <w:sz w:val="28"/>
          <w:u w:val="single"/>
        </w:rPr>
        <w:t xml:space="preserve">9. </w:t>
      </w:r>
      <w:hyperlink r:id="rId17">
        <w:r>
          <w:rPr>
            <w:rFonts w:ascii="Arial" w:hAnsi="Arial" w:cs="Arial" w:eastAsia="Arial"/>
            <w:sz w:val="28"/>
            <w:color w:val="0563C1"/>
            <w:u w:val="single"/>
            <w:b/>
          </w:rPr>
          <w:t xml:space="preserve">EY-Parthenon</w:t>
        </w:r>
      </w:hyperlink>
    </w:p>
    <w:p>
      <w:pPr>
        <w:pStyle w:val="ListBullet"/>
        <w:spacing w:line="480" w:lineRule="auto" w:before="0" w:after="0"/>
      </w:pPr>
      <w:r>
        <w:rPr>
          <w:rFonts w:ascii="Arial" w:hAnsi="Arial" w:cs="Arial" w:eastAsia="Arial"/>
          <w:b/>
          <w:color w:val="000000"/>
          <w:sz w:val="22"/>
          <w:u w:val="none"/>
        </w:rPr>
        <w:t>Website:</w:t>
      </w:r>
      <w:r>
        <w:rPr>
          <w:rFonts w:ascii="Arial" w:hAnsi="Arial" w:cs="Arial" w:eastAsia="Arial"/>
          <w:b w:val="0"/>
          <w:color w:val="000000"/>
          <w:sz w:val="22"/>
          <w:u w:val="none"/>
        </w:rPr>
        <w:t xml:space="preserve"> ey.com/en_us/careers/students/ey-parthenon</w:t>
      </w:r>
    </w:p>
    <w:p>
      <w:pPr>
        <w:pStyle w:val="ListBullet"/>
        <w:spacing w:line="480" w:lineRule="auto" w:before="0" w:after="0"/>
      </w:pPr>
      <w:r>
        <w:rPr>
          <w:rFonts w:ascii="Arial" w:hAnsi="Arial" w:cs="Arial" w:eastAsia="Arial"/>
          <w:b/>
          <w:color w:val="000000"/>
          <w:sz w:val="22"/>
          <w:u w:val="none"/>
        </w:rPr>
        <w:t>Role:</w:t>
      </w:r>
      <w:r>
        <w:rPr>
          <w:rFonts w:ascii="Arial" w:hAnsi="Arial" w:cs="Arial" w:eastAsia="Arial"/>
          <w:b w:val="0"/>
          <w:color w:val="000000"/>
          <w:sz w:val="22"/>
          <w:u w:val="none"/>
        </w:rPr>
        <w:t xml:space="preserve"> Associate. Summer Associate.</w:t>
      </w:r>
    </w:p>
    <w:p>
      <w:pPr>
        <w:pStyle w:val="ListBullet"/>
        <w:spacing w:line="480" w:lineRule="auto" w:before="0" w:after="0"/>
      </w:pPr>
      <w:r>
        <w:rPr>
          <w:rFonts w:ascii="Arial" w:hAnsi="Arial" w:cs="Arial" w:eastAsia="Arial"/>
          <w:b/>
          <w:color w:val="000000"/>
          <w:sz w:val="22"/>
          <w:u w:val="none"/>
        </w:rPr>
        <w:t>Origin:</w:t>
      </w:r>
      <w:r>
        <w:rPr>
          <w:rFonts w:ascii="Arial" w:hAnsi="Arial" w:cs="Arial" w:eastAsia="Arial"/>
          <w:b w:val="0"/>
          <w:color w:val="000000"/>
          <w:sz w:val="22"/>
          <w:u w:val="none"/>
        </w:rPr>
        <w:t xml:space="preserve"> Parthenon Group founded 1991 by Bill Achtmeyer and John Rutherford (two former Bain partners); acquired by EY in 2014.</w:t>
      </w:r>
    </w:p>
    <w:p>
      <w:pPr>
        <w:pStyle w:val="ListBullet"/>
        <w:spacing w:line="480" w:lineRule="auto" w:before="0" w:after="0"/>
      </w:pPr>
      <w:r>
        <w:rPr>
          <w:rFonts w:ascii="Arial" w:hAnsi="Arial" w:cs="Arial" w:eastAsia="Arial"/>
          <w:b/>
          <w:color w:val="000000"/>
          <w:sz w:val="22"/>
          <w:u w:val="none"/>
        </w:rPr>
        <w:t>2026 cycle deadline:</w:t>
      </w:r>
      <w:r>
        <w:rPr>
          <w:rFonts w:ascii="Arial" w:hAnsi="Arial" w:cs="Arial" w:eastAsia="Arial"/>
          <w:b w:val="0"/>
          <w:color w:val="000000"/>
          <w:sz w:val="22"/>
          <w:u w:val="none"/>
        </w:rPr>
        <w:t xml:space="preserve"> Rolling through fall. [VERIFY]</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Juniors graduating Spring 2028.</w:t>
      </w:r>
    </w:p>
    <w:p>
      <w:pPr>
        <w:pStyle w:val="ListBullet"/>
        <w:spacing w:line="480" w:lineRule="auto" w:before="0" w:after="0"/>
      </w:pPr>
      <w:r>
        <w:rPr>
          <w:rFonts w:ascii="Arial" w:hAnsi="Arial" w:cs="Arial" w:eastAsia="Arial"/>
          <w:b/>
          <w:color w:val="000000"/>
          <w:sz w:val="22"/>
          <w:u w:val="none"/>
        </w:rPr>
        <w:t>Who they hire:</w:t>
      </w:r>
      <w:r>
        <w:rPr>
          <w:rFonts w:ascii="Arial" w:hAnsi="Arial" w:cs="Arial" w:eastAsia="Arial"/>
          <w:b w:val="0"/>
          <w:color w:val="000000"/>
          <w:sz w:val="22"/>
          <w:u w:val="none"/>
        </w:rPr>
        <w:t xml:space="preserve"> ~7,500 globally; one of the largest Big 4 strategy practices.</w:t>
      </w:r>
    </w:p>
    <w:p>
      <w:pPr>
        <w:pStyle w:val="ListBullet"/>
        <w:spacing w:line="480" w:lineRule="auto" w:before="0" w:after="0"/>
      </w:pPr>
      <w:r>
        <w:rPr>
          <w:rFonts w:ascii="Arial" w:hAnsi="Arial" w:cs="Arial" w:eastAsia="Arial"/>
          <w:b/>
          <w:color w:val="000000"/>
          <w:sz w:val="22"/>
          <w:u w:val="none"/>
        </w:rPr>
        <w:t>Why apply:</w:t>
      </w:r>
      <w:r>
        <w:rPr>
          <w:rFonts w:ascii="Arial" w:hAnsi="Arial" w:cs="Arial" w:eastAsia="Arial"/>
          <w:b w:val="0"/>
          <w:color w:val="000000"/>
          <w:sz w:val="22"/>
          <w:u w:val="none"/>
        </w:rPr>
        <w:t xml:space="preserve"> Heavy PE diligence dealflow. Education, healthcare, private equity, and TMT are the four strongest practice areas. </w:t>
      </w:r>
      <w:r>
        <w:rPr>
          <w:rFonts w:ascii="Arial" w:hAnsi="Arial" w:cs="Arial" w:eastAsia="Arial"/>
          <w:b/>
          <w:color w:val="000000"/>
          <w:sz w:val="22"/>
          <w:u w:val="none"/>
        </w:rPr>
        <w:t>Among Big 4 strategy practices, EY-Parthenon places into PE associate seats at the highest rate.</w:t>
      </w:r>
    </w:p>
    <w:p>
      <w:pPr>
        <w:spacing w:line="480" w:lineRule="auto" w:before="0" w:after="0"/>
      </w:pPr>
      <w:r>
        <w:rPr>
          <w:rFonts w:ascii="Arial" w:hAnsi="Arial" w:cs="Arial" w:eastAsia="Arial"/>
          <w:b w:val="0"/>
          <w:color w:val="000000"/>
          <w:sz w:val="22"/>
          <w:u w:val="none"/>
        </w:rPr>
        <w:t>EY-Parthenon is the right fit for candidates optimizing for the consulting-to-PE path. The CDD reps are dense and the PE conversion rate is the strongest in the Big 4 strategy tier.</w:t>
      </w:r>
    </w:p>
    <w:p>
      <w:pPr>
        <w:spacing w:line="480" w:lineRule="auto" w:before="0" w:after="0"/>
      </w:pPr>
      <w:r>
        <w:rPr>
          <w:rFonts w:ascii="Arial" w:hAnsi="Arial" w:cs="Arial" w:eastAsia="Arial"/>
          <w:b/>
          <w:color w:val="000000"/>
          <w:sz w:val="28"/>
          <w:u w:val="single"/>
        </w:rPr>
        <w:t xml:space="preserve">10. </w:t>
      </w:r>
      <w:hyperlink r:id="rId18">
        <w:r>
          <w:rPr>
            <w:rFonts w:ascii="Arial" w:hAnsi="Arial" w:cs="Arial" w:eastAsia="Arial"/>
            <w:sz w:val="28"/>
            <w:color w:val="0563C1"/>
            <w:u w:val="single"/>
            <w:b/>
          </w:rPr>
          <w:t xml:space="preserve">Accenture Strategy</w:t>
        </w:r>
      </w:hyperlink>
    </w:p>
    <w:p>
      <w:pPr>
        <w:pStyle w:val="ListBullet"/>
        <w:spacing w:line="480" w:lineRule="auto" w:before="0" w:after="0"/>
      </w:pPr>
      <w:r>
        <w:rPr>
          <w:rFonts w:ascii="Arial" w:hAnsi="Arial" w:cs="Arial" w:eastAsia="Arial"/>
          <w:b/>
          <w:color w:val="000000"/>
          <w:sz w:val="22"/>
          <w:u w:val="none"/>
        </w:rPr>
        <w:t>Website:</w:t>
      </w:r>
      <w:r>
        <w:rPr>
          <w:rFonts w:ascii="Arial" w:hAnsi="Arial" w:cs="Arial" w:eastAsia="Arial"/>
          <w:b w:val="0"/>
          <w:color w:val="000000"/>
          <w:sz w:val="22"/>
          <w:u w:val="none"/>
        </w:rPr>
        <w:t xml:space="preserve"> accenture.com/us-en/careers</w:t>
      </w:r>
    </w:p>
    <w:p>
      <w:pPr>
        <w:pStyle w:val="ListBullet"/>
        <w:spacing w:line="480" w:lineRule="auto" w:before="0" w:after="0"/>
      </w:pPr>
      <w:r>
        <w:rPr>
          <w:rFonts w:ascii="Arial" w:hAnsi="Arial" w:cs="Arial" w:eastAsia="Arial"/>
          <w:b/>
          <w:color w:val="000000"/>
          <w:sz w:val="22"/>
          <w:u w:val="none"/>
        </w:rPr>
        <w:t>Role:</w:t>
      </w:r>
      <w:r>
        <w:rPr>
          <w:rFonts w:ascii="Arial" w:hAnsi="Arial" w:cs="Arial" w:eastAsia="Arial"/>
          <w:b w:val="0"/>
          <w:color w:val="000000"/>
          <w:sz w:val="22"/>
          <w:u w:val="none"/>
        </w:rPr>
        <w:t xml:space="preserve"> Strategy Analyst (Strategy track). Summer Strategy Analyst.</w:t>
      </w:r>
    </w:p>
    <w:p>
      <w:pPr>
        <w:pStyle w:val="ListBullet"/>
        <w:spacing w:line="480" w:lineRule="auto" w:before="0" w:after="0"/>
      </w:pPr>
      <w:r>
        <w:rPr>
          <w:rFonts w:ascii="Arial" w:hAnsi="Arial" w:cs="Arial" w:eastAsia="Arial"/>
          <w:b/>
          <w:color w:val="000000"/>
          <w:sz w:val="22"/>
          <w:u w:val="none"/>
        </w:rPr>
        <w:t>2026 cycle deadline:</w:t>
      </w:r>
      <w:r>
        <w:rPr>
          <w:rFonts w:ascii="Arial" w:hAnsi="Arial" w:cs="Arial" w:eastAsia="Arial"/>
          <w:b w:val="0"/>
          <w:color w:val="000000"/>
          <w:sz w:val="22"/>
          <w:u w:val="none"/>
        </w:rPr>
        <w:t xml:space="preserve"> Rolling through fall. [VERIFY]</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Juniors graduating Spring 2028.</w:t>
      </w:r>
    </w:p>
    <w:p>
      <w:pPr>
        <w:pStyle w:val="ListBullet"/>
        <w:spacing w:line="480" w:lineRule="auto" w:before="0" w:after="0"/>
      </w:pPr>
      <w:r>
        <w:rPr>
          <w:rFonts w:ascii="Arial" w:hAnsi="Arial" w:cs="Arial" w:eastAsia="Arial"/>
          <w:b/>
          <w:color w:val="000000"/>
          <w:sz w:val="22"/>
          <w:u w:val="none"/>
        </w:rPr>
        <w:t>Who they hire:</w:t>
      </w:r>
      <w:r>
        <w:rPr>
          <w:rFonts w:ascii="Arial" w:hAnsi="Arial" w:cs="Arial" w:eastAsia="Arial"/>
          <w:b w:val="0"/>
          <w:color w:val="000000"/>
          <w:sz w:val="22"/>
          <w:u w:val="none"/>
        </w:rPr>
        <w:t xml:space="preserve"> ~13,000 within Accenture Strategy globally (~750,000 across all of Accenture).</w:t>
      </w:r>
    </w:p>
    <w:p>
      <w:pPr>
        <w:pStyle w:val="ListBullet"/>
        <w:spacing w:line="480" w:lineRule="auto" w:before="0" w:after="0"/>
      </w:pPr>
      <w:r>
        <w:rPr>
          <w:rFonts w:ascii="Arial" w:hAnsi="Arial" w:cs="Arial" w:eastAsia="Arial"/>
          <w:b/>
          <w:color w:val="000000"/>
          <w:sz w:val="22"/>
          <w:u w:val="none"/>
        </w:rPr>
        <w:t>Why apply:</w:t>
      </w:r>
      <w:r>
        <w:rPr>
          <w:rFonts w:ascii="Arial" w:hAnsi="Arial" w:cs="Arial" w:eastAsia="Arial"/>
          <w:b w:val="0"/>
          <w:color w:val="000000"/>
          <w:sz w:val="22"/>
          <w:u w:val="none"/>
        </w:rPr>
        <w:t xml:space="preserve"> Strongest digital transformation, technology strategy, and sustainability strategy practices among Big 4-adjacent firms. Comp within 5-15% of MBB base.</w:t>
      </w:r>
    </w:p>
    <w:p>
      <w:pPr>
        <w:spacing w:line="480" w:lineRule="auto" w:before="0" w:after="0"/>
      </w:pPr>
      <w:r>
        <w:rPr>
          <w:rFonts w:ascii="Arial" w:hAnsi="Arial" w:cs="Arial" w:eastAsia="Arial"/>
          <w:b w:val="0"/>
          <w:color w:val="000000"/>
          <w:sz w:val="22"/>
          <w:u w:val="none"/>
        </w:rPr>
        <w:t>Accenture Strategy is the right fit for candidates targeting technology strategy or digital transformation work. The trade-off: "Strategy" inside Accenture has less prestige separation from broader Accenture Consulting than candidates often realize. Verify which Accenture track you're being recruited into.</w:t>
      </w:r>
    </w:p>
    <w:p>
      <w:pPr>
        <w:spacing w:line="480" w:lineRule="auto" w:before="0" w:after="0"/>
      </w:pPr>
      <w:r>
        <w:rPr>
          <w:rFonts w:ascii="Arial" w:hAnsi="Arial" w:cs="Arial" w:eastAsia="Arial"/>
          <w:b/>
          <w:color w:val="000000"/>
          <w:sz w:val="36"/>
          <w:u w:val="none"/>
        </w:rPr>
        <w:t>What about firms not on this list?</w:t>
      </w:r>
    </w:p>
    <w:p>
      <w:pPr>
        <w:spacing w:line="480" w:lineRule="auto" w:before="0" w:after="0"/>
      </w:pPr>
      <w:r>
        <w:rPr>
          <w:rFonts w:ascii="Arial" w:hAnsi="Arial" w:cs="Arial" w:eastAsia="Arial"/>
          <w:b w:val="0"/>
          <w:color w:val="000000"/>
          <w:sz w:val="22"/>
          <w:u w:val="none"/>
        </w:rPr>
        <w:t>Three categories of strong firms I left off:</w:t>
      </w:r>
    </w:p>
    <w:p>
      <w:pPr>
        <w:spacing w:line="480" w:lineRule="auto" w:before="0" w:after="0"/>
      </w:pPr>
      <w:r>
        <w:rPr>
          <w:rFonts w:ascii="Arial" w:hAnsi="Arial" w:cs="Arial" w:eastAsia="Arial"/>
          <w:b/>
          <w:color w:val="000000"/>
          <w:sz w:val="22"/>
          <w:u w:val="none"/>
        </w:rPr>
        <w:t>Roland Berger.</w:t>
      </w:r>
      <w:r>
        <w:rPr>
          <w:rFonts w:ascii="Arial" w:hAnsi="Arial" w:cs="Arial" w:eastAsia="Arial"/>
          <w:b w:val="0"/>
          <w:color w:val="000000"/>
          <w:sz w:val="22"/>
          <w:u w:val="none"/>
        </w:rPr>
        <w:t xml:space="preserve"> Real tier-2 strategy firm with industrial and automotive specialization. Headquartered in Munich; US presence is smaller than the European footprint. Worth applying to if industrial / automotive / restructuring interest is specific to you, less so as a general MBB-adjacent option.</w:t>
      </w:r>
    </w:p>
    <w:p>
      <w:pPr>
        <w:spacing w:line="480" w:lineRule="auto" w:before="0" w:after="0"/>
      </w:pPr>
      <w:r>
        <w:rPr>
          <w:rFonts w:ascii="Arial" w:hAnsi="Arial" w:cs="Arial" w:eastAsia="Arial"/>
          <w:b/>
          <w:color w:val="000000"/>
          <w:sz w:val="22"/>
          <w:u w:val="none"/>
        </w:rPr>
        <w:t>KPMG Strategy.</w:t>
      </w:r>
      <w:r>
        <w:rPr>
          <w:rFonts w:ascii="Arial" w:hAnsi="Arial" w:cs="Arial" w:eastAsia="Arial"/>
          <w:b w:val="0"/>
          <w:color w:val="000000"/>
          <w:sz w:val="22"/>
          <w:u w:val="none"/>
        </w:rPr>
        <w:t xml:space="preserve"> Real Big 4 strategy practice but the least-established of the four (no marquee acquisition like Monitor or Parthenon). Real strategy work happens; brand recognition is weaker than Monitor Deloitte or EY-Parthenon.</w:t>
      </w:r>
    </w:p>
    <w:p>
      <w:pPr>
        <w:spacing w:line="480" w:lineRule="auto" w:before="0" w:after="0"/>
      </w:pPr>
      <w:r>
        <w:rPr>
          <w:rFonts w:ascii="Arial" w:hAnsi="Arial" w:cs="Arial" w:eastAsia="Arial"/>
          <w:b/>
          <w:color w:val="000000"/>
          <w:sz w:val="22"/>
          <w:u w:val="none"/>
        </w:rPr>
        <w:t>Specialist boutiques (ZS Associates, Putnam Associates, Clearview Healthcare Partners, Altman Solon, Simon-Kucher).</w:t>
      </w:r>
      <w:r>
        <w:rPr>
          <w:rFonts w:ascii="Arial" w:hAnsi="Arial" w:cs="Arial" w:eastAsia="Arial"/>
          <w:b w:val="0"/>
          <w:color w:val="000000"/>
          <w:sz w:val="22"/>
          <w:u w:val="none"/>
        </w:rPr>
        <w:t xml:space="preserve"> Real firms with real strategy work, but in narrow verticals. For undergrads with a clear vertical preference (pharma, TMT, pricing), the specialist boutique is often a stronger seat than a generalist tier-2 firm in that vertical. ZS Associates alone hires ~13,000 globally and is the largest healthcare-focused consulting firm in the world.</w:t>
      </w:r>
    </w:p>
    <w:p>
      <w:pPr>
        <w:spacing w:line="480" w:lineRule="auto" w:before="0" w:after="0"/>
      </w:pPr>
      <w:r>
        <w:rPr>
          <w:rFonts w:ascii="Arial" w:hAnsi="Arial" w:cs="Arial" w:eastAsia="Arial"/>
          <w:b/>
          <w:color w:val="000000"/>
          <w:sz w:val="36"/>
          <w:u w:val="none"/>
        </w:rPr>
        <w:t>What to do this week if you're a sophomore targeting the 2027 cycle</w:t>
      </w:r>
    </w:p>
    <w:p>
      <w:pPr>
        <w:pStyle w:val="ListNumber"/>
        <w:spacing w:line="480" w:lineRule="auto" w:before="0" w:after="0"/>
      </w:pPr>
      <w:r>
        <w:rPr>
          <w:rFonts w:ascii="Arial" w:hAnsi="Arial" w:cs="Arial" w:eastAsia="Arial"/>
          <w:b/>
          <w:color w:val="000000"/>
          <w:sz w:val="22"/>
          <w:u w:val="none"/>
        </w:rPr>
        <w:t>Pick your top three firms from this list.</w:t>
      </w:r>
      <w:r>
        <w:rPr>
          <w:rFonts w:ascii="Arial" w:hAnsi="Arial" w:cs="Arial" w:eastAsia="Arial"/>
          <w:b w:val="0"/>
          <w:color w:val="000000"/>
          <w:sz w:val="22"/>
          <w:u w:val="none"/>
        </w:rPr>
        <w:t xml:space="preserve"> Don't apply to all 10. Build a coffee-chat plan around your top three.</w:t>
      </w:r>
    </w:p>
    <w:p>
      <w:pPr>
        <w:pStyle w:val="ListNumber"/>
        <w:spacing w:line="480" w:lineRule="auto" w:before="0" w:after="0"/>
      </w:pPr>
      <w:r>
        <w:rPr>
          <w:rFonts w:ascii="Arial" w:hAnsi="Arial" w:cs="Arial" w:eastAsia="Arial"/>
          <w:b/>
          <w:color w:val="000000"/>
          <w:sz w:val="22"/>
          <w:u w:val="none"/>
        </w:rPr>
        <w:t>Send three coffee-chat requests this week.</w:t>
      </w:r>
      <w:r>
        <w:rPr>
          <w:rFonts w:ascii="Arial" w:hAnsi="Arial" w:cs="Arial" w:eastAsia="Arial"/>
          <w:b w:val="0"/>
          <w:color w:val="000000"/>
          <w:sz w:val="22"/>
          <w:u w:val="none"/>
        </w:rPr>
        <w:t xml:space="preserve"> One BA / Associate at each of your top three firms. Reference a specific practice area, a recent deal or engagement, or a school-alumni connection.</w:t>
      </w:r>
    </w:p>
    <w:p>
      <w:pPr>
        <w:pStyle w:val="ListNumber"/>
        <w:spacing w:line="480" w:lineRule="auto" w:before="0" w:after="0"/>
      </w:pPr>
      <w:r>
        <w:rPr>
          <w:rFonts w:ascii="Arial" w:hAnsi="Arial" w:cs="Arial" w:eastAsia="Arial"/>
          <w:b/>
          <w:color w:val="000000"/>
          <w:sz w:val="22"/>
          <w:u w:val="none"/>
        </w:rPr>
        <w:t>Drill mental math 20 minutes a day.</w:t>
      </w:r>
      <w:r>
        <w:rPr>
          <w:rFonts w:ascii="Arial" w:hAnsi="Arial" w:cs="Arial" w:eastAsia="Arial"/>
          <w:b w:val="0"/>
          <w:color w:val="000000"/>
          <w:sz w:val="22"/>
          <w:u w:val="none"/>
        </w:rPr>
        <w:t xml:space="preserve"> Two-digit multiplication, percentages, market sizing arithmetic. The case-interview math bar is the same across MBB, tier 2, and Big 4 strategy.</w:t>
      </w:r>
    </w:p>
    <w:p>
      <w:pPr>
        <w:pStyle w:val="ListNumber"/>
        <w:spacing w:line="480" w:lineRule="auto" w:before="0" w:after="0"/>
      </w:pPr>
      <w:r>
        <w:rPr>
          <w:rFonts w:ascii="Arial" w:hAnsi="Arial" w:cs="Arial" w:eastAsia="Arial"/>
          <w:b/>
          <w:color w:val="000000"/>
          <w:sz w:val="22"/>
          <w:u w:val="none"/>
        </w:rPr>
        <w:t>Read one case interview prep book.</w:t>
      </w:r>
      <w:r>
        <w:rPr>
          <w:rFonts w:ascii="Arial" w:hAnsi="Arial" w:cs="Arial" w:eastAsia="Arial"/>
          <w:b w:val="0"/>
          <w:color w:val="000000"/>
          <w:sz w:val="22"/>
          <w:u w:val="none"/>
        </w:rPr>
        <w:t xml:space="preserve"> Case in Point by Marc Cosentino is the canonical entry-level book. The McKinsey, BCG, and Bain career pages all publish free case prep guides. Read those alongside.</w:t>
      </w:r>
    </w:p>
    <w:p>
      <w:pPr>
        <w:pStyle w:val="ListNumber"/>
        <w:spacing w:line="480" w:lineRule="auto" w:before="0" w:after="0"/>
      </w:pPr>
      <w:r>
        <w:rPr>
          <w:rFonts w:ascii="Arial" w:hAnsi="Arial" w:cs="Arial" w:eastAsia="Arial"/>
          <w:b/>
          <w:color w:val="000000"/>
          <w:sz w:val="22"/>
          <w:u w:val="none"/>
        </w:rPr>
        <w:t>Build a 12-week case-prep schedule.</w:t>
      </w:r>
      <w:r>
        <w:rPr>
          <w:rFonts w:ascii="Arial" w:hAnsi="Arial" w:cs="Arial" w:eastAsia="Arial"/>
          <w:b w:val="0"/>
          <w:color w:val="000000"/>
          <w:sz w:val="22"/>
          <w:u w:val="none"/>
        </w:rPr>
        <w:t xml:space="preserve"> Five live mock cases per week for 12 weeks gets most candidates from cold to MBB-ready. The single biggest delta between candidates who land offers and candidates who don't is the number of live mocks completed.</w:t>
      </w:r>
    </w:p>
    <w:p>
      <w:pPr>
        <w:spacing w:line="480" w:lineRule="auto" w:before="0" w:after="0"/>
      </w:pPr>
      <w:r>
        <w:rPr>
          <w:rFonts w:ascii="Arial" w:hAnsi="Arial" w:cs="Arial" w:eastAsia="Arial"/>
          <w:b/>
          <w:color w:val="000000"/>
          <w:sz w:val="36"/>
          <w:u w:val="none"/>
        </w:rPr>
        <w:t>The honest read on the 10 firms</w:t>
      </w:r>
    </w:p>
    <w:p>
      <w:pPr>
        <w:spacing w:line="480" w:lineRule="auto" w:before="0" w:after="0"/>
      </w:pPr>
      <w:r>
        <w:rPr>
          <w:rFonts w:ascii="Arial" w:hAnsi="Arial" w:cs="Arial" w:eastAsia="Arial"/>
          <w:b w:val="0"/>
          <w:color w:val="000000"/>
          <w:sz w:val="22"/>
          <w:u w:val="none"/>
        </w:rPr>
        <w:t>The MBB brand premium is real but narrower than candidates assume. A BA at McKinsey and a BA at EY-Parthenon five years out have largely overlapping exit menus (PE, MBA, tech, F500 strategy). The premium shows up most at the top end (top-tier PE seats, MBA placement at HBS / GSB / Wharton) and at the bottom end (the BA who underperforms at MBB still has the firm on their resume).</w:t>
      </w:r>
    </w:p>
    <w:p>
      <w:pPr>
        <w:spacing w:line="480" w:lineRule="auto" w:before="0" w:after="0"/>
      </w:pPr>
      <w:r>
        <w:rPr>
          <w:rFonts w:ascii="Arial" w:hAnsi="Arial" w:cs="Arial" w:eastAsia="Arial"/>
          <w:b/>
          <w:color w:val="000000"/>
          <w:sz w:val="22"/>
          <w:u w:val="none"/>
        </w:rPr>
        <w:t>For most undergrads, the right framing is: target one MBB firm + two tier-2 / Big-4 strategy firms + one boutique in your strongest vertical.</w:t>
      </w:r>
      <w:r>
        <w:rPr>
          <w:rFonts w:ascii="Arial" w:hAnsi="Arial" w:cs="Arial" w:eastAsia="Arial"/>
          <w:b w:val="0"/>
          <w:color w:val="000000"/>
          <w:sz w:val="22"/>
          <w:u w:val="none"/>
        </w:rPr>
        <w:t xml:space="preserve"> That mix gives you four shots on goal with materially different application timelines and slightly different candidate-profile filters. Applying to only the three MBB firms is the failure mode I see most often. Those candidates have nothing to fall back on when one round goes sideways.</w:t>
      </w:r>
    </w:p>
    <w:p>
      <w:pPr>
        <w:spacing w:line="480" w:lineRule="auto" w:before="0" w:after="0"/>
      </w:pPr>
      <w:r>
        <w:rPr>
          <w:rFonts w:ascii="Arial" w:hAnsi="Arial" w:cs="Arial" w:eastAsia="Arial"/>
          <w:b w:val="0"/>
          <w:color w:val="000000"/>
          <w:sz w:val="22"/>
          <w:u w:val="none"/>
        </w:rPr>
        <w:t xml:space="preserve">If you want a structured prep plan that runs from sophomore fall through full-time offer, WSG runs a multi-month fellowship covering consulting and finance recruiting end-to-end. The Wall Street Guide Fellowship is valued at $19,900, and top applicants can apply for a </w:t>
      </w:r>
      <w:hyperlink r:id="rId19">
        <w:r>
          <w:rPr>
            <w:rFonts w:ascii="Arial" w:hAnsi="Arial" w:cs="Arial" w:eastAsia="Arial"/>
            <w:sz w:val="22"/>
            <w:color w:val="0563C1"/>
            <w:u w:val="single"/>
          </w:rPr>
          <w:t xml:space="preserve">full-ride scholarship</w:t>
        </w:r>
      </w:hyperlink>
      <w:r>
        <w:rPr>
          <w:rFonts w:ascii="Arial" w:hAnsi="Arial" w:cs="Arial" w:eastAsia="Arial"/>
          <w:b w:val="0"/>
          <w:color w:val="000000"/>
          <w:sz w:val="22"/>
          <w:u w:val="none"/>
        </w:rPr>
        <w:t xml:space="preserve"> that covers the entire program cost. The scholarship competition is the highest-leverage way for ambitious candidates to access structured consulting recruiting prep for $0.</w:t>
      </w:r>
    </w:p>
    <w:p>
      <w:pPr>
        <w:spacing w:line="480" w:lineRule="auto" w:before="0" w:after="0"/>
      </w:pPr>
      <w:r>
        <w:rPr>
          <w:rFonts w:ascii="Arial" w:hAnsi="Arial" w:cs="Arial" w:eastAsia="Arial"/>
          <w:b w:val="0"/>
          <w:color w:val="000000"/>
          <w:sz w:val="22"/>
          <w:u w:val="none"/>
        </w:rPr>
        <w:t>The candidates who land offers at the firms above started this work in sophomore fall. The candidates who get cut almost always start in junior fall and try to compress 12 months of prep into one semester. You don't need to be smarter than the field. You need to start earlier than they did.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ckinsey.com/careers" TargetMode="External"/><Relationship Id="rId10" Type="http://schemas.openxmlformats.org/officeDocument/2006/relationships/hyperlink" Target="https://careers.bcg.com" TargetMode="External"/><Relationship Id="rId11" Type="http://schemas.openxmlformats.org/officeDocument/2006/relationships/hyperlink" Target="https://www.bain.com/careers" TargetMode="External"/><Relationship Id="rId12" Type="http://schemas.openxmlformats.org/officeDocument/2006/relationships/hyperlink" Target="https://www.oliverwyman.com/careers.html" TargetMode="External"/><Relationship Id="rId13" Type="http://schemas.openxmlformats.org/officeDocument/2006/relationships/hyperlink" Target="https://www.strategyand.pwc.com/us/en/careers.html" TargetMode="External"/><Relationship Id="rId14" Type="http://schemas.openxmlformats.org/officeDocument/2006/relationships/hyperlink" Target="https://www.lek.com/careers" TargetMode="External"/><Relationship Id="rId15" Type="http://schemas.openxmlformats.org/officeDocument/2006/relationships/hyperlink" Target="https://www.kearney.com/careers" TargetMode="External"/><Relationship Id="rId16" Type="http://schemas.openxmlformats.org/officeDocument/2006/relationships/hyperlink" Target="https://www2.deloitte.com/us/en/pages/careers/topics/students.html" TargetMode="External"/><Relationship Id="rId17" Type="http://schemas.openxmlformats.org/officeDocument/2006/relationships/hyperlink" Target="https://www.ey.com/en_us/careers/students/ey-parthenon" TargetMode="External"/><Relationship Id="rId18" Type="http://schemas.openxmlformats.org/officeDocument/2006/relationships/hyperlink" Target="https://www.accenture.com/us-en/careers" TargetMode="External"/><Relationship Id="rId19" Type="http://schemas.openxmlformats.org/officeDocument/2006/relationships/hyperlink" Target="https://www.wallstreetguide.net/scholarsh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