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Top 10 Private Credit Firms for Undergraduates</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10 private credit firms undergrads should target in 2026, with each firm's history, entry path, and what it's known for.</w:t>
      </w:r>
    </w:p>
    <w:p>
      <w:pPr>
        <w:spacing w:line="480" w:lineRule="auto" w:before="0" w:after="0"/>
      </w:pPr>
      <w:r>
        <w:rPr>
          <w:rFonts w:ascii="Arial" w:hAnsi="Arial" w:cs="Arial" w:eastAsia="Arial"/>
          <w:b w:val="0"/>
          <w:color w:val="000000"/>
          <w:sz w:val="22"/>
          <w:u w:val="none"/>
        </w:rPr>
        <w:t>Rankings of private credit firms sort by assets under management, which is the wrong sort for a 19-year-old. A $400 billion platform with no undergrad intake is worth less to you than a $70 billion lender that hires sophomores every fall.</w:t>
      </w:r>
    </w:p>
    <w:p>
      <w:pPr>
        <w:spacing w:line="480" w:lineRule="auto" w:before="0" w:after="0"/>
      </w:pPr>
      <w:r>
        <w:rPr>
          <w:rFonts w:ascii="Arial" w:hAnsi="Arial" w:cs="Arial" w:eastAsia="Arial"/>
          <w:b/>
          <w:color w:val="000000"/>
          <w:sz w:val="22"/>
          <w:u w:val="none"/>
        </w:rPr>
        <w:t>The list below ranks the 10 firms by the quality and accessibility of the seat an undergrad can actually get, mixing mega-fund credit arms with dedicated lenders because they offer different first jobs.</w:t>
      </w:r>
      <w:r>
        <w:rPr>
          <w:rFonts w:ascii="Arial" w:hAnsi="Arial" w:cs="Arial" w:eastAsia="Arial"/>
          <w:b w:val="0"/>
          <w:color w:val="000000"/>
          <w:sz w:val="22"/>
          <w:u w:val="none"/>
        </w:rPr>
        <w:t xml:space="preserve"> The megafund seats come with brand and strategy breadth. The dedicated-lender seats come with more underwriting reps per year. Both are real starts; the list tells you which is which. AUM and program details shift constantly, so verify each against the firm's own site before applying [VERIFY: all scale and program claims].</w:t>
      </w:r>
    </w:p>
    <w:p>
      <w:pPr>
        <w:spacing w:line="480" w:lineRule="auto" w:before="0" w:after="0"/>
      </w:pPr>
      <w:r>
        <w:rPr>
          <w:rFonts w:ascii="Arial" w:hAnsi="Arial" w:cs="Arial" w:eastAsia="Arial"/>
          <w:b/>
          <w:color w:val="000000"/>
          <w:sz w:val="36"/>
          <w:u w:val="none"/>
        </w:rPr>
        <w:t>Which private credit firms hire undergrads directly?</w:t>
      </w:r>
    </w:p>
    <w:p>
      <w:pPr>
        <w:spacing w:line="480" w:lineRule="auto" w:before="0" w:after="0"/>
      </w:pPr>
      <w:r>
        <w:rPr>
          <w:rFonts w:ascii="Arial" w:hAnsi="Arial" w:cs="Arial" w:eastAsia="Arial"/>
          <w:b w:val="0"/>
          <w:color w:val="000000"/>
          <w:sz w:val="22"/>
          <w:u w:val="none"/>
        </w:rPr>
        <w:t>The credit arms of Apollo, Blackstone, KKR, Ares, and Carlyle recruit Summer Analysts on the sophomore-fall timeline through the same portals as their PE programs. Among dedicated lenders, Golub Capital runs a structured analyst program, and Antares, Monroe, and peers post analyst and internship roles on their own calendars [VERIFY: current-cycle programs by firm].</w:t>
      </w:r>
    </w:p>
    <w:p>
      <w:pPr>
        <w:spacing w:line="480" w:lineRule="auto" w:before="0" w:after="0"/>
      </w:pPr>
      <w:r>
        <w:rPr>
          <w:rFonts w:ascii="Arial" w:hAnsi="Arial" w:cs="Arial" w:eastAsia="Arial"/>
          <w:b/>
          <w:color w:val="000000"/>
          <w:sz w:val="36"/>
          <w:u w:val="none"/>
        </w:rPr>
        <w:t>What should you optimize for when choosing among them?</w:t>
      </w:r>
    </w:p>
    <w:p>
      <w:pPr>
        <w:spacing w:line="480" w:lineRule="auto" w:before="0" w:after="0"/>
      </w:pPr>
      <w:r>
        <w:rPr>
          <w:rFonts w:ascii="Arial" w:hAnsi="Arial" w:cs="Arial" w:eastAsia="Arial"/>
          <w:b w:val="0"/>
          <w:color w:val="000000"/>
          <w:sz w:val="22"/>
          <w:u w:val="none"/>
        </w:rPr>
        <w:t>Underwriting reps, teaching seniors, and fundraising momentum, in that order. Credit hiring is skills-forward, so the platform where a first-year touches 15 credits a year builds a stronger analyst than the bigger name where juniors shadow three. Ask every interviewer how many deals a first-year touched last year.</w:t>
      </w:r>
    </w:p>
    <w:p>
      <w:pPr>
        <w:spacing w:line="480" w:lineRule="auto" w:before="0" w:after="0"/>
      </w:pPr>
      <w:r>
        <w:rPr>
          <w:rFonts w:ascii="Arial" w:hAnsi="Arial" w:cs="Arial" w:eastAsia="Arial"/>
          <w:b/>
          <w:color w:val="000000"/>
          <w:sz w:val="36"/>
          <w:u w:val="none"/>
        </w:rPr>
        <w:t>The mega-fund credit arms</w:t>
      </w:r>
    </w:p>
    <w:p>
      <w:pPr>
        <w:spacing w:line="480" w:lineRule="auto" w:before="0" w:after="0"/>
      </w:pPr>
      <w:r>
        <w:rPr>
          <w:rFonts w:ascii="Arial" w:hAnsi="Arial" w:cs="Arial" w:eastAsia="Arial"/>
          <w:b/>
          <w:color w:val="000000"/>
          <w:sz w:val="28"/>
          <w:u w:val="single"/>
        </w:rPr>
        <w:t xml:space="preserve">1. </w:t>
      </w:r>
      <w:hyperlink r:id="rId9">
        <w:r>
          <w:rPr>
            <w:rFonts w:ascii="Arial" w:hAnsi="Arial" w:cs="Arial" w:eastAsia="Arial"/>
            <w:sz w:val="28"/>
            <w:color w:val="0563C1"/>
            <w:u w:val="single"/>
            <w:b/>
          </w:rPr>
          <w:t xml:space="preserve">Ares Management</w:t>
        </w:r>
      </w:hyperlink>
    </w:p>
    <w:p>
      <w:pPr>
        <w:spacing w:line="480" w:lineRule="auto" w:before="0" w:after="0"/>
      </w:pPr>
      <w:r>
        <w:rPr>
          <w:rFonts w:ascii="Arial" w:hAnsi="Arial" w:cs="Arial" w:eastAsia="Arial"/>
          <w:b/>
          <w:color w:val="000000"/>
          <w:sz w:val="22"/>
          <w:u w:val="none"/>
        </w:rPr>
        <w:t>Ares runs one of the largest credit platforms in the world and hires undergrads directly into it.</w:t>
      </w:r>
    </w:p>
    <w:p>
      <w:pPr>
        <w:spacing w:line="480" w:lineRule="auto" w:before="0" w:after="0"/>
      </w:pPr>
      <w:r>
        <w:rPr>
          <w:rFonts w:ascii="Arial" w:hAnsi="Arial" w:cs="Arial" w:eastAsia="Arial"/>
          <w:b w:val="0"/>
          <w:color w:val="000000"/>
          <w:sz w:val="22"/>
          <w:u w:val="none"/>
        </w:rPr>
        <w:t>Ares was founded in 1997, originally spinning out of Apollo, and built credit as its core franchise rather than an add-on to PE. The credit business spans direct lending, liquid credit, opportunistic, and alternative credit, and the firm manages the largest BDC in the market in Ares Capital Corporation [VERIFY: current scale]. For a first-year, the breadth means exposure across the whole asset class inside one training program.</w:t>
      </w:r>
    </w:p>
    <w:p>
      <w:pPr>
        <w:pStyle w:val="ListBullet"/>
        <w:spacing w:line="480" w:lineRule="auto" w:before="0" w:after="0"/>
      </w:pPr>
      <w:r>
        <w:rPr>
          <w:rFonts w:ascii="Arial" w:hAnsi="Arial" w:cs="Arial" w:eastAsia="Arial"/>
          <w:b w:val="0"/>
          <w:color w:val="000000"/>
          <w:sz w:val="22"/>
          <w:u w:val="none"/>
        </w:rPr>
        <w:t>Entry: Summer Analyst and analyst programs, sophomore-fall timeline [VERIFY]</w:t>
      </w:r>
    </w:p>
    <w:p>
      <w:pPr>
        <w:pStyle w:val="ListBullet"/>
        <w:spacing w:line="480" w:lineRule="auto" w:before="0" w:after="0"/>
      </w:pPr>
      <w:r>
        <w:rPr>
          <w:rFonts w:ascii="Arial" w:hAnsi="Arial" w:cs="Arial" w:eastAsia="Arial"/>
          <w:b w:val="0"/>
          <w:color w:val="000000"/>
          <w:sz w:val="22"/>
          <w:u w:val="none"/>
        </w:rPr>
        <w:t>Known for: Credit-first franchise, Ares Capital BDC, strategy breadth</w:t>
      </w:r>
    </w:p>
    <w:p>
      <w:pPr>
        <w:pStyle w:val="ListBullet"/>
        <w:spacing w:line="480" w:lineRule="auto" w:before="0" w:after="0"/>
      </w:pPr>
      <w:r>
        <w:rPr>
          <w:rFonts w:ascii="Arial" w:hAnsi="Arial" w:cs="Arial" w:eastAsia="Arial"/>
          <w:b w:val="0"/>
          <w:color w:val="000000"/>
          <w:sz w:val="22"/>
          <w:u w:val="none"/>
        </w:rPr>
        <w:t>Seat profile: Rotation-flavored exposure across credit strategies</w:t>
      </w:r>
    </w:p>
    <w:p>
      <w:pPr>
        <w:spacing w:line="480" w:lineRule="auto" w:before="0" w:after="0"/>
      </w:pPr>
      <w:r>
        <w:rPr>
          <w:rFonts w:ascii="Arial" w:hAnsi="Arial" w:cs="Arial" w:eastAsia="Arial"/>
          <w:b/>
          <w:color w:val="000000"/>
          <w:sz w:val="22"/>
          <w:u w:val="none"/>
        </w:rPr>
        <w:t>Concrete takeaway: make Ares one of your first two applications, and know what Ares Capital Corporation is before any interview there.</w:t>
      </w:r>
    </w:p>
    <w:p>
      <w:pPr>
        <w:spacing w:line="480" w:lineRule="auto" w:before="0" w:after="0"/>
      </w:pPr>
      <w:r>
        <w:rPr>
          <w:rFonts w:ascii="Arial" w:hAnsi="Arial" w:cs="Arial" w:eastAsia="Arial"/>
          <w:b/>
          <w:color w:val="000000"/>
          <w:sz w:val="28"/>
          <w:u w:val="single"/>
        </w:rPr>
        <w:t xml:space="preserve">2. </w:t>
      </w:r>
      <w:hyperlink r:id="rId10">
        <w:r>
          <w:rPr>
            <w:rFonts w:ascii="Arial" w:hAnsi="Arial" w:cs="Arial" w:eastAsia="Arial"/>
            <w:sz w:val="28"/>
            <w:color w:val="0563C1"/>
            <w:u w:val="single"/>
            <w:b/>
          </w:rPr>
          <w:t xml:space="preserve">Blackstone Credit</w:t>
        </w:r>
      </w:hyperlink>
    </w:p>
    <w:p>
      <w:pPr>
        <w:spacing w:line="480" w:lineRule="auto" w:before="0" w:after="0"/>
      </w:pPr>
      <w:r>
        <w:rPr>
          <w:rFonts w:ascii="Arial" w:hAnsi="Arial" w:cs="Arial" w:eastAsia="Arial"/>
          <w:b/>
          <w:color w:val="000000"/>
          <w:sz w:val="22"/>
          <w:u w:val="none"/>
        </w:rPr>
        <w:t>Blackstone Credit combines the industry's most recognizable brand with the distressed-credit DNA of GSO, the franchise it absorbed.</w:t>
      </w:r>
    </w:p>
    <w:p>
      <w:pPr>
        <w:spacing w:line="480" w:lineRule="auto" w:before="0" w:after="0"/>
      </w:pPr>
      <w:r>
        <w:rPr>
          <w:rFonts w:ascii="Arial" w:hAnsi="Arial" w:cs="Arial" w:eastAsia="Arial"/>
          <w:b w:val="0"/>
          <w:color w:val="000000"/>
          <w:sz w:val="22"/>
          <w:u w:val="none"/>
        </w:rPr>
        <w:t>GSO Capital Partners, founded by Bennett Goodman, Tripp Smith, and Doug Ostrover, became Blackstone's credit arm in 2008 and was rebranded Blackstone Credit in 2020. The platform spans direct lending, opportunistic credit, and liquid strategies at mega scale [VERIFY]. Entry runs through Blackstone's Summer Analyst funnel, where credit is a placement track, so confirm the team-matching mechanics before your final round.</w:t>
      </w:r>
    </w:p>
    <w:p>
      <w:pPr>
        <w:pStyle w:val="ListBullet"/>
        <w:spacing w:line="480" w:lineRule="auto" w:before="0" w:after="0"/>
      </w:pPr>
      <w:r>
        <w:rPr>
          <w:rFonts w:ascii="Arial" w:hAnsi="Arial" w:cs="Arial" w:eastAsia="Arial"/>
          <w:b w:val="0"/>
          <w:color w:val="000000"/>
          <w:sz w:val="22"/>
          <w:u w:val="none"/>
        </w:rPr>
        <w:t>Entry: Blackstone SA funnel with credit placement [VERIFY: mechanics]</w:t>
      </w:r>
    </w:p>
    <w:p>
      <w:pPr>
        <w:pStyle w:val="ListBullet"/>
        <w:spacing w:line="480" w:lineRule="auto" w:before="0" w:after="0"/>
      </w:pPr>
      <w:r>
        <w:rPr>
          <w:rFonts w:ascii="Arial" w:hAnsi="Arial" w:cs="Arial" w:eastAsia="Arial"/>
          <w:b w:val="0"/>
          <w:color w:val="000000"/>
          <w:sz w:val="22"/>
          <w:u w:val="none"/>
        </w:rPr>
        <w:t>Known for: Brand gravity, GSO-inherited stressed capability, scale</w:t>
      </w:r>
    </w:p>
    <w:p>
      <w:pPr>
        <w:pStyle w:val="ListBullet"/>
        <w:spacing w:line="480" w:lineRule="auto" w:before="0" w:after="0"/>
      </w:pPr>
      <w:r>
        <w:rPr>
          <w:rFonts w:ascii="Arial" w:hAnsi="Arial" w:cs="Arial" w:eastAsia="Arial"/>
          <w:b w:val="0"/>
          <w:color w:val="000000"/>
          <w:sz w:val="22"/>
          <w:u w:val="none"/>
        </w:rPr>
        <w:t>Seat profile: Megafund infrastructure, name that travels everywhere</w:t>
      </w:r>
    </w:p>
    <w:p>
      <w:pPr>
        <w:spacing w:line="480" w:lineRule="auto" w:before="0" w:after="0"/>
      </w:pPr>
      <w:r>
        <w:rPr>
          <w:rFonts w:ascii="Arial" w:hAnsi="Arial" w:cs="Arial" w:eastAsia="Arial"/>
          <w:b/>
          <w:color w:val="000000"/>
          <w:sz w:val="22"/>
          <w:u w:val="none"/>
        </w:rPr>
        <w:t>Concrete takeaway: an offer from Blackstone is not automatically an offer from Blackstone Credit, so get the placement process explained before you sign.</w:t>
      </w:r>
    </w:p>
    <w:p>
      <w:pPr>
        <w:spacing w:line="480" w:lineRule="auto" w:before="0" w:after="0"/>
      </w:pPr>
      <w:r>
        <w:rPr>
          <w:rFonts w:ascii="Arial" w:hAnsi="Arial" w:cs="Arial" w:eastAsia="Arial"/>
          <w:b/>
          <w:color w:val="000000"/>
          <w:sz w:val="28"/>
          <w:u w:val="single"/>
        </w:rPr>
        <w:t xml:space="preserve">3. </w:t>
      </w:r>
      <w:hyperlink r:id="rId11">
        <w:r>
          <w:rPr>
            <w:rFonts w:ascii="Arial" w:hAnsi="Arial" w:cs="Arial" w:eastAsia="Arial"/>
            <w:sz w:val="28"/>
            <w:color w:val="0563C1"/>
            <w:u w:val="single"/>
            <w:b/>
          </w:rPr>
          <w:t xml:space="preserve">Apollo Global Management</w:t>
        </w:r>
      </w:hyperlink>
    </w:p>
    <w:p>
      <w:pPr>
        <w:spacing w:line="480" w:lineRule="auto" w:before="0" w:after="0"/>
      </w:pPr>
      <w:r>
        <w:rPr>
          <w:rFonts w:ascii="Arial" w:hAnsi="Arial" w:cs="Arial" w:eastAsia="Arial"/>
          <w:b/>
          <w:color w:val="000000"/>
          <w:sz w:val="22"/>
          <w:u w:val="none"/>
        </w:rPr>
        <w:t>Apollo pushed credit to the center of its business harder than any peer, and its credit arm now dwarfs its famous PE franchise by assets.</w:t>
      </w:r>
    </w:p>
    <w:p>
      <w:pPr>
        <w:spacing w:line="480" w:lineRule="auto" w:before="0" w:after="0"/>
      </w:pPr>
      <w:r>
        <w:rPr>
          <w:rFonts w:ascii="Arial" w:hAnsi="Arial" w:cs="Arial" w:eastAsia="Arial"/>
          <w:b w:val="0"/>
          <w:color w:val="000000"/>
          <w:sz w:val="22"/>
          <w:u w:val="none"/>
        </w:rPr>
        <w:t>The engine is insurance capital: Apollo's Athene relationship gives the credit business a permanent funding base that most competitors lack, which drives origination volume at enormous scale [VERIFY]. For candidates, that's the firm's actual story, and interviewers notice who understands it. Summer Analyst intake includes credit-track seats on the standard timeline.</w:t>
      </w:r>
    </w:p>
    <w:p>
      <w:pPr>
        <w:pStyle w:val="ListBullet"/>
        <w:spacing w:line="480" w:lineRule="auto" w:before="0" w:after="0"/>
      </w:pPr>
      <w:r>
        <w:rPr>
          <w:rFonts w:ascii="Arial" w:hAnsi="Arial" w:cs="Arial" w:eastAsia="Arial"/>
          <w:b w:val="0"/>
          <w:color w:val="000000"/>
          <w:sz w:val="22"/>
          <w:u w:val="none"/>
        </w:rPr>
        <w:t>Entry: SA programs with credit-track seats [VERIFY]</w:t>
      </w:r>
    </w:p>
    <w:p>
      <w:pPr>
        <w:pStyle w:val="ListBullet"/>
        <w:spacing w:line="480" w:lineRule="auto" w:before="0" w:after="0"/>
      </w:pPr>
      <w:r>
        <w:rPr>
          <w:rFonts w:ascii="Arial" w:hAnsi="Arial" w:cs="Arial" w:eastAsia="Arial"/>
          <w:b w:val="0"/>
          <w:color w:val="000000"/>
          <w:sz w:val="22"/>
          <w:u w:val="none"/>
        </w:rPr>
        <w:t>Known for: The largest credit business among the alternative managers, insurance-capital engine</w:t>
      </w:r>
    </w:p>
    <w:p>
      <w:pPr>
        <w:pStyle w:val="ListBullet"/>
        <w:spacing w:line="480" w:lineRule="auto" w:before="0" w:after="0"/>
      </w:pPr>
      <w:r>
        <w:rPr>
          <w:rFonts w:ascii="Arial" w:hAnsi="Arial" w:cs="Arial" w:eastAsia="Arial"/>
          <w:b w:val="0"/>
          <w:color w:val="000000"/>
          <w:sz w:val="22"/>
          <w:u w:val="none"/>
        </w:rPr>
        <w:t>Seat profile: Yield-at-scale origination machine</w:t>
      </w:r>
    </w:p>
    <w:p>
      <w:pPr>
        <w:spacing w:line="480" w:lineRule="auto" w:before="0" w:after="0"/>
      </w:pPr>
      <w:r>
        <w:rPr>
          <w:rFonts w:ascii="Arial" w:hAnsi="Arial" w:cs="Arial" w:eastAsia="Arial"/>
          <w:b/>
          <w:color w:val="000000"/>
          <w:sz w:val="22"/>
          <w:u w:val="none"/>
        </w:rPr>
        <w:t>Concrete takeaway: be able to explain in two sentences why insurance capital changes credit investing, because that answer separates prepared Apollo candidates.</w:t>
      </w:r>
    </w:p>
    <w:p>
      <w:pPr>
        <w:spacing w:line="480" w:lineRule="auto" w:before="0" w:after="0"/>
      </w:pPr>
      <w:r>
        <w:rPr>
          <w:rFonts w:ascii="Arial" w:hAnsi="Arial" w:cs="Arial" w:eastAsia="Arial"/>
          <w:b/>
          <w:color w:val="000000"/>
          <w:sz w:val="28"/>
          <w:u w:val="single"/>
        </w:rPr>
        <w:t xml:space="preserve">4. </w:t>
      </w:r>
      <w:hyperlink r:id="rId12">
        <w:r>
          <w:rPr>
            <w:rFonts w:ascii="Arial" w:hAnsi="Arial" w:cs="Arial" w:eastAsia="Arial"/>
            <w:sz w:val="28"/>
            <w:color w:val="0563C1"/>
            <w:u w:val="single"/>
            <w:b/>
          </w:rPr>
          <w:t xml:space="preserve">KKR Credit</w:t>
        </w:r>
      </w:hyperlink>
    </w:p>
    <w:p>
      <w:pPr>
        <w:spacing w:line="480" w:lineRule="auto" w:before="0" w:after="0"/>
      </w:pPr>
      <w:r>
        <w:rPr>
          <w:rFonts w:ascii="Arial" w:hAnsi="Arial" w:cs="Arial" w:eastAsia="Arial"/>
          <w:b/>
          <w:color w:val="000000"/>
          <w:sz w:val="22"/>
          <w:u w:val="none"/>
        </w:rPr>
        <w:t>KKR runs a full-spectrum credit platform inside one of the original alternatives franchises, and staffs juniors across leveraged credit, direct lending, and asset-based finance early.</w:t>
      </w:r>
    </w:p>
    <w:p>
      <w:pPr>
        <w:spacing w:line="480" w:lineRule="auto" w:before="0" w:after="0"/>
      </w:pPr>
      <w:r>
        <w:rPr>
          <w:rFonts w:ascii="Arial" w:hAnsi="Arial" w:cs="Arial" w:eastAsia="Arial"/>
          <w:b w:val="0"/>
          <w:color w:val="000000"/>
          <w:sz w:val="22"/>
          <w:u w:val="none"/>
        </w:rPr>
        <w:t>KKR's credit business dates to 2004 and now spans liquid and private strategies, with asset-based finance among its fastest-growing lines [VERIFY]. The firm publishes deal announcements and market commentary steadily, which makes specific preparation easy for candidates willing to read.</w:t>
      </w:r>
    </w:p>
    <w:p>
      <w:pPr>
        <w:pStyle w:val="ListBullet"/>
        <w:spacing w:line="480" w:lineRule="auto" w:before="0" w:after="0"/>
      </w:pPr>
      <w:r>
        <w:rPr>
          <w:rFonts w:ascii="Arial" w:hAnsi="Arial" w:cs="Arial" w:eastAsia="Arial"/>
          <w:b w:val="0"/>
          <w:color w:val="000000"/>
          <w:sz w:val="22"/>
          <w:u w:val="none"/>
        </w:rPr>
        <w:t>Entry: KKR undergrad analyst funnel with credit placement [VERIFY]</w:t>
      </w:r>
    </w:p>
    <w:p>
      <w:pPr>
        <w:pStyle w:val="ListBullet"/>
        <w:spacing w:line="480" w:lineRule="auto" w:before="0" w:after="0"/>
      </w:pPr>
      <w:r>
        <w:rPr>
          <w:rFonts w:ascii="Arial" w:hAnsi="Arial" w:cs="Arial" w:eastAsia="Arial"/>
          <w:b w:val="0"/>
          <w:color w:val="000000"/>
          <w:sz w:val="22"/>
          <w:u w:val="none"/>
        </w:rPr>
        <w:t>Known for: Breadth across credit, integration with the broader KKR platform</w:t>
      </w:r>
    </w:p>
    <w:p>
      <w:pPr>
        <w:pStyle w:val="ListBullet"/>
        <w:spacing w:line="480" w:lineRule="auto" w:before="0" w:after="0"/>
      </w:pPr>
      <w:r>
        <w:rPr>
          <w:rFonts w:ascii="Arial" w:hAnsi="Arial" w:cs="Arial" w:eastAsia="Arial"/>
          <w:b w:val="0"/>
          <w:color w:val="000000"/>
          <w:sz w:val="22"/>
          <w:u w:val="none"/>
        </w:rPr>
        <w:t>Seat profile: Early responsibility inside a diversified machine</w:t>
      </w:r>
    </w:p>
    <w:p>
      <w:pPr>
        <w:spacing w:line="480" w:lineRule="auto" w:before="0" w:after="0"/>
      </w:pPr>
      <w:r>
        <w:rPr>
          <w:rFonts w:ascii="Arial" w:hAnsi="Arial" w:cs="Arial" w:eastAsia="Arial"/>
          <w:b/>
          <w:color w:val="000000"/>
          <w:sz w:val="22"/>
          <w:u w:val="none"/>
        </w:rPr>
        <w:t>Concrete takeaway: reference one named KKR credit deal from the firm's own announcements in your interview, because their process rewards visible homework.</w:t>
      </w:r>
    </w:p>
    <w:p>
      <w:pPr>
        <w:spacing w:line="480" w:lineRule="auto" w:before="0" w:after="0"/>
      </w:pPr>
      <w:r>
        <w:rPr>
          <w:rFonts w:ascii="Arial" w:hAnsi="Arial" w:cs="Arial" w:eastAsia="Arial"/>
          <w:b/>
          <w:color w:val="000000"/>
          <w:sz w:val="36"/>
          <w:u w:val="none"/>
        </w:rPr>
        <w:t>The dedicated lenders</w:t>
      </w:r>
    </w:p>
    <w:p>
      <w:pPr>
        <w:spacing w:line="480" w:lineRule="auto" w:before="0" w:after="0"/>
      </w:pPr>
      <w:r>
        <w:rPr>
          <w:rFonts w:ascii="Arial" w:hAnsi="Arial" w:cs="Arial" w:eastAsia="Arial"/>
          <w:b/>
          <w:color w:val="000000"/>
          <w:sz w:val="28"/>
          <w:u w:val="single"/>
        </w:rPr>
        <w:t xml:space="preserve">5. </w:t>
      </w:r>
      <w:hyperlink r:id="rId13">
        <w:r>
          <w:rPr>
            <w:rFonts w:ascii="Arial" w:hAnsi="Arial" w:cs="Arial" w:eastAsia="Arial"/>
            <w:sz w:val="28"/>
            <w:color w:val="0563C1"/>
            <w:u w:val="single"/>
            <w:b/>
          </w:rPr>
          <w:t xml:space="preserve">HPS, a part of BlackRock</w:t>
        </w:r>
      </w:hyperlink>
    </w:p>
    <w:p>
      <w:pPr>
        <w:spacing w:line="480" w:lineRule="auto" w:before="0" w:after="0"/>
      </w:pPr>
      <w:r>
        <w:rPr>
          <w:rFonts w:ascii="Arial" w:hAnsi="Arial" w:cs="Arial" w:eastAsia="Arial"/>
          <w:b/>
          <w:color w:val="000000"/>
          <w:sz w:val="22"/>
          <w:u w:val="none"/>
        </w:rPr>
        <w:t>HPS built the premier dedicated junior-capital and large-cap direct lending franchise, and BlackRock's 2025 acquisition attached the world's largest asset manager to it.</w:t>
      </w:r>
    </w:p>
    <w:p>
      <w:pPr>
        <w:spacing w:line="480" w:lineRule="auto" w:before="0" w:after="0"/>
      </w:pPr>
      <w:r>
        <w:rPr>
          <w:rFonts w:ascii="Arial" w:hAnsi="Arial" w:cs="Arial" w:eastAsia="Arial"/>
          <w:b w:val="0"/>
          <w:color w:val="000000"/>
          <w:sz w:val="22"/>
          <w:u w:val="none"/>
        </w:rPr>
        <w:t>HPS began inside JPMorgan as Highbridge Principal Strategies, founded by Scott Kapnick, and spun out independent in 2016. BlackRock completed its roughly $12 billion acquisition in July 2025, folding HPS into a combined private financing platform near $190 billion [VERIFY: post-acquisition structure]. Analyst intakes have historically been small and competitive, and the integration makes program structure worth confirming directly.</w:t>
      </w:r>
    </w:p>
    <w:p>
      <w:pPr>
        <w:pStyle w:val="ListBullet"/>
        <w:spacing w:line="480" w:lineRule="auto" w:before="0" w:after="0"/>
      </w:pPr>
      <w:r>
        <w:rPr>
          <w:rFonts w:ascii="Arial" w:hAnsi="Arial" w:cs="Arial" w:eastAsia="Arial"/>
          <w:b w:val="0"/>
          <w:color w:val="000000"/>
          <w:sz w:val="22"/>
          <w:u w:val="none"/>
        </w:rPr>
        <w:t>Entry: Small analyst intakes [VERIFY: current program]</w:t>
      </w:r>
    </w:p>
    <w:p>
      <w:pPr>
        <w:pStyle w:val="ListBullet"/>
        <w:spacing w:line="480" w:lineRule="auto" w:before="0" w:after="0"/>
      </w:pPr>
      <w:r>
        <w:rPr>
          <w:rFonts w:ascii="Arial" w:hAnsi="Arial" w:cs="Arial" w:eastAsia="Arial"/>
          <w:b w:val="0"/>
          <w:color w:val="000000"/>
          <w:sz w:val="22"/>
          <w:u w:val="none"/>
        </w:rPr>
        <w:t>Known for: Junior capital, large-cap direct lending, now BlackRock distribution</w:t>
      </w:r>
    </w:p>
    <w:p>
      <w:pPr>
        <w:pStyle w:val="ListBullet"/>
        <w:spacing w:line="480" w:lineRule="auto" w:before="0" w:after="0"/>
      </w:pPr>
      <w:r>
        <w:rPr>
          <w:rFonts w:ascii="Arial" w:hAnsi="Arial" w:cs="Arial" w:eastAsia="Arial"/>
          <w:b w:val="0"/>
          <w:color w:val="000000"/>
          <w:sz w:val="22"/>
          <w:u w:val="none"/>
        </w:rPr>
        <w:t>Seat profile: Elite dedicated-lender reps inside a platform mid-evolution</w:t>
      </w:r>
    </w:p>
    <w:p>
      <w:pPr>
        <w:spacing w:line="480" w:lineRule="auto" w:before="0" w:after="0"/>
      </w:pPr>
      <w:r>
        <w:rPr>
          <w:rFonts w:ascii="Arial" w:hAnsi="Arial" w:cs="Arial" w:eastAsia="Arial"/>
          <w:b/>
          <w:color w:val="000000"/>
          <w:sz w:val="22"/>
          <w:u w:val="none"/>
        </w:rPr>
        <w:t>Concrete takeaway: ask interviewers how the BlackRock integration changes the analyst seat, a question that signals you follow the industry rather than just its rankings.</w:t>
      </w:r>
    </w:p>
    <w:p>
      <w:pPr>
        <w:spacing w:line="480" w:lineRule="auto" w:before="0" w:after="0"/>
      </w:pPr>
      <w:r>
        <w:rPr>
          <w:rFonts w:ascii="Arial" w:hAnsi="Arial" w:cs="Arial" w:eastAsia="Arial"/>
          <w:b/>
          <w:color w:val="000000"/>
          <w:sz w:val="28"/>
          <w:u w:val="single"/>
        </w:rPr>
        <w:t xml:space="preserve">6. </w:t>
      </w:r>
      <w:hyperlink r:id="rId14">
        <w:r>
          <w:rPr>
            <w:rFonts w:ascii="Arial" w:hAnsi="Arial" w:cs="Arial" w:eastAsia="Arial"/>
            <w:sz w:val="28"/>
            <w:color w:val="0563C1"/>
            <w:u w:val="single"/>
            <w:b/>
          </w:rPr>
          <w:t xml:space="preserve">Sixth Street</w:t>
        </w:r>
      </w:hyperlink>
    </w:p>
    <w:p>
      <w:pPr>
        <w:spacing w:line="480" w:lineRule="auto" w:before="0" w:after="0"/>
      </w:pPr>
      <w:r>
        <w:rPr>
          <w:rFonts w:ascii="Arial" w:hAnsi="Arial" w:cs="Arial" w:eastAsia="Arial"/>
          <w:b/>
          <w:color w:val="000000"/>
          <w:sz w:val="22"/>
          <w:u w:val="none"/>
        </w:rPr>
        <w:t>Sixth Street underwrites situations that don't fit templates, sports franchises, royalty streams, growth lending, and its analysts learn structuring creativity that vanilla direct lending never teaches.</w:t>
      </w:r>
    </w:p>
    <w:p>
      <w:pPr>
        <w:spacing w:line="480" w:lineRule="auto" w:before="0" w:after="0"/>
      </w:pPr>
      <w:r>
        <w:rPr>
          <w:rFonts w:ascii="Arial" w:hAnsi="Arial" w:cs="Arial" w:eastAsia="Arial"/>
          <w:b w:val="0"/>
          <w:color w:val="000000"/>
          <w:sz w:val="22"/>
          <w:u w:val="none"/>
        </w:rPr>
        <w:t>The firm spun out of TPG's special situations business (TSSP) and became fully independent in 2020, led by Alan Waxman. Its deals make headlines outside finance: sports and media financings, structured growth capital, opportunistic credit [VERIFY: platform details]. Analyst classes run small and selective, and interviews reward thinking over recitation.</w:t>
      </w:r>
    </w:p>
    <w:p>
      <w:pPr>
        <w:pStyle w:val="ListBullet"/>
        <w:spacing w:line="480" w:lineRule="auto" w:before="0" w:after="0"/>
      </w:pPr>
      <w:r>
        <w:rPr>
          <w:rFonts w:ascii="Arial" w:hAnsi="Arial" w:cs="Arial" w:eastAsia="Arial"/>
          <w:b w:val="0"/>
          <w:color w:val="000000"/>
          <w:sz w:val="22"/>
          <w:u w:val="none"/>
        </w:rPr>
        <w:t>Entry: Small, selective analyst classes [VERIFY]</w:t>
      </w:r>
    </w:p>
    <w:p>
      <w:pPr>
        <w:pStyle w:val="ListBullet"/>
        <w:spacing w:line="480" w:lineRule="auto" w:before="0" w:after="0"/>
      </w:pPr>
      <w:r>
        <w:rPr>
          <w:rFonts w:ascii="Arial" w:hAnsi="Arial" w:cs="Arial" w:eastAsia="Arial"/>
          <w:b w:val="0"/>
          <w:color w:val="000000"/>
          <w:sz w:val="22"/>
          <w:u w:val="none"/>
        </w:rPr>
        <w:t>Known for: Bespoke structures, thematic investing, sports and media deals</w:t>
      </w:r>
    </w:p>
    <w:p>
      <w:pPr>
        <w:pStyle w:val="ListBullet"/>
        <w:spacing w:line="480" w:lineRule="auto" w:before="0" w:after="0"/>
      </w:pPr>
      <w:r>
        <w:rPr>
          <w:rFonts w:ascii="Arial" w:hAnsi="Arial" w:cs="Arial" w:eastAsia="Arial"/>
          <w:b w:val="0"/>
          <w:color w:val="000000"/>
          <w:sz w:val="22"/>
          <w:u w:val="none"/>
        </w:rPr>
        <w:t>Seat profile: The most intellectually varied credit seat on this list</w:t>
      </w:r>
    </w:p>
    <w:p>
      <w:pPr>
        <w:spacing w:line="480" w:lineRule="auto" w:before="0" w:after="0"/>
      </w:pPr>
      <w:r>
        <w:rPr>
          <w:rFonts w:ascii="Arial" w:hAnsi="Arial" w:cs="Arial" w:eastAsia="Arial"/>
          <w:b/>
          <w:color w:val="000000"/>
          <w:sz w:val="22"/>
          <w:u w:val="none"/>
        </w:rPr>
        <w:t>Concrete takeaway: target Sixth Street if structuring novelty excites you more than volume, and bring a view on one of their public deals.</w:t>
      </w:r>
    </w:p>
    <w:p>
      <w:pPr>
        <w:spacing w:line="480" w:lineRule="auto" w:before="0" w:after="0"/>
      </w:pPr>
      <w:r>
        <w:rPr>
          <w:rFonts w:ascii="Arial" w:hAnsi="Arial" w:cs="Arial" w:eastAsia="Arial"/>
          <w:b/>
          <w:color w:val="000000"/>
          <w:sz w:val="28"/>
          <w:u w:val="single"/>
        </w:rPr>
        <w:t xml:space="preserve">7. </w:t>
      </w:r>
      <w:hyperlink r:id="rId15">
        <w:r>
          <w:rPr>
            <w:rFonts w:ascii="Arial" w:hAnsi="Arial" w:cs="Arial" w:eastAsia="Arial"/>
            <w:sz w:val="28"/>
            <w:color w:val="0563C1"/>
            <w:u w:val="single"/>
            <w:b/>
          </w:rPr>
          <w:t xml:space="preserve">Blue Owl Capital</w:t>
        </w:r>
      </w:hyperlink>
    </w:p>
    <w:p>
      <w:pPr>
        <w:spacing w:line="480" w:lineRule="auto" w:before="0" w:after="0"/>
      </w:pPr>
      <w:r>
        <w:rPr>
          <w:rFonts w:ascii="Arial" w:hAnsi="Arial" w:cs="Arial" w:eastAsia="Arial"/>
          <w:b/>
          <w:color w:val="000000"/>
          <w:sz w:val="22"/>
          <w:u w:val="none"/>
        </w:rPr>
        <w:t>Blue Owl built its lending franchise on permanent capital, which changes both the firm's economics and the rhythm of its analyst seats.</w:t>
      </w:r>
    </w:p>
    <w:p>
      <w:pPr>
        <w:spacing w:line="480" w:lineRule="auto" w:before="0" w:after="0"/>
      </w:pPr>
      <w:r>
        <w:rPr>
          <w:rFonts w:ascii="Arial" w:hAnsi="Arial" w:cs="Arial" w:eastAsia="Arial"/>
          <w:b w:val="0"/>
          <w:color w:val="000000"/>
          <w:sz w:val="22"/>
          <w:u w:val="none"/>
        </w:rPr>
        <w:t>The firm formed in 2021 when Owl Rock, the direct lender founded by Doug Ostrover after GSO, merged with Dyal Capital via SPAC. Its BDC complex anchors upper-middle-market lending with capital that doesn't hand money back on a fund clock [VERIFY]. Analysts get steady origination flow plus the public-vehicle discipline of quarterly marks and reporting.</w:t>
      </w:r>
    </w:p>
    <w:p>
      <w:pPr>
        <w:pStyle w:val="ListBullet"/>
        <w:spacing w:line="480" w:lineRule="auto" w:before="0" w:after="0"/>
      </w:pPr>
      <w:r>
        <w:rPr>
          <w:rFonts w:ascii="Arial" w:hAnsi="Arial" w:cs="Arial" w:eastAsia="Arial"/>
          <w:b w:val="0"/>
          <w:color w:val="000000"/>
          <w:sz w:val="22"/>
          <w:u w:val="none"/>
        </w:rPr>
        <w:t>Entry: Analyst roles across the credit business [VERIFY]</w:t>
      </w:r>
    </w:p>
    <w:p>
      <w:pPr>
        <w:pStyle w:val="ListBullet"/>
        <w:spacing w:line="480" w:lineRule="auto" w:before="0" w:after="0"/>
      </w:pPr>
      <w:r>
        <w:rPr>
          <w:rFonts w:ascii="Arial" w:hAnsi="Arial" w:cs="Arial" w:eastAsia="Arial"/>
          <w:b w:val="0"/>
          <w:color w:val="000000"/>
          <w:sz w:val="22"/>
          <w:u w:val="none"/>
        </w:rPr>
        <w:t>Known for: Permanent capital, BDC scale, upper-middle-market direct lending</w:t>
      </w:r>
    </w:p>
    <w:p>
      <w:pPr>
        <w:pStyle w:val="ListBullet"/>
        <w:spacing w:line="480" w:lineRule="auto" w:before="0" w:after="0"/>
      </w:pPr>
      <w:r>
        <w:rPr>
          <w:rFonts w:ascii="Arial" w:hAnsi="Arial" w:cs="Arial" w:eastAsia="Arial"/>
          <w:b w:val="0"/>
          <w:color w:val="000000"/>
          <w:sz w:val="22"/>
          <w:u w:val="none"/>
        </w:rPr>
        <w:t>Seat profile: Portfolio-building rhythm over deal-count sprinting</w:t>
      </w:r>
    </w:p>
    <w:p>
      <w:pPr>
        <w:spacing w:line="480" w:lineRule="auto" w:before="0" w:after="0"/>
      </w:pPr>
      <w:r>
        <w:rPr>
          <w:rFonts w:ascii="Arial" w:hAnsi="Arial" w:cs="Arial" w:eastAsia="Arial"/>
          <w:b/>
          <w:color w:val="000000"/>
          <w:sz w:val="22"/>
          <w:u w:val="none"/>
        </w:rPr>
        <w:t>Concrete takeaway: understand BDC mechanics, NAV, incentive fees, dividend coverage, before interviewing here, because permanent capital is the firm's defining idea.</w:t>
      </w:r>
    </w:p>
    <w:p>
      <w:pPr>
        <w:spacing w:line="480" w:lineRule="auto" w:before="0" w:after="0"/>
      </w:pPr>
      <w:r>
        <w:rPr>
          <w:rFonts w:ascii="Arial" w:hAnsi="Arial" w:cs="Arial" w:eastAsia="Arial"/>
          <w:b/>
          <w:color w:val="000000"/>
          <w:sz w:val="28"/>
          <w:u w:val="single"/>
        </w:rPr>
        <w:t xml:space="preserve">8. </w:t>
      </w:r>
      <w:hyperlink r:id="rId16">
        <w:r>
          <w:rPr>
            <w:rFonts w:ascii="Arial" w:hAnsi="Arial" w:cs="Arial" w:eastAsia="Arial"/>
            <w:sz w:val="28"/>
            <w:color w:val="0563C1"/>
            <w:u w:val="single"/>
            <w:b/>
          </w:rPr>
          <w:t xml:space="preserve">Golub Capital</w:t>
        </w:r>
      </w:hyperlink>
    </w:p>
    <w:p>
      <w:pPr>
        <w:spacing w:line="480" w:lineRule="auto" w:before="0" w:after="0"/>
      </w:pPr>
      <w:r>
        <w:rPr>
          <w:rFonts w:ascii="Arial" w:hAnsi="Arial" w:cs="Arial" w:eastAsia="Arial"/>
          <w:b/>
          <w:color w:val="000000"/>
          <w:sz w:val="22"/>
          <w:u w:val="none"/>
        </w:rPr>
        <w:t>Golub underwrites middle-market loans at a volume that gives its analysts more reps per year than any comparable seat.</w:t>
      </w:r>
    </w:p>
    <w:p>
      <w:pPr>
        <w:spacing w:line="480" w:lineRule="auto" w:before="0" w:after="0"/>
      </w:pPr>
      <w:r>
        <w:rPr>
          <w:rFonts w:ascii="Arial" w:hAnsi="Arial" w:cs="Arial" w:eastAsia="Arial"/>
          <w:b w:val="0"/>
          <w:color w:val="000000"/>
          <w:sz w:val="22"/>
          <w:u w:val="none"/>
        </w:rPr>
        <w:t>Founded in 1994 by Lawrence Golub, the firm became one of the largest dedicated middle-market lenders, known for one-stop financings to sponsor-backed companies and for long relationships with repeat sponsors [VERIFY]. The analyst program is structured, with a real undergrad intake, and the training reputation travels well across credit.</w:t>
      </w:r>
    </w:p>
    <w:p>
      <w:pPr>
        <w:pStyle w:val="ListBullet"/>
        <w:spacing w:line="480" w:lineRule="auto" w:before="0" w:after="0"/>
      </w:pPr>
      <w:r>
        <w:rPr>
          <w:rFonts w:ascii="Arial" w:hAnsi="Arial" w:cs="Arial" w:eastAsia="Arial"/>
          <w:b w:val="0"/>
          <w:color w:val="000000"/>
          <w:sz w:val="22"/>
          <w:u w:val="none"/>
        </w:rPr>
        <w:t>Entry: Structured analyst program with undergrad intake [VERIFY]</w:t>
      </w:r>
    </w:p>
    <w:p>
      <w:pPr>
        <w:pStyle w:val="ListBullet"/>
        <w:spacing w:line="480" w:lineRule="auto" w:before="0" w:after="0"/>
      </w:pPr>
      <w:r>
        <w:rPr>
          <w:rFonts w:ascii="Arial" w:hAnsi="Arial" w:cs="Arial" w:eastAsia="Arial"/>
          <w:b w:val="0"/>
          <w:color w:val="000000"/>
          <w:sz w:val="22"/>
          <w:u w:val="none"/>
        </w:rPr>
        <w:t>Known for: Sponsor-backed middle-market lending at volume, one-stop deals</w:t>
      </w:r>
    </w:p>
    <w:p>
      <w:pPr>
        <w:pStyle w:val="ListBullet"/>
        <w:spacing w:line="480" w:lineRule="auto" w:before="0" w:after="0"/>
      </w:pPr>
      <w:r>
        <w:rPr>
          <w:rFonts w:ascii="Arial" w:hAnsi="Arial" w:cs="Arial" w:eastAsia="Arial"/>
          <w:b w:val="0"/>
          <w:color w:val="000000"/>
          <w:sz w:val="22"/>
          <w:u w:val="none"/>
        </w:rPr>
        <w:t>Seat profile: Maximum underwriting reps, deepest specialization</w:t>
      </w:r>
    </w:p>
    <w:p>
      <w:pPr>
        <w:spacing w:line="480" w:lineRule="auto" w:before="0" w:after="0"/>
      </w:pPr>
      <w:r>
        <w:rPr>
          <w:rFonts w:ascii="Arial" w:hAnsi="Arial" w:cs="Arial" w:eastAsia="Arial"/>
          <w:b/>
          <w:color w:val="000000"/>
          <w:sz w:val="22"/>
          <w:u w:val="none"/>
        </w:rPr>
        <w:t>Concrete takeaway: pick Golub when reps are your priority, because underwriting volume is the fastest teacher in credit.</w:t>
      </w:r>
    </w:p>
    <w:p>
      <w:pPr>
        <w:spacing w:line="480" w:lineRule="auto" w:before="0" w:after="0"/>
      </w:pPr>
      <w:r>
        <w:rPr>
          <w:rFonts w:ascii="Arial" w:hAnsi="Arial" w:cs="Arial" w:eastAsia="Arial"/>
          <w:b/>
          <w:color w:val="000000"/>
          <w:sz w:val="28"/>
          <w:u w:val="single"/>
        </w:rPr>
        <w:t xml:space="preserve">9. </w:t>
      </w:r>
      <w:hyperlink r:id="rId17">
        <w:r>
          <w:rPr>
            <w:rFonts w:ascii="Arial" w:hAnsi="Arial" w:cs="Arial" w:eastAsia="Arial"/>
            <w:sz w:val="28"/>
            <w:color w:val="0563C1"/>
            <w:u w:val="single"/>
            <w:b/>
          </w:rPr>
          <w:t xml:space="preserve">Antares Capital</w:t>
        </w:r>
      </w:hyperlink>
    </w:p>
    <w:p>
      <w:pPr>
        <w:spacing w:line="480" w:lineRule="auto" w:before="0" w:after="0"/>
      </w:pPr>
      <w:r>
        <w:rPr>
          <w:rFonts w:ascii="Arial" w:hAnsi="Arial" w:cs="Arial" w:eastAsia="Arial"/>
          <w:b/>
          <w:color w:val="000000"/>
          <w:sz w:val="22"/>
          <w:u w:val="none"/>
        </w:rPr>
        <w:t>Antares anchors sponsor finance in the middle market, with a lineage that runs through GE Capital and two decades of repeat-sponsor relationships.</w:t>
      </w:r>
    </w:p>
    <w:p>
      <w:pPr>
        <w:spacing w:line="480" w:lineRule="auto" w:before="0" w:after="0"/>
      </w:pPr>
      <w:r>
        <w:rPr>
          <w:rFonts w:ascii="Arial" w:hAnsi="Arial" w:cs="Arial" w:eastAsia="Arial"/>
          <w:b w:val="0"/>
          <w:color w:val="000000"/>
          <w:sz w:val="22"/>
          <w:u w:val="none"/>
        </w:rPr>
        <w:t>The business grew up as GE Antares inside GE Capital, and CPPIB acquired it in 2015 when GE unwound its finance arm [VERIFY]. Chicago-centered, sponsor-focused, and disciplined, Antares is the lender many middle-market PE firms call first, which means analyst work concentrated in exactly the sponsor-backed deal flow that defines the asset class.</w:t>
      </w:r>
    </w:p>
    <w:p>
      <w:pPr>
        <w:pStyle w:val="ListBullet"/>
        <w:spacing w:line="480" w:lineRule="auto" w:before="0" w:after="0"/>
      </w:pPr>
      <w:r>
        <w:rPr>
          <w:rFonts w:ascii="Arial" w:hAnsi="Arial" w:cs="Arial" w:eastAsia="Arial"/>
          <w:b w:val="0"/>
          <w:color w:val="000000"/>
          <w:sz w:val="22"/>
          <w:u w:val="none"/>
        </w:rPr>
        <w:t>Entry: Analyst and internship intakes [VERIFY]</w:t>
      </w:r>
    </w:p>
    <w:p>
      <w:pPr>
        <w:pStyle w:val="ListBullet"/>
        <w:spacing w:line="480" w:lineRule="auto" w:before="0" w:after="0"/>
      </w:pPr>
      <w:r>
        <w:rPr>
          <w:rFonts w:ascii="Arial" w:hAnsi="Arial" w:cs="Arial" w:eastAsia="Arial"/>
          <w:b w:val="0"/>
          <w:color w:val="000000"/>
          <w:sz w:val="22"/>
          <w:u w:val="none"/>
        </w:rPr>
        <w:t>Known for: Sponsor relationships, GE Capital underwriting heritage</w:t>
      </w:r>
    </w:p>
    <w:p>
      <w:pPr>
        <w:pStyle w:val="ListBullet"/>
        <w:spacing w:line="480" w:lineRule="auto" w:before="0" w:after="0"/>
      </w:pPr>
      <w:r>
        <w:rPr>
          <w:rFonts w:ascii="Arial" w:hAnsi="Arial" w:cs="Arial" w:eastAsia="Arial"/>
          <w:b w:val="0"/>
          <w:color w:val="000000"/>
          <w:sz w:val="22"/>
          <w:u w:val="none"/>
        </w:rPr>
        <w:t>Seat profile: The classic middle-market credit training ground</w:t>
      </w:r>
    </w:p>
    <w:p>
      <w:pPr>
        <w:spacing w:line="480" w:lineRule="auto" w:before="0" w:after="0"/>
      </w:pPr>
      <w:r>
        <w:rPr>
          <w:rFonts w:ascii="Arial" w:hAnsi="Arial" w:cs="Arial" w:eastAsia="Arial"/>
          <w:b/>
          <w:color w:val="000000"/>
          <w:sz w:val="22"/>
          <w:u w:val="none"/>
        </w:rPr>
        <w:t>Concrete takeaway: talk about repeat-sponsor dynamics in your interview, because the relationship engine is the firm's actual moat and candidates who see it stand out.</w:t>
      </w:r>
    </w:p>
    <w:p>
      <w:pPr>
        <w:spacing w:line="480" w:lineRule="auto" w:before="0" w:after="0"/>
      </w:pPr>
      <w:r>
        <w:rPr>
          <w:rFonts w:ascii="Arial" w:hAnsi="Arial" w:cs="Arial" w:eastAsia="Arial"/>
          <w:b/>
          <w:color w:val="000000"/>
          <w:sz w:val="28"/>
          <w:u w:val="single"/>
        </w:rPr>
        <w:t xml:space="preserve">10. </w:t>
      </w:r>
      <w:hyperlink r:id="rId18">
        <w:r>
          <w:rPr>
            <w:rFonts w:ascii="Arial" w:hAnsi="Arial" w:cs="Arial" w:eastAsia="Arial"/>
            <w:sz w:val="28"/>
            <w:color w:val="0563C1"/>
            <w:u w:val="single"/>
            <w:b/>
          </w:rPr>
          <w:t xml:space="preserve">Monroe Capital</w:t>
        </w:r>
      </w:hyperlink>
    </w:p>
    <w:p>
      <w:pPr>
        <w:spacing w:line="480" w:lineRule="auto" w:before="0" w:after="0"/>
      </w:pPr>
      <w:r>
        <w:rPr>
          <w:rFonts w:ascii="Arial" w:hAnsi="Arial" w:cs="Arial" w:eastAsia="Arial"/>
          <w:b/>
          <w:color w:val="000000"/>
          <w:sz w:val="22"/>
          <w:u w:val="none"/>
        </w:rPr>
        <w:t>Monroe lends in the lower middle market, where deals are small enough that a junior analyst's work actually moves the decision.</w:t>
      </w:r>
    </w:p>
    <w:p>
      <w:pPr>
        <w:spacing w:line="480" w:lineRule="auto" w:before="0" w:after="0"/>
      </w:pPr>
      <w:r>
        <w:rPr>
          <w:rFonts w:ascii="Arial" w:hAnsi="Arial" w:cs="Arial" w:eastAsia="Arial"/>
          <w:b w:val="0"/>
          <w:color w:val="000000"/>
          <w:sz w:val="22"/>
          <w:u w:val="none"/>
        </w:rPr>
        <w:t>Founded in 2004 by Ted Koenig and headquartered in Chicago, Monroe built a specialty and lower-middle-market franchise across direct lending, opportunistic, and asset-based strategies [VERIFY]. Smaller intakes, more responsibility per analyst, and an applicant pool a fraction of the megafunds', which makes it the realistic-odds anchor of this list.</w:t>
      </w:r>
    </w:p>
    <w:p>
      <w:pPr>
        <w:pStyle w:val="ListBullet"/>
        <w:spacing w:line="480" w:lineRule="auto" w:before="0" w:after="0"/>
      </w:pPr>
      <w:r>
        <w:rPr>
          <w:rFonts w:ascii="Arial" w:hAnsi="Arial" w:cs="Arial" w:eastAsia="Arial"/>
          <w:b w:val="0"/>
          <w:color w:val="000000"/>
          <w:sz w:val="22"/>
          <w:u w:val="none"/>
        </w:rPr>
        <w:t>Entry: Smaller analyst intakes, networking-responsive [VERIFY]</w:t>
      </w:r>
    </w:p>
    <w:p>
      <w:pPr>
        <w:pStyle w:val="ListBullet"/>
        <w:spacing w:line="480" w:lineRule="auto" w:before="0" w:after="0"/>
      </w:pPr>
      <w:r>
        <w:rPr>
          <w:rFonts w:ascii="Arial" w:hAnsi="Arial" w:cs="Arial" w:eastAsia="Arial"/>
          <w:b w:val="0"/>
          <w:color w:val="000000"/>
          <w:sz w:val="22"/>
          <w:u w:val="none"/>
        </w:rPr>
        <w:t>Known for: Lower-middle-market and specialty lending</w:t>
      </w:r>
    </w:p>
    <w:p>
      <w:pPr>
        <w:pStyle w:val="ListBullet"/>
        <w:spacing w:line="480" w:lineRule="auto" w:before="0" w:after="0"/>
      </w:pPr>
      <w:r>
        <w:rPr>
          <w:rFonts w:ascii="Arial" w:hAnsi="Arial" w:cs="Arial" w:eastAsia="Arial"/>
          <w:b w:val="0"/>
          <w:color w:val="000000"/>
          <w:sz w:val="22"/>
          <w:u w:val="none"/>
        </w:rPr>
        <w:t>Seat profile: Highest responsibility-to-competition ratio on the list</w:t>
      </w:r>
    </w:p>
    <w:p>
      <w:pPr>
        <w:spacing w:line="480" w:lineRule="auto" w:before="0" w:after="0"/>
      </w:pPr>
      <w:r>
        <w:rPr>
          <w:rFonts w:ascii="Arial" w:hAnsi="Arial" w:cs="Arial" w:eastAsia="Arial"/>
          <w:b/>
          <w:color w:val="000000"/>
          <w:sz w:val="22"/>
          <w:u w:val="none"/>
        </w:rPr>
        <w:t>Concrete takeaway: put Monroe and firms like it on every application list, because the seat teaches the same craft with far better odds.</w:t>
      </w:r>
    </w:p>
    <w:p>
      <w:pPr>
        <w:spacing w:line="480" w:lineRule="auto" w:before="0" w:after="0"/>
      </w:pPr>
      <w:r>
        <w:rPr>
          <w:rFonts w:ascii="Arial" w:hAnsi="Arial" w:cs="Arial" w:eastAsia="Arial"/>
          <w:b/>
          <w:color w:val="000000"/>
          <w:sz w:val="36"/>
          <w:u w:val="none"/>
        </w:rPr>
        <w:t>What's not on this list</w:t>
      </w:r>
    </w:p>
    <w:p>
      <w:pPr>
        <w:spacing w:line="480" w:lineRule="auto" w:before="0" w:after="0"/>
      </w:pPr>
      <w:r>
        <w:rPr>
          <w:rFonts w:ascii="Arial" w:hAnsi="Arial" w:cs="Arial" w:eastAsia="Arial"/>
          <w:b w:val="0"/>
          <w:color w:val="000000"/>
          <w:sz w:val="22"/>
          <w:u w:val="none"/>
        </w:rPr>
        <w:t>Oaktree, the most famous credit house of all, tilts distressed and hires experienced, an exit more than an entry [VERIFY]. Carlyle Credit runs real programs and just missed the cut. Barings and Churchill are solid platforms one notch down in seat quality. The bank credit desks at JPMorgan, Goldman, and Morgan Stanley are legitimate entries on bank pay, covered in our Top 10 Private Credit Jobs piece. And distressed funds like Elliott and Davidson Kempner don't hire undergrads at all; they hire the people this list produces.</w:t>
      </w:r>
    </w:p>
    <w:p>
      <w:pPr>
        <w:spacing w:line="480" w:lineRule="auto" w:before="0" w:after="0"/>
      </w:pPr>
      <w:r>
        <w:rPr>
          <w:rFonts w:ascii="Arial" w:hAnsi="Arial" w:cs="Arial" w:eastAsia="Arial"/>
          <w:b/>
          <w:color w:val="000000"/>
          <w:sz w:val="36"/>
          <w:u w:val="none"/>
        </w:rPr>
        <w:t>Running the list as a strategy</w:t>
      </w:r>
    </w:p>
    <w:p>
      <w:pPr>
        <w:spacing w:line="480" w:lineRule="auto" w:before="0" w:after="0"/>
      </w:pPr>
      <w:r>
        <w:rPr>
          <w:rFonts w:ascii="Arial" w:hAnsi="Arial" w:cs="Arial" w:eastAsia="Arial"/>
          <w:b w:val="0"/>
          <w:color w:val="000000"/>
          <w:sz w:val="22"/>
          <w:u w:val="none"/>
        </w:rPr>
        <w:t>Apply to all ten. Credit classes of 15 to 40 make single-firm fixation irrational, the materials overlap 80 percent, and the megafund windows close earliest, so sequence those first [VERIFY: current dates]. Network two analysts per target firm using your alumni database, searching by firm name rather than "private equity." And bring the one artifact almost no candidate produces: the practice credit memo from our Beginner's Guide to Private Credit, marked up by someone who does the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res.com" TargetMode="External"/><Relationship Id="rId10" Type="http://schemas.openxmlformats.org/officeDocument/2006/relationships/hyperlink" Target="https://www.blackstone.com" TargetMode="External"/><Relationship Id="rId11" Type="http://schemas.openxmlformats.org/officeDocument/2006/relationships/hyperlink" Target="https://www.apollo.com" TargetMode="External"/><Relationship Id="rId12" Type="http://schemas.openxmlformats.org/officeDocument/2006/relationships/hyperlink" Target="https://www.kkr.com" TargetMode="External"/><Relationship Id="rId13" Type="http://schemas.openxmlformats.org/officeDocument/2006/relationships/hyperlink" Target="https://www.hpspartners.com" TargetMode="External"/><Relationship Id="rId14" Type="http://schemas.openxmlformats.org/officeDocument/2006/relationships/hyperlink" Target="https://www.sixthstreet.com" TargetMode="External"/><Relationship Id="rId15" Type="http://schemas.openxmlformats.org/officeDocument/2006/relationships/hyperlink" Target="https://www.blueowl.com" TargetMode="External"/><Relationship Id="rId16" Type="http://schemas.openxmlformats.org/officeDocument/2006/relationships/hyperlink" Target="https://www.golubcapital.com" TargetMode="External"/><Relationship Id="rId17" Type="http://schemas.openxmlformats.org/officeDocument/2006/relationships/hyperlink" Target="https://www.antares.com" TargetMode="External"/><Relationship Id="rId18" Type="http://schemas.openxmlformats.org/officeDocument/2006/relationships/hyperlink" Target="https://www.monroec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